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3" w:name="_GoBack"/>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广阳区新源道街道办事处</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广阳区新源道街道办事处</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（一）宣传贯彻执行党的路线方针政策和党中央、上级党组织的决议； 贯彻执行法律、法规、规章和上级人民代表大会及其常务委员会决议及上级政府的决定、命令，依法管理辖区内公共事务。</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（三）负责办理上级人大常委会交办的监督、选举及其他工作，做好人大代表工作。联系选民，反映群众意见和要求。</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加强街道党工委自身建设和基层党组织建设，履行全面从严治党主体责任。建立健全党建联席会议制度，全面推行辖区党的政治建设、思想建设、组织建设、作风建设、纪律建设，把制度建设贯穿其中，组织开展党风廉政建设和反腐败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（五）街道党工委领导群团组织，加强指导和规范。支持和保证群团组织依照国家法律法规以及各自规程履行职责。坚持党管武装的根本原则和制度，协调各方力量，对街道人民武装工作实行统一领导。</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指导居民委员会等基层群众性自治组织建设，健全自治平台，组织动员社区居民、单位和社会力量参与社区治理，整合辖区内社会力量，形成社区共治合力，为社区发展服务。对社区工作者队伍进行教育管理。承担物业管理的监督知道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（七）按照管理权限，对街道机关及所属单位干部进行教育。培训、选拔、考核和监督，对上级政府职能部门派出机构的工作考核和主要负责同志任免提出意见。</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（八）组织维护辖区安全稳定，协调推动社会治安综合治理。做好应急管理、民族宗教工作，承担民兵预备役征兵、退役军人服务、</w:t>
      </w:r>
      <w:r>
        <w:rPr>
          <w:rFonts w:hint="eastAsia" w:ascii="Times New Roman" w:hAnsi="Times New Roman" w:eastAsia="仿宋_GB2312" w:cs="Times New Roman"/>
          <w:sz w:val="32"/>
          <w:szCs w:val="32"/>
          <w:lang w:eastAsia="zh-CN"/>
        </w:rPr>
        <w:t>拥军优属</w:t>
      </w:r>
      <w:r>
        <w:rPr>
          <w:rFonts w:hint="eastAsia" w:ascii="Times New Roman" w:hAnsi="Times New Roman" w:eastAsia="仿宋_GB2312" w:cs="Times New Roman"/>
          <w:sz w:val="32"/>
          <w:szCs w:val="32"/>
        </w:rPr>
        <w:t>、防范邪教等工作。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（九）组织开展群众性文化体育科普活动，开展法制宣传和社会公德教育，推动社区公益事业发展，维护老年人、妇女、未成年人、残疾人等合法权益</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（十）参与辖区设施规划、建设和验收，综合管理，统筹协调和考核、督办辖区内的公共事务，按照有关规定统筹使用下沉到街道、社区的人财物等资源</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（十一）承办上级党委、人大、政府交办的其他事项。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9"/>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廊坊市广阳区新源道街道办事处</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财政拨款（行政）</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广阳区新源道街道办事处</w:t>
      </w:r>
      <w:r>
        <w:rPr>
          <w:rFonts w:ascii="Times New Roman" w:hAnsi="Times New Roman" w:eastAsia="仿宋_GB2312" w:cs="Times New Roman"/>
          <w:sz w:val="32"/>
          <w:szCs w:val="32"/>
        </w:rPr>
        <w:t>机关的收支包含在部门预算中。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4.2</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2084.2</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上年结转20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广阳区新源道街道办事处2022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4.2</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1489.38</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1312.35</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177.03</w:t>
      </w:r>
      <w:r>
        <w:rPr>
          <w:rFonts w:ascii="Times New Roman" w:hAnsi="Times New Roman" w:eastAsia="仿宋_GB2312" w:cs="Times New Roman"/>
          <w:sz w:val="32"/>
          <w:szCs w:val="32"/>
        </w:rPr>
        <w:t>万元；运转类其他及特定目标类项目支出61</w:t>
      </w:r>
      <w:r>
        <w:rPr>
          <w:rFonts w:hint="eastAsia" w:ascii="Times New Roman" w:hAnsi="Times New Roman" w:eastAsia="仿宋_GB2312" w:cs="Times New Roman"/>
          <w:sz w:val="32"/>
          <w:szCs w:val="32"/>
        </w:rPr>
        <w:t>4.82</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4.2</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214.28</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145.7</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68.58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社区招聘人员工资保险</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177.03</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廊坊市广阳区新源道街道办事处</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787" w:firstLineChars="246"/>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4.38万元。</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相比持平，</w:t>
      </w:r>
      <w:r>
        <w:rPr>
          <w:rFonts w:ascii="Times New Roman" w:hAnsi="Times New Roman" w:eastAsia="仿宋_GB2312" w:cs="Times New Roman"/>
          <w:sz w:val="32"/>
          <w:szCs w:val="32"/>
        </w:rPr>
        <w:t>无增减变化。</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新源道办事处将抓住新机场兴建的宝贵历史机遇，创新思维方式，汇聚兴街富民力量，实现跨越大发展。力争将新开路街道建设成为开放、包容、宜居的生态新区。</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1、加快项目建设，促进经济发展</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一是要加大宣传力度，扩大舆论环境，提高区域知名度。二是对在建楼宇项目要突出重点，落实责任，盯目标、盯进度、盯节点、盯成效，统筹推进项目建设，力争项目早建成、早投入、早见效。三是要尽快介入，全面掌握楼宇信息，引导开发商进行楼宇功能定位。确立不同楼宇的业态定位，发展产业集群，使楼宇经济朝产业化、特色化、专业化的方向发展。</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2、推进污染防治，确保质量达标</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坚持防管结合、标本兼治。加大露天焚烧综合整治力度，倡导低碳文明的祭祀风尚力争不着火、不冒烟；巩固重点领域防控。保持对涉VOCs排放企业、“散乱污”企业和餐饮经营场所的高频度、全天候巡查监控态势，确保不出现反弹现象；进一步完善抑尘措施。强化重污染天气应急期间监管，督导各项应急措施落实到位，有效实现“削峰降速”。</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3、提升服务水平，建设幸福街区</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一方面，全面落实就业创业政策，减少辖区失业人员比例；加大对居民养老、城镇居民医疗保险的宣传力度，增强居民参保意识；认真做好低保、低收入家庭救助工作，解决基层最低生活保障家庭的学生救助；另一方面，坚持问题导向、群众观点、法治思维、末端思维，围绕继续抓好全国文明城市创建，进一步加强数字化、信息化、模块化管理体系建设，持续提升社区服务功能，全面建设幸福和谐街道。</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1、发展楼宇经济</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楼宇经济是街道城市经济发展的主抓手、主阵地，借助广阳腾讯成绩经济招商营商会客大厅设置在我辖区梅花易品大厦的东风，我们将通过设置楼宇信息员、楼宇企业服务中心等载体，着力引进总部企业、规上服务业、创意设计类等企业，不断优化楼宇企业业态结构，力争培育新的税收增长点，全力打造楼宇经济可持续发展新高地。</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2、常抓疫情防控</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落实冬季疫情防控工作措施，常态化排查登记中高风险地区返雅人员，做好居家医疗观察和核酸检测。强化商场、酒店、学校、农贸市场、餐馆等重点区域的日常消毒和防控措施落实。</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3、持续打好生态保卫战</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加强网格化日常巡查，守牢生态底线。对重点行业、重点企业进行定期和不定期走访，建立巡查台账，对群众反映的环保问题及时调查处复。</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4、维护社会稳定</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持续深化扫黑除恶专项斗争和人民调解，落实安全生产责任制，加强对企业、老旧小区、餐馆等重点区域消防、食品安全督查整治。加强应急救援处置能力建设,提高防灾减灾救灾能力。</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5、提升城市管理水平</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持续开展综合执法，巩固做好文明城市创建工作，重点抓违规占道经营，规范乱停乱放，加大市容环境清理力度，改善背街小巷、卫生死角脏、乱、差等顽固问题。</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1、服务大局，推动基层党建创新发展。</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突出主题主线，推动新思想往实里走、往心里走。持之以恒抓好学习贯彻习近平新时代中国特色社会主义思想，常态化开展学习工作，充分利用“学习强国”、“河北学习”等学习平台，积极开展党委书记讲党课宣讲方式，大力开展教育培训活动。</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进一步加强社区党组织建设。全力打造“一居一特色，一居一亮点”，不断完善党员教育学习机制，让广大党员群众坐得住、乐意听、记得牢，真正做到理论宣讲入耳、入脑、入心，有效打通党建走向基层的“最后一公里”。</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坚持目标导向，推动基层党组织建设全面进步、全面过硬。借助社区“两委”换届契机，选优配强社区干部，积极做好宣传引导，采取“动+静”宣传模式，一方面加大悬挂条幅、设置宣传栏、发放宣传单等工作的覆盖面，提高居民群众的知晓率和参与率，另一方面发动社区各类文化队伍和党员志愿者，以休闲娱乐形式宣传换届选的意义和作用，扩大宣传广度，同时，按照换届要求有序推进，进一步把社区“两委”换届选举的各项要求和规定具体化，确保全过程有章可循，不变通、不走样。</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2、做好常态化疫情防控工作</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充分发挥街道疫情防控指挥部职能，指导开展常态化防疫工作，从严从实各项防控措施，坚决克服麻痹思想、厌战情绪、侥幸心理、松劲心态，坚持对冬春重点时段、重点人群、重点场所做好巡查、监督和服务。同时，结合辖区特点设置19个全民核酸检测点，全力以赴做好今冬明春新冠肺炎疫情防控工作。</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3、因地制宜，推动现代经济发展</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高度重视经济发展工作，抢时间、加速度、争进度。突破资源、土地等因素的制约，大力发展楼宇经济，向楼宇要空间和高度，为企业发展筑起“凤凰巢”，依托区位效应，盘活空置门面房，作为招商引资的利好条件，发展现代化行业，吸引新兴企业入驻，使辖区的发展更有规划性和长远性。</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4、倡导文明新风，提高社区治理水平</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sectPr>
          <w:footerReference r:id="rId3" w:type="default"/>
          <w:footerReference r:id="rId4" w:type="even"/>
          <w:pgSz w:w="16840" w:h="11900" w:orient="landscape"/>
          <w:pgMar w:top="1304" w:right="1984" w:bottom="1304" w:left="1134" w:header="720" w:footer="720" w:gutter="0"/>
          <w:pgNumType w:start="1"/>
          <w:cols w:space="720" w:num="1"/>
          <w:docGrid w:linePitch="286" w:charSpace="0"/>
        </w:sectPr>
      </w:pPr>
      <w:r>
        <w:rPr>
          <w:rFonts w:hint="eastAsia" w:eastAsia="仿宋_GB2312"/>
          <w:sz w:val="32"/>
          <w:szCs w:val="32"/>
        </w:rPr>
        <w:t>将精神文明建设进一步融合到居民生活中，潜移默化提升居民文明素养，营造文明、和谐、幸福邻里氛围，增强居民的归属感、认同感和凝聚力。</w:t>
      </w:r>
      <w:r>
        <w:rPr>
          <w:rFonts w:ascii="方正书宋_GBK" w:hAnsi="方正书宋_GBK" w:eastAsia="方正书宋_GBK" w:cs="方正书宋_GBK"/>
          <w:color w:val="000000"/>
          <w:sz w:val="21"/>
        </w:rPr>
        <w:t xml:space="preserve"> </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9"/>
        <w:tblW w:w="4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488"/>
        <w:gridCol w:w="844"/>
        <w:gridCol w:w="1492"/>
        <w:gridCol w:w="2806"/>
        <w:gridCol w:w="2718"/>
        <w:gridCol w:w="470"/>
        <w:gridCol w:w="403"/>
        <w:gridCol w:w="519"/>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218"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377"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666"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253"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214"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622" w:type="pct"/>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646"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218" w:type="pct"/>
            <w:vMerge w:val="continue"/>
            <w:tcBorders>
              <w:tl2br w:val="nil"/>
              <w:tr2bl w:val="nil"/>
            </w:tcBorders>
            <w:vAlign w:val="center"/>
          </w:tcPr>
          <w:p/>
        </w:tc>
        <w:tc>
          <w:tcPr>
            <w:tcW w:w="377" w:type="pct"/>
            <w:vMerge w:val="continue"/>
            <w:tcBorders>
              <w:tl2br w:val="nil"/>
              <w:tr2bl w:val="nil"/>
            </w:tcBorders>
            <w:vAlign w:val="center"/>
          </w:tcPr>
          <w:p/>
        </w:tc>
        <w:tc>
          <w:tcPr>
            <w:tcW w:w="666" w:type="pct"/>
            <w:vMerge w:val="continue"/>
            <w:tcBorders>
              <w:tl2br w:val="nil"/>
              <w:tr2bl w:val="nil"/>
            </w:tcBorders>
            <w:vAlign w:val="center"/>
          </w:tcPr>
          <w:p/>
        </w:tc>
        <w:tc>
          <w:tcPr>
            <w:tcW w:w="1253" w:type="pct"/>
            <w:vMerge w:val="continue"/>
            <w:tcBorders>
              <w:tl2br w:val="nil"/>
              <w:tr2bl w:val="nil"/>
            </w:tcBorders>
            <w:vAlign w:val="center"/>
          </w:tcPr>
          <w:p/>
        </w:tc>
        <w:tc>
          <w:tcPr>
            <w:tcW w:w="1214" w:type="pct"/>
            <w:vMerge w:val="continue"/>
            <w:tcBorders>
              <w:tl2br w:val="nil"/>
              <w:tr2bl w:val="nil"/>
            </w:tcBorders>
            <w:vAlign w:val="center"/>
          </w:tcPr>
          <w:p/>
        </w:tc>
        <w:tc>
          <w:tcPr>
            <w:tcW w:w="210"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180"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231"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646" w:type="pct"/>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218" w:type="pct"/>
            <w:vMerge w:val="restart"/>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部门产出</w:t>
            </w:r>
          </w:p>
        </w:tc>
        <w:tc>
          <w:tcPr>
            <w:tcW w:w="377" w:type="pct"/>
            <w:tcBorders>
              <w:tl2br w:val="nil"/>
              <w:tr2bl w:val="nil"/>
            </w:tcBorders>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数量指标</w:t>
            </w:r>
          </w:p>
        </w:tc>
        <w:tc>
          <w:tcPr>
            <w:tcW w:w="666" w:type="pct"/>
            <w:tcBorders>
              <w:tl2br w:val="nil"/>
              <w:tr2bl w:val="nil"/>
            </w:tcBorders>
          </w:tcPr>
          <w:p>
            <w:pPr>
              <w:spacing w:line="300" w:lineRule="exact"/>
              <w:rPr>
                <w:rFonts w:ascii="Times New Roman" w:hAnsi="Times New Roman" w:eastAsia="仿宋_GB2312" w:cs="Times New Roman"/>
              </w:rPr>
            </w:pPr>
            <w:r>
              <w:rPr>
                <w:rFonts w:ascii="Times New Roman" w:hAnsi="Times New Roman" w:eastAsia="仿宋_GB2312" w:cs="Times New Roman"/>
              </w:rPr>
              <w:t>保障招聘人员人数</w:t>
            </w:r>
          </w:p>
        </w:tc>
        <w:tc>
          <w:tcPr>
            <w:tcW w:w="1253" w:type="pct"/>
            <w:tcBorders>
              <w:tl2br w:val="nil"/>
              <w:tr2bl w:val="nil"/>
            </w:tcBorders>
            <w:vAlign w:val="top"/>
          </w:tcPr>
          <w:p>
            <w:pPr>
              <w:spacing w:line="300" w:lineRule="exact"/>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rPr>
              <w:t>15分，每超1人扣1分</w:t>
            </w:r>
          </w:p>
        </w:tc>
        <w:tc>
          <w:tcPr>
            <w:tcW w:w="1214" w:type="pct"/>
            <w:tcBorders>
              <w:tl2br w:val="nil"/>
              <w:tr2bl w:val="nil"/>
            </w:tcBorders>
            <w:vAlign w:val="top"/>
          </w:tcPr>
          <w:p>
            <w:pPr>
              <w:spacing w:line="300" w:lineRule="exact"/>
              <w:jc w:val="center"/>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rPr>
              <w:t>保障招聘人员人数</w:t>
            </w:r>
          </w:p>
        </w:tc>
        <w:tc>
          <w:tcPr>
            <w:tcW w:w="210" w:type="pct"/>
            <w:tcBorders>
              <w:tl2br w:val="nil"/>
              <w:tr2bl w:val="nil"/>
            </w:tcBorders>
          </w:tcPr>
          <w:p>
            <w:pPr>
              <w:spacing w:line="300" w:lineRule="exact"/>
              <w:rPr>
                <w:rFonts w:ascii="Times New Roman" w:hAnsi="Times New Roman" w:eastAsia="仿宋_GB2312" w:cs="Times New Roman"/>
              </w:rPr>
            </w:pPr>
            <w:r>
              <w:rPr>
                <w:rFonts w:ascii="Times New Roman" w:hAnsi="Times New Roman" w:eastAsia="仿宋_GB2312" w:cs="Times New Roman"/>
              </w:rPr>
              <w:t>=</w:t>
            </w:r>
          </w:p>
        </w:tc>
        <w:tc>
          <w:tcPr>
            <w:tcW w:w="180" w:type="pct"/>
            <w:tcBorders>
              <w:tl2br w:val="nil"/>
              <w:tr2bl w:val="nil"/>
            </w:tcBorders>
          </w:tcPr>
          <w:p>
            <w:pPr>
              <w:spacing w:line="300" w:lineRule="exact"/>
              <w:rPr>
                <w:rFonts w:ascii="Times New Roman" w:hAnsi="Times New Roman" w:eastAsia="仿宋_GB2312" w:cs="Times New Roman"/>
              </w:rPr>
            </w:pPr>
            <w:r>
              <w:rPr>
                <w:rFonts w:ascii="Times New Roman" w:hAnsi="Times New Roman" w:eastAsia="仿宋_GB2312" w:cs="Times New Roman"/>
              </w:rPr>
              <w:t>64</w:t>
            </w:r>
          </w:p>
        </w:tc>
        <w:tc>
          <w:tcPr>
            <w:tcW w:w="231" w:type="pct"/>
            <w:tcBorders>
              <w:tl2br w:val="nil"/>
              <w:tr2bl w:val="nil"/>
            </w:tcBorders>
          </w:tcPr>
          <w:p>
            <w:pPr>
              <w:spacing w:line="300" w:lineRule="exact"/>
              <w:rPr>
                <w:rFonts w:ascii="Times New Roman" w:hAnsi="Times New Roman" w:eastAsia="仿宋_GB2312" w:cs="Times New Roman"/>
              </w:rPr>
            </w:pPr>
            <w:r>
              <w:rPr>
                <w:rFonts w:ascii="Times New Roman" w:hAnsi="Times New Roman" w:eastAsia="仿宋_GB2312" w:cs="Times New Roman"/>
              </w:rPr>
              <w:t>人</w:t>
            </w:r>
          </w:p>
        </w:tc>
        <w:tc>
          <w:tcPr>
            <w:tcW w:w="646" w:type="pct"/>
            <w:tcBorders>
              <w:tl2br w:val="nil"/>
              <w:tr2bl w:val="nil"/>
            </w:tcBorders>
          </w:tcPr>
          <w:p>
            <w:pPr>
              <w:spacing w:line="300" w:lineRule="exact"/>
              <w:rPr>
                <w:rFonts w:ascii="Times New Roman" w:hAnsi="Times New Roman" w:eastAsia="仿宋_GB2312" w:cs="Times New Roman"/>
              </w:rPr>
            </w:pPr>
            <w:r>
              <w:rPr>
                <w:rFonts w:ascii="Times New Roman" w:hAnsi="Times New Roman" w:eastAsia="仿宋_GB2312" w:cs="Times New Roman"/>
              </w:rPr>
              <w:t>人员名册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218" w:type="pct"/>
            <w:vMerge w:val="continue"/>
            <w:tcBorders>
              <w:tl2br w:val="nil"/>
              <w:tr2bl w:val="nil"/>
            </w:tcBorders>
            <w:vAlign w:val="center"/>
          </w:tcPr>
          <w:p>
            <w:pPr>
              <w:spacing w:line="300" w:lineRule="exact"/>
              <w:jc w:val="center"/>
              <w:rPr>
                <w:rFonts w:ascii="Times New Roman" w:hAnsi="Times New Roman" w:eastAsia="仿宋_GB2312" w:cs="Times New Roman"/>
              </w:rPr>
            </w:pPr>
          </w:p>
        </w:tc>
        <w:tc>
          <w:tcPr>
            <w:tcW w:w="377" w:type="pct"/>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666" w:type="pct"/>
            <w:tcBorders>
              <w:tl2br w:val="nil"/>
              <w:tr2bl w:val="nil"/>
            </w:tcBorders>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工资发放准确率</w:t>
            </w:r>
          </w:p>
        </w:tc>
        <w:tc>
          <w:tcPr>
            <w:tcW w:w="1253" w:type="pct"/>
            <w:tcBorders>
              <w:tl2br w:val="nil"/>
              <w:tr2bl w:val="nil"/>
            </w:tcBorders>
            <w:vAlign w:val="top"/>
          </w:tcPr>
          <w:p>
            <w:pPr>
              <w:spacing w:line="300" w:lineRule="exact"/>
              <w:jc w:val="center"/>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rPr>
              <w:t>15分，每低一个百分点扣一分</w:t>
            </w:r>
          </w:p>
        </w:tc>
        <w:tc>
          <w:tcPr>
            <w:tcW w:w="1214" w:type="pct"/>
            <w:tcBorders>
              <w:tl2br w:val="nil"/>
              <w:tr2bl w:val="nil"/>
            </w:tcBorders>
            <w:vAlign w:val="top"/>
          </w:tcPr>
          <w:p>
            <w:pPr>
              <w:spacing w:line="300" w:lineRule="exact"/>
              <w:jc w:val="center"/>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rPr>
              <w:t>工资发放准确率</w:t>
            </w:r>
          </w:p>
        </w:tc>
        <w:tc>
          <w:tcPr>
            <w:tcW w:w="210" w:type="pct"/>
            <w:tcBorders>
              <w:tl2br w:val="nil"/>
              <w:tr2bl w:val="nil"/>
            </w:tcBorders>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w:t>
            </w:r>
          </w:p>
        </w:tc>
        <w:tc>
          <w:tcPr>
            <w:tcW w:w="180" w:type="pct"/>
            <w:tcBorders>
              <w:tl2br w:val="nil"/>
              <w:tr2bl w:val="nil"/>
            </w:tcBorders>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100</w:t>
            </w:r>
          </w:p>
        </w:tc>
        <w:tc>
          <w:tcPr>
            <w:tcW w:w="231" w:type="pct"/>
            <w:tcBorders>
              <w:tl2br w:val="nil"/>
              <w:tr2bl w:val="nil"/>
            </w:tcBorders>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w:t>
            </w:r>
          </w:p>
        </w:tc>
        <w:tc>
          <w:tcPr>
            <w:tcW w:w="646" w:type="pct"/>
            <w:tcBorders>
              <w:tl2br w:val="nil"/>
              <w:tr2bl w:val="nil"/>
            </w:tcBorders>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廊广组【2021】131号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218" w:type="pct"/>
            <w:vMerge w:val="continue"/>
            <w:tcBorders>
              <w:tl2br w:val="nil"/>
              <w:tr2bl w:val="nil"/>
            </w:tcBorders>
            <w:vAlign w:val="center"/>
          </w:tcPr>
          <w:p>
            <w:pPr>
              <w:spacing w:line="300" w:lineRule="exact"/>
              <w:jc w:val="center"/>
              <w:rPr>
                <w:rFonts w:ascii="Times New Roman" w:hAnsi="Times New Roman" w:eastAsia="仿宋_GB2312" w:cs="Times New Roman"/>
              </w:rPr>
            </w:pPr>
          </w:p>
        </w:tc>
        <w:tc>
          <w:tcPr>
            <w:tcW w:w="377" w:type="pct"/>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时效指标</w:t>
            </w:r>
          </w:p>
        </w:tc>
        <w:tc>
          <w:tcPr>
            <w:tcW w:w="666" w:type="pct"/>
            <w:tcBorders>
              <w:tl2br w:val="nil"/>
              <w:tr2bl w:val="nil"/>
            </w:tcBorders>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工资按时发放</w:t>
            </w:r>
          </w:p>
        </w:tc>
        <w:tc>
          <w:tcPr>
            <w:tcW w:w="1253" w:type="pct"/>
            <w:tcBorders>
              <w:tl2br w:val="nil"/>
              <w:tr2bl w:val="nil"/>
            </w:tcBorders>
            <w:vAlign w:val="top"/>
          </w:tcPr>
          <w:p>
            <w:pPr>
              <w:spacing w:line="300" w:lineRule="exact"/>
              <w:jc w:val="center"/>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rPr>
              <w:t>15分，每晚5天扣一分</w:t>
            </w:r>
          </w:p>
        </w:tc>
        <w:tc>
          <w:tcPr>
            <w:tcW w:w="1214" w:type="pct"/>
            <w:tcBorders>
              <w:tl2br w:val="nil"/>
              <w:tr2bl w:val="nil"/>
            </w:tcBorders>
            <w:vAlign w:val="top"/>
          </w:tcPr>
          <w:p>
            <w:pPr>
              <w:spacing w:line="300" w:lineRule="exact"/>
              <w:jc w:val="center"/>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rPr>
              <w:t>工资按时发放情况</w:t>
            </w:r>
          </w:p>
        </w:tc>
        <w:tc>
          <w:tcPr>
            <w:tcW w:w="210" w:type="pct"/>
            <w:tcBorders>
              <w:tl2br w:val="nil"/>
              <w:tr2bl w:val="nil"/>
            </w:tcBorders>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文字描述</w:t>
            </w:r>
          </w:p>
        </w:tc>
        <w:tc>
          <w:tcPr>
            <w:tcW w:w="180" w:type="pct"/>
            <w:tcBorders>
              <w:tl2br w:val="nil"/>
              <w:tr2bl w:val="nil"/>
            </w:tcBorders>
          </w:tcPr>
          <w:p>
            <w:pPr>
              <w:spacing w:line="300" w:lineRule="exact"/>
              <w:jc w:val="center"/>
              <w:rPr>
                <w:rFonts w:ascii="Times New Roman" w:hAnsi="Times New Roman" w:eastAsia="仿宋_GB2312" w:cs="Times New Roman"/>
              </w:rPr>
            </w:pPr>
          </w:p>
        </w:tc>
        <w:tc>
          <w:tcPr>
            <w:tcW w:w="231" w:type="pct"/>
            <w:tcBorders>
              <w:tl2br w:val="nil"/>
              <w:tr2bl w:val="nil"/>
            </w:tcBorders>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规定时间</w:t>
            </w:r>
          </w:p>
        </w:tc>
        <w:tc>
          <w:tcPr>
            <w:tcW w:w="646" w:type="pct"/>
            <w:tcBorders>
              <w:tl2br w:val="nil"/>
              <w:tr2bl w:val="nil"/>
            </w:tcBorders>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发放时间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218" w:type="pct"/>
            <w:vMerge w:val="continue"/>
            <w:tcBorders>
              <w:tl2br w:val="nil"/>
              <w:tr2bl w:val="nil"/>
            </w:tcBorders>
            <w:vAlign w:val="center"/>
          </w:tcPr>
          <w:p>
            <w:pPr>
              <w:spacing w:line="300" w:lineRule="exact"/>
              <w:jc w:val="center"/>
              <w:rPr>
                <w:rFonts w:ascii="Times New Roman" w:hAnsi="Times New Roman" w:eastAsia="仿宋_GB2312" w:cs="Times New Roman"/>
              </w:rPr>
            </w:pPr>
          </w:p>
        </w:tc>
        <w:tc>
          <w:tcPr>
            <w:tcW w:w="377" w:type="pct"/>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成本指标</w:t>
            </w:r>
          </w:p>
        </w:tc>
        <w:tc>
          <w:tcPr>
            <w:tcW w:w="666" w:type="pct"/>
            <w:tcBorders>
              <w:tl2br w:val="nil"/>
              <w:tr2bl w:val="nil"/>
            </w:tcBorders>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人员工资保险标准</w:t>
            </w:r>
          </w:p>
        </w:tc>
        <w:tc>
          <w:tcPr>
            <w:tcW w:w="1253" w:type="pct"/>
            <w:tcBorders>
              <w:tl2br w:val="nil"/>
              <w:tr2bl w:val="nil"/>
            </w:tcBorders>
            <w:vAlign w:val="top"/>
          </w:tcPr>
          <w:p>
            <w:pPr>
              <w:spacing w:line="300" w:lineRule="exact"/>
              <w:jc w:val="center"/>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rPr>
              <w:t>15分，误差超10%不得分</w:t>
            </w:r>
          </w:p>
        </w:tc>
        <w:tc>
          <w:tcPr>
            <w:tcW w:w="1214" w:type="pct"/>
            <w:tcBorders>
              <w:tl2br w:val="nil"/>
              <w:tr2bl w:val="nil"/>
            </w:tcBorders>
            <w:vAlign w:val="top"/>
          </w:tcPr>
          <w:p>
            <w:pPr>
              <w:spacing w:line="300" w:lineRule="exact"/>
              <w:jc w:val="center"/>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rPr>
              <w:t>人员工资保险标准</w:t>
            </w:r>
          </w:p>
        </w:tc>
        <w:tc>
          <w:tcPr>
            <w:tcW w:w="210" w:type="pct"/>
            <w:tcBorders>
              <w:tl2br w:val="nil"/>
              <w:tr2bl w:val="nil"/>
            </w:tcBorders>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文字描述</w:t>
            </w:r>
          </w:p>
        </w:tc>
        <w:tc>
          <w:tcPr>
            <w:tcW w:w="180" w:type="pct"/>
            <w:tcBorders>
              <w:tl2br w:val="nil"/>
              <w:tr2bl w:val="nil"/>
            </w:tcBorders>
          </w:tcPr>
          <w:p>
            <w:pPr>
              <w:spacing w:line="300" w:lineRule="exact"/>
              <w:jc w:val="center"/>
              <w:rPr>
                <w:rFonts w:ascii="Times New Roman" w:hAnsi="Times New Roman" w:eastAsia="仿宋_GB2312" w:cs="Times New Roman"/>
              </w:rPr>
            </w:pPr>
          </w:p>
        </w:tc>
        <w:tc>
          <w:tcPr>
            <w:tcW w:w="231" w:type="pct"/>
            <w:tcBorders>
              <w:tl2br w:val="nil"/>
              <w:tr2bl w:val="nil"/>
            </w:tcBorders>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规定标准</w:t>
            </w:r>
          </w:p>
        </w:tc>
        <w:tc>
          <w:tcPr>
            <w:tcW w:w="646" w:type="pct"/>
            <w:tcBorders>
              <w:tl2br w:val="nil"/>
              <w:tr2bl w:val="nil"/>
            </w:tcBorders>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廊广组【2021】131号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218" w:type="pct"/>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377"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666" w:type="pct"/>
            <w:tcBorders>
              <w:tl2br w:val="nil"/>
              <w:tr2bl w:val="nil"/>
            </w:tcBorders>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确保人员稳定</w:t>
            </w:r>
          </w:p>
        </w:tc>
        <w:tc>
          <w:tcPr>
            <w:tcW w:w="1253" w:type="pct"/>
            <w:tcBorders>
              <w:tl2br w:val="nil"/>
              <w:tr2bl w:val="nil"/>
            </w:tcBorders>
            <w:vAlign w:val="top"/>
          </w:tcPr>
          <w:p>
            <w:pPr>
              <w:spacing w:line="300" w:lineRule="exact"/>
              <w:jc w:val="center"/>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rPr>
              <w:t>20分，人员满意度低于80%不得分</w:t>
            </w:r>
          </w:p>
        </w:tc>
        <w:tc>
          <w:tcPr>
            <w:tcW w:w="1214" w:type="pct"/>
            <w:tcBorders>
              <w:tl2br w:val="nil"/>
              <w:tr2bl w:val="nil"/>
            </w:tcBorders>
            <w:vAlign w:val="top"/>
          </w:tcPr>
          <w:p>
            <w:pPr>
              <w:spacing w:line="300" w:lineRule="exact"/>
              <w:jc w:val="center"/>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rPr>
              <w:t>确保人员稳定</w:t>
            </w:r>
          </w:p>
        </w:tc>
        <w:tc>
          <w:tcPr>
            <w:tcW w:w="210" w:type="pct"/>
            <w:tcBorders>
              <w:tl2br w:val="nil"/>
              <w:tr2bl w:val="nil"/>
            </w:tcBorders>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文字描述</w:t>
            </w:r>
          </w:p>
        </w:tc>
        <w:tc>
          <w:tcPr>
            <w:tcW w:w="180" w:type="pct"/>
            <w:tcBorders>
              <w:tl2br w:val="nil"/>
              <w:tr2bl w:val="nil"/>
            </w:tcBorders>
          </w:tcPr>
          <w:p>
            <w:pPr>
              <w:spacing w:line="300" w:lineRule="exact"/>
              <w:jc w:val="center"/>
              <w:rPr>
                <w:rFonts w:ascii="Times New Roman" w:hAnsi="Times New Roman" w:eastAsia="仿宋_GB2312" w:cs="Times New Roman"/>
              </w:rPr>
            </w:pPr>
          </w:p>
        </w:tc>
        <w:tc>
          <w:tcPr>
            <w:tcW w:w="231" w:type="pct"/>
            <w:tcBorders>
              <w:tl2br w:val="nil"/>
              <w:tr2bl w:val="nil"/>
            </w:tcBorders>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确保人员稳定</w:t>
            </w:r>
          </w:p>
        </w:tc>
        <w:tc>
          <w:tcPr>
            <w:tcW w:w="646" w:type="pct"/>
            <w:tcBorders>
              <w:tl2br w:val="nil"/>
              <w:tr2bl w:val="nil"/>
            </w:tcBorders>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问询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218" w:type="pct"/>
            <w:vMerge w:val="continue"/>
            <w:tcBorders>
              <w:tl2br w:val="nil"/>
              <w:tr2bl w:val="nil"/>
            </w:tcBorders>
            <w:vAlign w:val="center"/>
          </w:tcPr>
          <w:p/>
        </w:tc>
        <w:tc>
          <w:tcPr>
            <w:tcW w:w="377" w:type="pc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666" w:type="pct"/>
            <w:tcBorders>
              <w:tl2br w:val="nil"/>
              <w:tr2bl w:val="nil"/>
            </w:tcBorders>
            <w:noWrap/>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招聘人员满意度</w:t>
            </w:r>
          </w:p>
        </w:tc>
        <w:tc>
          <w:tcPr>
            <w:tcW w:w="1253" w:type="pct"/>
            <w:tcBorders>
              <w:tl2br w:val="nil"/>
              <w:tr2bl w:val="nil"/>
            </w:tcBorders>
            <w:noWrap/>
            <w:vAlign w:val="top"/>
          </w:tcPr>
          <w:p>
            <w:pPr>
              <w:spacing w:line="300" w:lineRule="exact"/>
              <w:jc w:val="center"/>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rPr>
              <w:t>20分，每低一个百分点扣一分</w:t>
            </w:r>
          </w:p>
        </w:tc>
        <w:tc>
          <w:tcPr>
            <w:tcW w:w="1214" w:type="pct"/>
            <w:tcBorders>
              <w:tl2br w:val="nil"/>
              <w:tr2bl w:val="nil"/>
            </w:tcBorders>
            <w:noWrap/>
            <w:vAlign w:val="top"/>
          </w:tcPr>
          <w:p>
            <w:pPr>
              <w:spacing w:line="300" w:lineRule="exact"/>
              <w:jc w:val="center"/>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rPr>
              <w:t>招聘人员满意度</w:t>
            </w:r>
          </w:p>
        </w:tc>
        <w:tc>
          <w:tcPr>
            <w:tcW w:w="210" w:type="pct"/>
            <w:tcBorders>
              <w:tl2br w:val="nil"/>
              <w:tr2bl w:val="nil"/>
            </w:tcBorders>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w:t>
            </w:r>
          </w:p>
        </w:tc>
        <w:tc>
          <w:tcPr>
            <w:tcW w:w="180" w:type="pct"/>
            <w:tcBorders>
              <w:tl2br w:val="nil"/>
              <w:tr2bl w:val="nil"/>
            </w:tcBorders>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95</w:t>
            </w:r>
          </w:p>
        </w:tc>
        <w:tc>
          <w:tcPr>
            <w:tcW w:w="231" w:type="pct"/>
            <w:tcBorders>
              <w:tl2br w:val="nil"/>
              <w:tr2bl w:val="nil"/>
            </w:tcBorders>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w:t>
            </w:r>
          </w:p>
        </w:tc>
        <w:tc>
          <w:tcPr>
            <w:tcW w:w="646" w:type="pct"/>
            <w:tcBorders>
              <w:tl2br w:val="nil"/>
              <w:tr2bl w:val="nil"/>
            </w:tcBorders>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问卷</w:t>
            </w: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1</w:t>
      </w:r>
      <w:r>
        <w:rPr>
          <w:rFonts w:hint="eastAsia" w:ascii="仿宋_GB2312" w:hAnsi="仿宋_GB2312" w:eastAsia="仿宋_GB2312" w:cs="仿宋_GB2312"/>
          <w:color w:val="000000"/>
          <w:sz w:val="28"/>
        </w:rPr>
        <w:t>.</w:t>
      </w:r>
      <w:r>
        <w:rPr>
          <w:rFonts w:hint="eastAsia" w:ascii="仿宋_GB2312" w:hAnsi="仿宋_GB2312" w:eastAsia="仿宋_GB2312" w:cs="仿宋_GB2312"/>
          <w:sz w:val="28"/>
        </w:rPr>
        <w:t>机关事务管理经费绩效目标表</w:t>
      </w:r>
      <w:bookmarkStart w:id="0" w:name="_Toc29799657"/>
      <w:bookmarkEnd w:id="0"/>
    </w:p>
    <w:p>
      <w:pPr>
        <w:spacing w:line="14" w:lineRule="exact"/>
        <w:ind w:firstLine="420" w:firstLineChars="200"/>
        <w:jc w:val="center"/>
        <w:rPr>
          <w:rFonts w:hint="eastAsia" w:ascii="仿宋_GB2312" w:hAnsi="仿宋_GB2312" w:eastAsia="仿宋_GB2312" w:cs="仿宋_GB2312"/>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37"/>
        <w:gridCol w:w="2268"/>
        <w:gridCol w:w="2357"/>
        <w:gridCol w:w="2888"/>
        <w:gridCol w:w="2357"/>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037"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025" w:type="dxa"/>
            <w:gridSpan w:val="5"/>
            <w:shd w:val="clear" w:color="auto" w:fill="auto"/>
            <w:vAlign w:val="center"/>
          </w:tcPr>
          <w:p>
            <w:pPr>
              <w:spacing w:line="440" w:lineRule="exact"/>
              <w:rPr>
                <w:rFonts w:hint="eastAsia" w:ascii="仿宋_GB2312" w:hAnsi="仿宋_GB2312" w:eastAsia="仿宋_GB2312" w:cs="仿宋_GB2312"/>
                <w:b/>
              </w:rPr>
            </w:pPr>
            <w:r>
              <w:rPr>
                <w:rFonts w:hint="eastAsia" w:ascii="仿宋_GB2312" w:hAnsi="仿宋_GB2312" w:eastAsia="仿宋_GB2312" w:cs="仿宋_GB2312"/>
                <w:b/>
              </w:rPr>
              <w:t>1.保障机关正常运行2.更好服务群众3.完成上级任务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037"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357"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2888"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2357"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2037" w:type="dxa"/>
            <w:vMerge w:val="restart"/>
            <w:shd w:val="clear" w:color="auto" w:fill="auto"/>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数量指标</w:t>
            </w:r>
          </w:p>
        </w:tc>
        <w:tc>
          <w:tcPr>
            <w:tcW w:w="2357"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保障机关数</w:t>
            </w:r>
          </w:p>
        </w:tc>
        <w:tc>
          <w:tcPr>
            <w:tcW w:w="2888"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保障机关数</w:t>
            </w:r>
          </w:p>
        </w:tc>
        <w:tc>
          <w:tcPr>
            <w:tcW w:w="2357"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1个</w:t>
            </w:r>
          </w:p>
        </w:tc>
        <w:tc>
          <w:tcPr>
            <w:tcW w:w="215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37" w:type="dxa"/>
            <w:vMerge w:val="continue"/>
            <w:shd w:val="clear" w:color="auto" w:fill="auto"/>
            <w:vAlign w:val="center"/>
          </w:tcPr>
          <w:p>
            <w:pPr>
              <w:spacing w:line="440" w:lineRule="exact"/>
              <w:rPr>
                <w:rFonts w:hint="eastAsia" w:ascii="仿宋_GB2312" w:hAnsi="仿宋_GB2312" w:eastAsia="仿宋_GB2312" w:cs="仿宋_GB2312"/>
              </w:rPr>
            </w:pPr>
          </w:p>
        </w:tc>
        <w:tc>
          <w:tcPr>
            <w:tcW w:w="2268"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质量指标</w:t>
            </w:r>
          </w:p>
        </w:tc>
        <w:tc>
          <w:tcPr>
            <w:tcW w:w="2357"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运转保障率</w:t>
            </w:r>
          </w:p>
        </w:tc>
        <w:tc>
          <w:tcPr>
            <w:tcW w:w="2888"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运转保障率</w:t>
            </w:r>
          </w:p>
        </w:tc>
        <w:tc>
          <w:tcPr>
            <w:tcW w:w="2357"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100%</w:t>
            </w:r>
          </w:p>
        </w:tc>
        <w:tc>
          <w:tcPr>
            <w:tcW w:w="215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37" w:type="dxa"/>
            <w:vMerge w:val="continue"/>
            <w:shd w:val="clear" w:color="auto" w:fill="auto"/>
            <w:vAlign w:val="center"/>
          </w:tcPr>
          <w:p>
            <w:pPr>
              <w:spacing w:line="440" w:lineRule="exact"/>
              <w:rPr>
                <w:rFonts w:hint="eastAsia" w:ascii="仿宋_GB2312" w:hAnsi="仿宋_GB2312" w:eastAsia="仿宋_GB2312" w:cs="仿宋_GB2312"/>
              </w:rPr>
            </w:pPr>
          </w:p>
        </w:tc>
        <w:tc>
          <w:tcPr>
            <w:tcW w:w="2268"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时效指标</w:t>
            </w:r>
          </w:p>
        </w:tc>
        <w:tc>
          <w:tcPr>
            <w:tcW w:w="2357"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经费保障及时率</w:t>
            </w:r>
          </w:p>
        </w:tc>
        <w:tc>
          <w:tcPr>
            <w:tcW w:w="2888"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经费保障及时率</w:t>
            </w:r>
          </w:p>
        </w:tc>
        <w:tc>
          <w:tcPr>
            <w:tcW w:w="2357"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规定时间</w:t>
            </w:r>
          </w:p>
        </w:tc>
        <w:tc>
          <w:tcPr>
            <w:tcW w:w="215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拨付时间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37" w:type="dxa"/>
            <w:shd w:val="clear" w:color="auto" w:fill="auto"/>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社会效益指标</w:t>
            </w:r>
          </w:p>
        </w:tc>
        <w:tc>
          <w:tcPr>
            <w:tcW w:w="2357"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维持机关办公正常运转</w:t>
            </w:r>
          </w:p>
        </w:tc>
        <w:tc>
          <w:tcPr>
            <w:tcW w:w="2888"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维持机关办公正常运转</w:t>
            </w:r>
          </w:p>
        </w:tc>
        <w:tc>
          <w:tcPr>
            <w:tcW w:w="2357"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维持社区办公正常运转</w:t>
            </w:r>
          </w:p>
        </w:tc>
        <w:tc>
          <w:tcPr>
            <w:tcW w:w="215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37" w:type="dxa"/>
            <w:shd w:val="clear" w:color="auto" w:fill="auto"/>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服务对象满意度指标</w:t>
            </w:r>
          </w:p>
        </w:tc>
        <w:tc>
          <w:tcPr>
            <w:tcW w:w="2357"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机关人员满意度</w:t>
            </w:r>
          </w:p>
        </w:tc>
        <w:tc>
          <w:tcPr>
            <w:tcW w:w="2888"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机关人员满意度</w:t>
            </w:r>
          </w:p>
        </w:tc>
        <w:tc>
          <w:tcPr>
            <w:tcW w:w="2357"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≥95%</w:t>
            </w:r>
          </w:p>
        </w:tc>
        <w:tc>
          <w:tcPr>
            <w:tcW w:w="215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2.社区党组织服务群众专项经费[区级]绩效目标表</w:t>
      </w:r>
    </w:p>
    <w:p>
      <w:pPr>
        <w:spacing w:line="14" w:lineRule="exact"/>
        <w:ind w:firstLine="420" w:firstLineChars="200"/>
        <w:jc w:val="center"/>
        <w:rPr>
          <w:rFonts w:hint="eastAsia" w:ascii="仿宋_GB2312" w:hAnsi="仿宋_GB2312" w:eastAsia="仿宋_GB2312" w:cs="仿宋_GB2312"/>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5"/>
              <w:spacing w:line="440" w:lineRule="exact"/>
              <w:rPr>
                <w:rFonts w:hint="eastAsia" w:ascii="仿宋_GB2312" w:hAnsi="仿宋_GB2312" w:eastAsia="仿宋_GB2312" w:cs="仿宋_GB2312"/>
                <w:b/>
              </w:rPr>
            </w:pPr>
            <w:r>
              <w:rPr>
                <w:rFonts w:hint="eastAsia" w:ascii="仿宋_GB2312" w:hAnsi="仿宋_GB2312" w:eastAsia="仿宋_GB2312" w:cs="仿宋_GB2312"/>
                <w:b/>
                <w:kern w:val="2"/>
                <w:szCs w:val="22"/>
                <w:lang w:eastAsia="zh-CN"/>
              </w:rPr>
              <w:t>1.促进社区建设2.更好服务居3.增强基层党组织建设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2409" w:type="dxa"/>
            <w:vMerge w:val="restart"/>
            <w:shd w:val="clear" w:color="auto" w:fill="auto"/>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数量指标</w:t>
            </w:r>
          </w:p>
        </w:tc>
        <w:tc>
          <w:tcPr>
            <w:tcW w:w="198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 xml:space="preserve">               保障社区数</w:t>
            </w:r>
          </w:p>
        </w:tc>
        <w:tc>
          <w:tcPr>
            <w:tcW w:w="3402"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 xml:space="preserve">               保障社区数</w:t>
            </w:r>
          </w:p>
        </w:tc>
        <w:tc>
          <w:tcPr>
            <w:tcW w:w="1843"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99个</w:t>
            </w:r>
          </w:p>
        </w:tc>
        <w:tc>
          <w:tcPr>
            <w:tcW w:w="215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冀办【2019】41号文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jc w:val="center"/>
              <w:rPr>
                <w:rFonts w:hint="eastAsia" w:ascii="仿宋_GB2312" w:hAnsi="仿宋_GB2312" w:eastAsia="仿宋_GB2312" w:cs="仿宋_GB2312"/>
              </w:rPr>
            </w:pPr>
          </w:p>
        </w:tc>
        <w:tc>
          <w:tcPr>
            <w:tcW w:w="2268"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质量指标</w:t>
            </w:r>
          </w:p>
        </w:tc>
        <w:tc>
          <w:tcPr>
            <w:tcW w:w="198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运转保障率</w:t>
            </w:r>
          </w:p>
        </w:tc>
        <w:tc>
          <w:tcPr>
            <w:tcW w:w="3402"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运转保障率</w:t>
            </w:r>
          </w:p>
        </w:tc>
        <w:tc>
          <w:tcPr>
            <w:tcW w:w="1843"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100100%</w:t>
            </w:r>
          </w:p>
        </w:tc>
        <w:tc>
          <w:tcPr>
            <w:tcW w:w="215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拨付金额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jc w:val="center"/>
              <w:rPr>
                <w:rFonts w:hint="eastAsia" w:ascii="仿宋_GB2312" w:hAnsi="仿宋_GB2312" w:eastAsia="仿宋_GB2312" w:cs="仿宋_GB2312"/>
              </w:rPr>
            </w:pPr>
          </w:p>
        </w:tc>
        <w:tc>
          <w:tcPr>
            <w:tcW w:w="2268"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时效指标</w:t>
            </w:r>
          </w:p>
        </w:tc>
        <w:tc>
          <w:tcPr>
            <w:tcW w:w="198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经费拨付时间</w:t>
            </w:r>
          </w:p>
        </w:tc>
        <w:tc>
          <w:tcPr>
            <w:tcW w:w="3402"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经费拨付时间</w:t>
            </w:r>
          </w:p>
        </w:tc>
        <w:tc>
          <w:tcPr>
            <w:tcW w:w="1843"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规定时间</w:t>
            </w:r>
          </w:p>
        </w:tc>
        <w:tc>
          <w:tcPr>
            <w:tcW w:w="215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拨付时间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社会效益指标</w:t>
            </w:r>
          </w:p>
        </w:tc>
        <w:tc>
          <w:tcPr>
            <w:tcW w:w="198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提高专业化服务水平</w:t>
            </w:r>
          </w:p>
        </w:tc>
        <w:tc>
          <w:tcPr>
            <w:tcW w:w="3402"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提高专业化服务水平</w:t>
            </w:r>
          </w:p>
        </w:tc>
        <w:tc>
          <w:tcPr>
            <w:tcW w:w="1843"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不断提高</w:t>
            </w:r>
          </w:p>
        </w:tc>
        <w:tc>
          <w:tcPr>
            <w:tcW w:w="215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服务对象满意度指标</w:t>
            </w:r>
          </w:p>
        </w:tc>
        <w:tc>
          <w:tcPr>
            <w:tcW w:w="198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社区居民满意度</w:t>
            </w:r>
          </w:p>
        </w:tc>
        <w:tc>
          <w:tcPr>
            <w:tcW w:w="3402"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社区居民满意度</w:t>
            </w:r>
          </w:p>
        </w:tc>
        <w:tc>
          <w:tcPr>
            <w:tcW w:w="1843"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≥95%</w:t>
            </w:r>
          </w:p>
        </w:tc>
        <w:tc>
          <w:tcPr>
            <w:tcW w:w="215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3</w:t>
      </w:r>
      <w:r>
        <w:rPr>
          <w:rFonts w:hint="eastAsia" w:ascii="仿宋_GB2312" w:hAnsi="仿宋_GB2312" w:eastAsia="仿宋_GB2312" w:cs="仿宋_GB2312"/>
          <w:color w:val="000000"/>
          <w:sz w:val="28"/>
        </w:rPr>
        <w:t>.</w:t>
      </w:r>
      <w:r>
        <w:rPr>
          <w:rFonts w:hint="eastAsia" w:ascii="仿宋_GB2312" w:hAnsi="仿宋_GB2312" w:eastAsia="仿宋_GB2312" w:cs="仿宋_GB2312"/>
          <w:sz w:val="28"/>
        </w:rPr>
        <w:t>社区工作经费[区级]绩效目标表</w:t>
      </w:r>
    </w:p>
    <w:p>
      <w:pPr>
        <w:spacing w:line="14" w:lineRule="exact"/>
        <w:ind w:firstLine="420" w:firstLineChars="200"/>
        <w:jc w:val="center"/>
        <w:rPr>
          <w:rFonts w:hint="eastAsia" w:ascii="仿宋_GB2312" w:hAnsi="仿宋_GB2312" w:eastAsia="仿宋_GB2312" w:cs="仿宋_GB2312"/>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before="240"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before="240" w:line="300" w:lineRule="exact"/>
              <w:rPr>
                <w:rFonts w:hint="eastAsia" w:ascii="仿宋_GB2312" w:hAnsi="仿宋_GB2312" w:eastAsia="仿宋_GB2312" w:cs="仿宋_GB2312"/>
                <w:b/>
              </w:rPr>
            </w:pPr>
            <w:r>
              <w:rPr>
                <w:rFonts w:hint="eastAsia" w:ascii="仿宋_GB2312" w:hAnsi="仿宋_GB2312" w:eastAsia="仿宋_GB2312" w:cs="仿宋_GB2312"/>
                <w:b/>
              </w:rPr>
              <w:t>1.健全城乡社区助理体系2.提高社区管理能力3.促进社区建设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before="240"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before="240"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before="240"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before="240"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before="240"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before="240"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数量指标</w:t>
            </w:r>
          </w:p>
        </w:tc>
        <w:tc>
          <w:tcPr>
            <w:tcW w:w="1985"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保障社区数</w:t>
            </w:r>
          </w:p>
        </w:tc>
        <w:tc>
          <w:tcPr>
            <w:tcW w:w="3402"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保障社区数</w:t>
            </w:r>
          </w:p>
        </w:tc>
        <w:tc>
          <w:tcPr>
            <w:tcW w:w="1843"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9个</w:t>
            </w:r>
          </w:p>
        </w:tc>
        <w:tc>
          <w:tcPr>
            <w:tcW w:w="2155"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冀办【2019】41号文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before="240"/>
              <w:rPr>
                <w:rFonts w:hint="eastAsia" w:ascii="仿宋_GB2312" w:hAnsi="仿宋_GB2312" w:eastAsia="仿宋_GB2312" w:cs="仿宋_GB2312"/>
              </w:rPr>
            </w:pPr>
          </w:p>
        </w:tc>
        <w:tc>
          <w:tcPr>
            <w:tcW w:w="2268"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质量指标</w:t>
            </w:r>
          </w:p>
        </w:tc>
        <w:tc>
          <w:tcPr>
            <w:tcW w:w="1985"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运转保障率</w:t>
            </w:r>
          </w:p>
        </w:tc>
        <w:tc>
          <w:tcPr>
            <w:tcW w:w="3402"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运转保障率</w:t>
            </w:r>
          </w:p>
        </w:tc>
        <w:tc>
          <w:tcPr>
            <w:tcW w:w="1843"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100%</w:t>
            </w:r>
          </w:p>
        </w:tc>
        <w:tc>
          <w:tcPr>
            <w:tcW w:w="2155"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before="240"/>
              <w:rPr>
                <w:rFonts w:hint="eastAsia" w:ascii="仿宋_GB2312" w:hAnsi="仿宋_GB2312" w:eastAsia="仿宋_GB2312" w:cs="仿宋_GB2312"/>
              </w:rPr>
            </w:pPr>
          </w:p>
        </w:tc>
        <w:tc>
          <w:tcPr>
            <w:tcW w:w="2268"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时效指标</w:t>
            </w:r>
          </w:p>
        </w:tc>
        <w:tc>
          <w:tcPr>
            <w:tcW w:w="1985"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经费保障及时率</w:t>
            </w:r>
          </w:p>
        </w:tc>
        <w:tc>
          <w:tcPr>
            <w:tcW w:w="3402"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经费保障及时率</w:t>
            </w:r>
          </w:p>
        </w:tc>
        <w:tc>
          <w:tcPr>
            <w:tcW w:w="1843"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规定时间</w:t>
            </w:r>
          </w:p>
        </w:tc>
        <w:tc>
          <w:tcPr>
            <w:tcW w:w="2155"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拨付时间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before="240"/>
              <w:rPr>
                <w:rFonts w:hint="eastAsia" w:ascii="仿宋_GB2312" w:hAnsi="仿宋_GB2312" w:eastAsia="仿宋_GB2312" w:cs="仿宋_GB2312"/>
              </w:rPr>
            </w:pPr>
          </w:p>
        </w:tc>
        <w:tc>
          <w:tcPr>
            <w:tcW w:w="2268"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成本指标</w:t>
            </w:r>
          </w:p>
        </w:tc>
        <w:tc>
          <w:tcPr>
            <w:tcW w:w="1985"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资金成本</w:t>
            </w:r>
          </w:p>
        </w:tc>
        <w:tc>
          <w:tcPr>
            <w:tcW w:w="3402"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资金成本</w:t>
            </w:r>
          </w:p>
        </w:tc>
        <w:tc>
          <w:tcPr>
            <w:tcW w:w="1843"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≤10万元/社区/年</w:t>
            </w:r>
          </w:p>
        </w:tc>
        <w:tc>
          <w:tcPr>
            <w:tcW w:w="2155"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冀办【2019】41号文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社会效益指标</w:t>
            </w:r>
          </w:p>
        </w:tc>
        <w:tc>
          <w:tcPr>
            <w:tcW w:w="1985"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维持社区办公正常运转</w:t>
            </w:r>
          </w:p>
        </w:tc>
        <w:tc>
          <w:tcPr>
            <w:tcW w:w="3402"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维持社区办公正常运转</w:t>
            </w:r>
          </w:p>
        </w:tc>
        <w:tc>
          <w:tcPr>
            <w:tcW w:w="1843"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维持社区办公正常运转</w:t>
            </w:r>
          </w:p>
        </w:tc>
        <w:tc>
          <w:tcPr>
            <w:tcW w:w="2155"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服务对象满意度指标</w:t>
            </w:r>
          </w:p>
        </w:tc>
        <w:tc>
          <w:tcPr>
            <w:tcW w:w="1985"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社区居民满意度</w:t>
            </w:r>
          </w:p>
        </w:tc>
        <w:tc>
          <w:tcPr>
            <w:tcW w:w="3402"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社区居民满意度</w:t>
            </w:r>
          </w:p>
        </w:tc>
        <w:tc>
          <w:tcPr>
            <w:tcW w:w="1843"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≥95%</w:t>
            </w:r>
          </w:p>
        </w:tc>
        <w:tc>
          <w:tcPr>
            <w:tcW w:w="2155"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4.社区楼门长工作经费绩效目标表</w:t>
      </w:r>
    </w:p>
    <w:p>
      <w:pPr>
        <w:spacing w:line="14" w:lineRule="exact"/>
        <w:ind w:firstLine="420" w:firstLineChars="200"/>
        <w:jc w:val="center"/>
        <w:rPr>
          <w:rFonts w:hint="eastAsia" w:ascii="仿宋_GB2312" w:hAnsi="仿宋_GB2312" w:eastAsia="仿宋_GB2312" w:cs="仿宋_GB2312"/>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440" w:lineRule="exact"/>
              <w:rPr>
                <w:rFonts w:hint="eastAsia" w:ascii="仿宋_GB2312" w:hAnsi="仿宋_GB2312" w:eastAsia="仿宋_GB2312" w:cs="仿宋_GB2312"/>
                <w:b/>
              </w:rPr>
            </w:pPr>
            <w:r>
              <w:rPr>
                <w:rFonts w:hint="eastAsia" w:ascii="仿宋_GB2312" w:hAnsi="仿宋_GB2312" w:eastAsia="仿宋_GB2312" w:cs="仿宋_GB2312"/>
                <w:b/>
              </w:rPr>
              <w:t>1.群众参与2.提高社区管理水平3.提高社区服务水平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数量指标</w:t>
            </w:r>
          </w:p>
        </w:tc>
        <w:tc>
          <w:tcPr>
            <w:tcW w:w="198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享受待遇人数</w:t>
            </w:r>
          </w:p>
        </w:tc>
        <w:tc>
          <w:tcPr>
            <w:tcW w:w="3402"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享受待遇人数</w:t>
            </w:r>
          </w:p>
        </w:tc>
        <w:tc>
          <w:tcPr>
            <w:tcW w:w="1843"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≤275人</w:t>
            </w:r>
          </w:p>
        </w:tc>
        <w:tc>
          <w:tcPr>
            <w:tcW w:w="215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廊广办【2020】1号文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rPr>
                <w:rFonts w:hint="eastAsia" w:ascii="仿宋_GB2312" w:hAnsi="仿宋_GB2312" w:eastAsia="仿宋_GB2312" w:cs="仿宋_GB2312"/>
              </w:rPr>
            </w:pPr>
          </w:p>
        </w:tc>
        <w:tc>
          <w:tcPr>
            <w:tcW w:w="2268"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质量指标</w:t>
            </w:r>
          </w:p>
        </w:tc>
        <w:tc>
          <w:tcPr>
            <w:tcW w:w="198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发放覆盖率</w:t>
            </w:r>
          </w:p>
        </w:tc>
        <w:tc>
          <w:tcPr>
            <w:tcW w:w="3402"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发放覆盖率</w:t>
            </w:r>
          </w:p>
        </w:tc>
        <w:tc>
          <w:tcPr>
            <w:tcW w:w="1843"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100%</w:t>
            </w:r>
          </w:p>
        </w:tc>
        <w:tc>
          <w:tcPr>
            <w:tcW w:w="215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人员名册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rPr>
                <w:rFonts w:hint="eastAsia" w:ascii="仿宋_GB2312" w:hAnsi="仿宋_GB2312" w:eastAsia="仿宋_GB2312" w:cs="仿宋_GB2312"/>
              </w:rPr>
            </w:pPr>
          </w:p>
        </w:tc>
        <w:tc>
          <w:tcPr>
            <w:tcW w:w="2268"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时效指标</w:t>
            </w:r>
          </w:p>
        </w:tc>
        <w:tc>
          <w:tcPr>
            <w:tcW w:w="198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发放及时率</w:t>
            </w:r>
          </w:p>
        </w:tc>
        <w:tc>
          <w:tcPr>
            <w:tcW w:w="3402"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发放及时率</w:t>
            </w:r>
          </w:p>
        </w:tc>
        <w:tc>
          <w:tcPr>
            <w:tcW w:w="1843"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≥95%</w:t>
            </w:r>
          </w:p>
        </w:tc>
        <w:tc>
          <w:tcPr>
            <w:tcW w:w="215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规定时间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rPr>
                <w:rFonts w:hint="eastAsia" w:ascii="仿宋_GB2312" w:hAnsi="仿宋_GB2312" w:eastAsia="仿宋_GB2312" w:cs="仿宋_GB2312"/>
              </w:rPr>
            </w:pPr>
          </w:p>
        </w:tc>
        <w:tc>
          <w:tcPr>
            <w:tcW w:w="2268"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成本指标</w:t>
            </w:r>
          </w:p>
        </w:tc>
        <w:tc>
          <w:tcPr>
            <w:tcW w:w="198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楼门长补贴标准</w:t>
            </w:r>
          </w:p>
        </w:tc>
        <w:tc>
          <w:tcPr>
            <w:tcW w:w="3402"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楼门长补贴标准</w:t>
            </w:r>
          </w:p>
        </w:tc>
        <w:tc>
          <w:tcPr>
            <w:tcW w:w="1843"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规定标准</w:t>
            </w:r>
          </w:p>
        </w:tc>
        <w:tc>
          <w:tcPr>
            <w:tcW w:w="215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廊广办【2020】1号文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社会效益指标</w:t>
            </w:r>
          </w:p>
        </w:tc>
        <w:tc>
          <w:tcPr>
            <w:tcW w:w="198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提高楼门长工作积极性</w:t>
            </w:r>
          </w:p>
        </w:tc>
        <w:tc>
          <w:tcPr>
            <w:tcW w:w="3402"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提高楼门长工作积极性</w:t>
            </w:r>
          </w:p>
        </w:tc>
        <w:tc>
          <w:tcPr>
            <w:tcW w:w="1843"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提高楼门长工作积极性</w:t>
            </w:r>
          </w:p>
        </w:tc>
        <w:tc>
          <w:tcPr>
            <w:tcW w:w="215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 xml:space="preserve">问询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服务对象满意度指标</w:t>
            </w:r>
          </w:p>
        </w:tc>
        <w:tc>
          <w:tcPr>
            <w:tcW w:w="198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受补贴人员满意度</w:t>
            </w:r>
          </w:p>
        </w:tc>
        <w:tc>
          <w:tcPr>
            <w:tcW w:w="3402"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受补贴人员满意度</w:t>
            </w:r>
          </w:p>
        </w:tc>
        <w:tc>
          <w:tcPr>
            <w:tcW w:w="1843"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≥95%</w:t>
            </w:r>
          </w:p>
        </w:tc>
        <w:tc>
          <w:tcPr>
            <w:tcW w:w="215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pStyle w:val="2"/>
        <w:spacing w:before="0" w:after="0" w:line="240" w:lineRule="auto"/>
        <w:rPr>
          <w:rFonts w:hint="eastAsia"/>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5</w:t>
      </w:r>
      <w:r>
        <w:rPr>
          <w:rFonts w:hint="eastAsia" w:ascii="仿宋_GB2312" w:hAnsi="仿宋_GB2312" w:eastAsia="仿宋_GB2312" w:cs="仿宋_GB2312"/>
          <w:color w:val="000000"/>
          <w:sz w:val="28"/>
        </w:rPr>
        <w:t>.</w:t>
      </w:r>
      <w:r>
        <w:rPr>
          <w:rFonts w:hint="eastAsia" w:ascii="仿宋_GB2312" w:hAnsi="仿宋_GB2312" w:eastAsia="仿宋_GB2312" w:cs="仿宋_GB2312"/>
          <w:sz w:val="28"/>
        </w:rPr>
        <w:t>社区招聘人员经费[区级]绩效目标表</w:t>
      </w:r>
    </w:p>
    <w:p>
      <w:pPr>
        <w:spacing w:line="14" w:lineRule="exact"/>
        <w:ind w:firstLine="420" w:firstLineChars="200"/>
        <w:jc w:val="center"/>
        <w:rPr>
          <w:rFonts w:hint="eastAsia" w:ascii="仿宋_GB2312" w:hAnsi="仿宋_GB2312" w:eastAsia="仿宋_GB2312" w:cs="仿宋_GB2312"/>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5"/>
              <w:spacing w:line="440" w:lineRule="exact"/>
              <w:rPr>
                <w:rFonts w:hint="eastAsia" w:ascii="仿宋_GB2312" w:hAnsi="仿宋_GB2312" w:eastAsia="仿宋_GB2312" w:cs="仿宋_GB2312"/>
                <w:b/>
              </w:rPr>
            </w:pPr>
            <w:r>
              <w:rPr>
                <w:rFonts w:hint="eastAsia" w:ascii="仿宋_GB2312" w:hAnsi="仿宋_GB2312" w:eastAsia="仿宋_GB2312" w:cs="仿宋_GB2312"/>
                <w:b/>
                <w:kern w:val="2"/>
                <w:szCs w:val="22"/>
                <w:lang w:eastAsia="zh-CN"/>
              </w:rPr>
              <w:t>1.保障工资发放2.保障保险缴纳3.维护人员稳定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保障招聘人员人数</w:t>
            </w:r>
          </w:p>
        </w:tc>
        <w:tc>
          <w:tcPr>
            <w:tcW w:w="3402"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保障招聘人员人数</w:t>
            </w:r>
          </w:p>
        </w:tc>
        <w:tc>
          <w:tcPr>
            <w:tcW w:w="1843"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64人</w:t>
            </w:r>
          </w:p>
        </w:tc>
        <w:tc>
          <w:tcPr>
            <w:tcW w:w="215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人员名册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rPr>
                <w:rFonts w:hint="eastAsia" w:ascii="仿宋_GB2312" w:hAnsi="仿宋_GB2312" w:eastAsia="仿宋_GB2312" w:cs="仿宋_GB2312"/>
              </w:rPr>
            </w:pPr>
          </w:p>
        </w:tc>
        <w:tc>
          <w:tcPr>
            <w:tcW w:w="2268"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工资发放准确率</w:t>
            </w:r>
          </w:p>
        </w:tc>
        <w:tc>
          <w:tcPr>
            <w:tcW w:w="3402"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工资发放准确率</w:t>
            </w:r>
          </w:p>
        </w:tc>
        <w:tc>
          <w:tcPr>
            <w:tcW w:w="1843"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廊广组【2021】131号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rPr>
                <w:rFonts w:hint="eastAsia" w:ascii="仿宋_GB2312" w:hAnsi="仿宋_GB2312" w:eastAsia="仿宋_GB2312" w:cs="仿宋_GB2312"/>
              </w:rPr>
            </w:pPr>
          </w:p>
        </w:tc>
        <w:tc>
          <w:tcPr>
            <w:tcW w:w="2268"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工资按时发放</w:t>
            </w:r>
          </w:p>
        </w:tc>
        <w:tc>
          <w:tcPr>
            <w:tcW w:w="3402"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工资按时发放情况</w:t>
            </w:r>
          </w:p>
        </w:tc>
        <w:tc>
          <w:tcPr>
            <w:tcW w:w="1843"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规定时间</w:t>
            </w:r>
          </w:p>
        </w:tc>
        <w:tc>
          <w:tcPr>
            <w:tcW w:w="215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rPr>
                <w:rFonts w:hint="eastAsia" w:ascii="仿宋_GB2312" w:hAnsi="仿宋_GB2312" w:eastAsia="仿宋_GB2312" w:cs="仿宋_GB2312"/>
              </w:rPr>
            </w:pPr>
          </w:p>
        </w:tc>
        <w:tc>
          <w:tcPr>
            <w:tcW w:w="2268"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人员工资保险标准</w:t>
            </w:r>
          </w:p>
        </w:tc>
        <w:tc>
          <w:tcPr>
            <w:tcW w:w="3402"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人员工资保险标准</w:t>
            </w:r>
          </w:p>
        </w:tc>
        <w:tc>
          <w:tcPr>
            <w:tcW w:w="1843"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规定标准</w:t>
            </w:r>
          </w:p>
        </w:tc>
        <w:tc>
          <w:tcPr>
            <w:tcW w:w="215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廊广组【2021】131号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确保人员稳定</w:t>
            </w:r>
          </w:p>
        </w:tc>
        <w:tc>
          <w:tcPr>
            <w:tcW w:w="3402"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确保人员稳定</w:t>
            </w:r>
          </w:p>
        </w:tc>
        <w:tc>
          <w:tcPr>
            <w:tcW w:w="1843"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确保人员稳定</w:t>
            </w:r>
          </w:p>
        </w:tc>
        <w:tc>
          <w:tcPr>
            <w:tcW w:w="215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招聘人员满意度</w:t>
            </w:r>
          </w:p>
        </w:tc>
        <w:tc>
          <w:tcPr>
            <w:tcW w:w="3402"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招聘人员满意度</w:t>
            </w:r>
          </w:p>
        </w:tc>
        <w:tc>
          <w:tcPr>
            <w:tcW w:w="1843"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问卷</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rPr>
        <w:t>部门政府采购预算</w:t>
      </w:r>
      <w:bookmarkEnd w:id="2"/>
    </w:p>
    <w:p>
      <w:pPr>
        <w:jc w:val="left"/>
        <w:outlineLvl w:val="1"/>
        <w:rPr>
          <w:rFonts w:ascii="方正小标宋_GBK" w:eastAsia="方正小标宋_GBK" w:cs="Times New Roman"/>
          <w:sz w:val="32"/>
        </w:rPr>
      </w:pPr>
      <w:r>
        <w:t>[920001]</w:t>
      </w:r>
      <w:r>
        <w:rPr>
          <w:rFonts w:hint="eastAsia"/>
        </w:rPr>
        <w:t>廊坊市广阳区新源道街道办事处</w:t>
      </w:r>
      <w:r>
        <w:t xml:space="preserve">                                                                                      单位：万元</w:t>
      </w:r>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00"/>
        <w:gridCol w:w="822"/>
        <w:gridCol w:w="890"/>
        <w:gridCol w:w="1199"/>
        <w:gridCol w:w="652"/>
        <w:gridCol w:w="782"/>
        <w:gridCol w:w="782"/>
        <w:gridCol w:w="686"/>
        <w:gridCol w:w="853"/>
        <w:gridCol w:w="853"/>
        <w:gridCol w:w="1157"/>
        <w:gridCol w:w="887"/>
        <w:gridCol w:w="887"/>
        <w:gridCol w:w="887"/>
        <w:gridCol w:w="888"/>
        <w:gridCol w:w="8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678" w:type="pct"/>
            <w:gridSpan w:val="2"/>
            <w:vAlign w:val="center"/>
          </w:tcPr>
          <w:p>
            <w:pPr>
              <w:pStyle w:val="13"/>
            </w:pPr>
            <w:r>
              <w:t>政府采购项目来源</w:t>
            </w:r>
          </w:p>
        </w:tc>
        <w:tc>
          <w:tcPr>
            <w:tcW w:w="314" w:type="pct"/>
            <w:vMerge w:val="restart"/>
            <w:vAlign w:val="center"/>
          </w:tcPr>
          <w:p>
            <w:pPr>
              <w:pStyle w:val="13"/>
            </w:pPr>
            <w:r>
              <w:t>采购物品名称</w:t>
            </w:r>
          </w:p>
        </w:tc>
        <w:tc>
          <w:tcPr>
            <w:tcW w:w="423" w:type="pct"/>
            <w:vMerge w:val="restart"/>
            <w:vAlign w:val="center"/>
          </w:tcPr>
          <w:p>
            <w:pPr>
              <w:pStyle w:val="13"/>
            </w:pPr>
            <w:r>
              <w:t>政府采购目录序号</w:t>
            </w:r>
          </w:p>
        </w:tc>
        <w:tc>
          <w:tcPr>
            <w:tcW w:w="230" w:type="pct"/>
            <w:vMerge w:val="restart"/>
            <w:vAlign w:val="center"/>
          </w:tcPr>
          <w:p>
            <w:pPr>
              <w:pStyle w:val="13"/>
            </w:pPr>
            <w:r>
              <w:t>计量  单位</w:t>
            </w:r>
          </w:p>
        </w:tc>
        <w:tc>
          <w:tcPr>
            <w:tcW w:w="276" w:type="pct"/>
            <w:vMerge w:val="restart"/>
            <w:vAlign w:val="center"/>
          </w:tcPr>
          <w:p>
            <w:pPr>
              <w:pStyle w:val="13"/>
            </w:pPr>
            <w:r>
              <w:t>数量</w:t>
            </w:r>
          </w:p>
        </w:tc>
        <w:tc>
          <w:tcPr>
            <w:tcW w:w="276" w:type="pct"/>
            <w:vMerge w:val="restart"/>
            <w:vAlign w:val="center"/>
          </w:tcPr>
          <w:p>
            <w:pPr>
              <w:pStyle w:val="13"/>
            </w:pPr>
            <w:r>
              <w:t>单价</w:t>
            </w:r>
          </w:p>
        </w:tc>
        <w:tc>
          <w:tcPr>
            <w:tcW w:w="2504" w:type="pct"/>
            <w:gridSpan w:val="8"/>
            <w:vAlign w:val="center"/>
          </w:tcPr>
          <w:p>
            <w:pPr>
              <w:pStyle w:val="13"/>
            </w:pPr>
            <w:r>
              <w:t>政府采购金额（当年部门预算安排资金）</w:t>
            </w:r>
          </w:p>
        </w:tc>
        <w:tc>
          <w:tcPr>
            <w:tcW w:w="300" w:type="pct"/>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388" w:type="pct"/>
            <w:vAlign w:val="center"/>
          </w:tcPr>
          <w:p>
            <w:pPr>
              <w:pStyle w:val="13"/>
            </w:pPr>
            <w:r>
              <w:t>项目名称</w:t>
            </w:r>
          </w:p>
        </w:tc>
        <w:tc>
          <w:tcPr>
            <w:tcW w:w="289" w:type="pct"/>
            <w:vAlign w:val="center"/>
          </w:tcPr>
          <w:p>
            <w:pPr>
              <w:pStyle w:val="13"/>
            </w:pPr>
            <w:r>
              <w:t>预算    资金</w:t>
            </w:r>
          </w:p>
        </w:tc>
        <w:tc>
          <w:tcPr>
            <w:tcW w:w="314" w:type="pct"/>
            <w:vMerge w:val="continue"/>
          </w:tcPr>
          <w:p/>
        </w:tc>
        <w:tc>
          <w:tcPr>
            <w:tcW w:w="423" w:type="pct"/>
            <w:vMerge w:val="continue"/>
          </w:tcPr>
          <w:p/>
        </w:tc>
        <w:tc>
          <w:tcPr>
            <w:tcW w:w="230" w:type="pct"/>
            <w:vMerge w:val="continue"/>
          </w:tcPr>
          <w:p/>
        </w:tc>
        <w:tc>
          <w:tcPr>
            <w:tcW w:w="276" w:type="pct"/>
            <w:vMerge w:val="continue"/>
          </w:tcPr>
          <w:p/>
        </w:tc>
        <w:tc>
          <w:tcPr>
            <w:tcW w:w="276" w:type="pct"/>
            <w:vMerge w:val="continue"/>
          </w:tcPr>
          <w:p/>
        </w:tc>
        <w:tc>
          <w:tcPr>
            <w:tcW w:w="242" w:type="pct"/>
            <w:vAlign w:val="center"/>
          </w:tcPr>
          <w:p>
            <w:pPr>
              <w:pStyle w:val="13"/>
            </w:pPr>
            <w:r>
              <w:t>合计</w:t>
            </w:r>
          </w:p>
        </w:tc>
        <w:tc>
          <w:tcPr>
            <w:tcW w:w="301" w:type="pct"/>
            <w:vAlign w:val="center"/>
          </w:tcPr>
          <w:p>
            <w:pPr>
              <w:pStyle w:val="13"/>
            </w:pPr>
            <w:r>
              <w:t>一般公共预算拨款</w:t>
            </w:r>
          </w:p>
        </w:tc>
        <w:tc>
          <w:tcPr>
            <w:tcW w:w="301" w:type="pct"/>
            <w:vAlign w:val="center"/>
          </w:tcPr>
          <w:p>
            <w:pPr>
              <w:pStyle w:val="13"/>
            </w:pPr>
            <w:r>
              <w:t>基金预算拨款</w:t>
            </w:r>
          </w:p>
        </w:tc>
        <w:tc>
          <w:tcPr>
            <w:tcW w:w="408" w:type="pct"/>
            <w:vAlign w:val="center"/>
          </w:tcPr>
          <w:p>
            <w:pPr>
              <w:pStyle w:val="13"/>
            </w:pPr>
            <w:r>
              <w:t>国有资本经营预算拨款</w:t>
            </w:r>
          </w:p>
        </w:tc>
        <w:tc>
          <w:tcPr>
            <w:tcW w:w="313" w:type="pct"/>
            <w:vAlign w:val="center"/>
          </w:tcPr>
          <w:p>
            <w:pPr>
              <w:pStyle w:val="13"/>
            </w:pPr>
            <w:r>
              <w:t>财政专户核拨</w:t>
            </w:r>
          </w:p>
        </w:tc>
        <w:tc>
          <w:tcPr>
            <w:tcW w:w="313" w:type="pct"/>
            <w:vAlign w:val="center"/>
          </w:tcPr>
          <w:p>
            <w:pPr>
              <w:pStyle w:val="13"/>
            </w:pPr>
            <w:r>
              <w:t>单位    资金</w:t>
            </w:r>
          </w:p>
        </w:tc>
        <w:tc>
          <w:tcPr>
            <w:tcW w:w="313" w:type="pct"/>
            <w:vAlign w:val="center"/>
          </w:tcPr>
          <w:p>
            <w:pPr>
              <w:pStyle w:val="13"/>
            </w:pPr>
            <w:r>
              <w:t>财政拨    款结转</w:t>
            </w:r>
          </w:p>
        </w:tc>
        <w:tc>
          <w:tcPr>
            <w:tcW w:w="313" w:type="pct"/>
            <w:vAlign w:val="center"/>
          </w:tcPr>
          <w:p>
            <w:pPr>
              <w:pStyle w:val="13"/>
            </w:pPr>
            <w:r>
              <w:t>非财政    拨款结    转结余</w:t>
            </w:r>
          </w:p>
        </w:tc>
        <w:tc>
          <w:tcPr>
            <w:tcW w:w="300"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388" w:type="pct"/>
            <w:vAlign w:val="center"/>
          </w:tcPr>
          <w:p>
            <w:pPr>
              <w:pStyle w:val="17"/>
            </w:pPr>
            <w:r>
              <w:t>合  计</w:t>
            </w:r>
          </w:p>
        </w:tc>
        <w:tc>
          <w:tcPr>
            <w:tcW w:w="289" w:type="pct"/>
            <w:vAlign w:val="center"/>
          </w:tcPr>
          <w:p>
            <w:pPr>
              <w:pStyle w:val="18"/>
            </w:pPr>
          </w:p>
        </w:tc>
        <w:tc>
          <w:tcPr>
            <w:tcW w:w="314" w:type="pct"/>
            <w:vAlign w:val="center"/>
          </w:tcPr>
          <w:p>
            <w:pPr>
              <w:pStyle w:val="19"/>
            </w:pPr>
          </w:p>
        </w:tc>
        <w:tc>
          <w:tcPr>
            <w:tcW w:w="423" w:type="pct"/>
            <w:vAlign w:val="center"/>
          </w:tcPr>
          <w:p>
            <w:pPr>
              <w:pStyle w:val="19"/>
            </w:pPr>
          </w:p>
        </w:tc>
        <w:tc>
          <w:tcPr>
            <w:tcW w:w="230" w:type="pct"/>
            <w:vAlign w:val="center"/>
          </w:tcPr>
          <w:p>
            <w:pPr>
              <w:pStyle w:val="17"/>
            </w:pPr>
          </w:p>
        </w:tc>
        <w:tc>
          <w:tcPr>
            <w:tcW w:w="276" w:type="pct"/>
            <w:vAlign w:val="center"/>
          </w:tcPr>
          <w:p>
            <w:pPr>
              <w:pStyle w:val="18"/>
            </w:pPr>
          </w:p>
        </w:tc>
        <w:tc>
          <w:tcPr>
            <w:tcW w:w="276" w:type="pct"/>
            <w:vAlign w:val="center"/>
          </w:tcPr>
          <w:p>
            <w:pPr>
              <w:pStyle w:val="18"/>
            </w:pPr>
          </w:p>
        </w:tc>
        <w:tc>
          <w:tcPr>
            <w:tcW w:w="242" w:type="pct"/>
            <w:vAlign w:val="center"/>
          </w:tcPr>
          <w:p>
            <w:pPr>
              <w:pStyle w:val="18"/>
            </w:pPr>
          </w:p>
        </w:tc>
        <w:tc>
          <w:tcPr>
            <w:tcW w:w="301" w:type="pct"/>
            <w:vAlign w:val="center"/>
          </w:tcPr>
          <w:p>
            <w:pPr>
              <w:pStyle w:val="18"/>
            </w:pPr>
          </w:p>
        </w:tc>
        <w:tc>
          <w:tcPr>
            <w:tcW w:w="301" w:type="pct"/>
            <w:vAlign w:val="center"/>
          </w:tcPr>
          <w:p>
            <w:pPr>
              <w:pStyle w:val="18"/>
            </w:pPr>
          </w:p>
        </w:tc>
        <w:tc>
          <w:tcPr>
            <w:tcW w:w="408" w:type="pct"/>
            <w:vAlign w:val="center"/>
          </w:tcPr>
          <w:p>
            <w:pPr>
              <w:pStyle w:val="18"/>
            </w:pPr>
          </w:p>
        </w:tc>
        <w:tc>
          <w:tcPr>
            <w:tcW w:w="313" w:type="pct"/>
            <w:vAlign w:val="center"/>
          </w:tcPr>
          <w:p>
            <w:pPr>
              <w:pStyle w:val="18"/>
            </w:pPr>
          </w:p>
        </w:tc>
        <w:tc>
          <w:tcPr>
            <w:tcW w:w="313" w:type="pct"/>
            <w:vAlign w:val="center"/>
          </w:tcPr>
          <w:p>
            <w:pPr>
              <w:pStyle w:val="18"/>
            </w:pPr>
          </w:p>
        </w:tc>
        <w:tc>
          <w:tcPr>
            <w:tcW w:w="313" w:type="pct"/>
            <w:vAlign w:val="center"/>
          </w:tcPr>
          <w:p>
            <w:pPr>
              <w:pStyle w:val="18"/>
            </w:pPr>
          </w:p>
        </w:tc>
        <w:tc>
          <w:tcPr>
            <w:tcW w:w="313" w:type="pct"/>
            <w:vAlign w:val="center"/>
          </w:tcPr>
          <w:p>
            <w:pPr>
              <w:pStyle w:val="18"/>
            </w:pPr>
          </w:p>
        </w:tc>
        <w:tc>
          <w:tcPr>
            <w:tcW w:w="3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388" w:type="pct"/>
            <w:vAlign w:val="center"/>
          </w:tcPr>
          <w:p>
            <w:pPr>
              <w:pStyle w:val="17"/>
            </w:pPr>
          </w:p>
        </w:tc>
        <w:tc>
          <w:tcPr>
            <w:tcW w:w="289" w:type="pct"/>
            <w:vAlign w:val="center"/>
          </w:tcPr>
          <w:p>
            <w:pPr>
              <w:pStyle w:val="18"/>
            </w:pPr>
          </w:p>
        </w:tc>
        <w:tc>
          <w:tcPr>
            <w:tcW w:w="314" w:type="pct"/>
            <w:vAlign w:val="center"/>
          </w:tcPr>
          <w:p>
            <w:pPr>
              <w:pStyle w:val="19"/>
            </w:pPr>
          </w:p>
        </w:tc>
        <w:tc>
          <w:tcPr>
            <w:tcW w:w="423" w:type="pct"/>
            <w:vAlign w:val="center"/>
          </w:tcPr>
          <w:p>
            <w:pPr>
              <w:pStyle w:val="19"/>
            </w:pPr>
          </w:p>
        </w:tc>
        <w:tc>
          <w:tcPr>
            <w:tcW w:w="230" w:type="pct"/>
            <w:vAlign w:val="center"/>
          </w:tcPr>
          <w:p>
            <w:pPr>
              <w:pStyle w:val="17"/>
            </w:pPr>
          </w:p>
        </w:tc>
        <w:tc>
          <w:tcPr>
            <w:tcW w:w="276" w:type="pct"/>
            <w:vAlign w:val="center"/>
          </w:tcPr>
          <w:p>
            <w:pPr>
              <w:pStyle w:val="18"/>
            </w:pPr>
          </w:p>
        </w:tc>
        <w:tc>
          <w:tcPr>
            <w:tcW w:w="276" w:type="pct"/>
            <w:vAlign w:val="center"/>
          </w:tcPr>
          <w:p>
            <w:pPr>
              <w:pStyle w:val="18"/>
            </w:pPr>
          </w:p>
        </w:tc>
        <w:tc>
          <w:tcPr>
            <w:tcW w:w="242" w:type="pct"/>
            <w:vAlign w:val="center"/>
          </w:tcPr>
          <w:p>
            <w:pPr>
              <w:pStyle w:val="18"/>
            </w:pPr>
          </w:p>
        </w:tc>
        <w:tc>
          <w:tcPr>
            <w:tcW w:w="301" w:type="pct"/>
            <w:vAlign w:val="center"/>
          </w:tcPr>
          <w:p>
            <w:pPr>
              <w:pStyle w:val="18"/>
            </w:pPr>
          </w:p>
        </w:tc>
        <w:tc>
          <w:tcPr>
            <w:tcW w:w="301" w:type="pct"/>
            <w:vAlign w:val="center"/>
          </w:tcPr>
          <w:p>
            <w:pPr>
              <w:pStyle w:val="18"/>
            </w:pPr>
          </w:p>
        </w:tc>
        <w:tc>
          <w:tcPr>
            <w:tcW w:w="408" w:type="pct"/>
            <w:vAlign w:val="center"/>
          </w:tcPr>
          <w:p>
            <w:pPr>
              <w:pStyle w:val="18"/>
            </w:pPr>
          </w:p>
        </w:tc>
        <w:tc>
          <w:tcPr>
            <w:tcW w:w="313" w:type="pct"/>
            <w:vAlign w:val="center"/>
          </w:tcPr>
          <w:p>
            <w:pPr>
              <w:pStyle w:val="18"/>
            </w:pPr>
          </w:p>
        </w:tc>
        <w:tc>
          <w:tcPr>
            <w:tcW w:w="313" w:type="pct"/>
            <w:vAlign w:val="center"/>
          </w:tcPr>
          <w:p>
            <w:pPr>
              <w:pStyle w:val="18"/>
            </w:pPr>
          </w:p>
        </w:tc>
        <w:tc>
          <w:tcPr>
            <w:tcW w:w="313" w:type="pct"/>
            <w:vAlign w:val="center"/>
          </w:tcPr>
          <w:p>
            <w:pPr>
              <w:pStyle w:val="18"/>
            </w:pPr>
          </w:p>
        </w:tc>
        <w:tc>
          <w:tcPr>
            <w:tcW w:w="313" w:type="pct"/>
            <w:vAlign w:val="center"/>
          </w:tcPr>
          <w:p>
            <w:pPr>
              <w:pStyle w:val="18"/>
            </w:pPr>
          </w:p>
        </w:tc>
        <w:tc>
          <w:tcPr>
            <w:tcW w:w="300" w:type="pct"/>
            <w:vAlign w:val="center"/>
          </w:tcPr>
          <w:p>
            <w:pPr>
              <w:pStyle w:val="18"/>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广阳区新源道街道办事处</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214.43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tbl>
      <w:tblPr>
        <w:tblStyle w:val="9"/>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sz w:val="32"/>
                <w:szCs w:val="32"/>
              </w:rPr>
              <w:t>廊坊市</w:t>
            </w:r>
            <w:r>
              <w:rPr>
                <w:rFonts w:hint="eastAsia" w:ascii="Times New Roman" w:hAnsi="Times New Roman" w:eastAsia="仿宋_GB2312" w:cs="Times New Roman"/>
                <w:b/>
                <w:bCs/>
                <w:sz w:val="32"/>
                <w:szCs w:val="32"/>
              </w:rPr>
              <w:t>广阳区新源道街道办事处</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广阳区新源道街道办事处</w:t>
            </w:r>
          </w:p>
        </w:tc>
        <w:tc>
          <w:tcPr>
            <w:tcW w:w="5103" w:type="dxa"/>
            <w:tcBorders>
              <w:top w:val="nil"/>
              <w:left w:val="nil"/>
              <w:bottom w:val="nil"/>
              <w:right w:val="nil"/>
            </w:tcBorders>
            <w:shd w:val="clear" w:color="auto" w:fill="auto"/>
            <w:noWrap/>
            <w:vAlign w:val="center"/>
          </w:tcPr>
          <w:p>
            <w:pPr>
              <w:widowControl/>
              <w:spacing w:line="584" w:lineRule="exact"/>
              <w:ind w:firstLine="1980" w:firstLineChars="90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r>
              <w:rPr>
                <w:rFonts w:ascii="Times New Roman" w:hAnsi="Times New Roman" w:eastAsia="仿宋_GB2312" w:cs="Times New Roman"/>
                <w:sz w:val="22"/>
              </w:rPr>
              <w:t>14.43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28.68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321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185.75</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5"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w:t>
    </w:r>
    <w:r>
      <w:fldChar w:fldCharType="begin"/>
    </w:r>
    <w:r>
      <w:instrText xml:space="preserve">PAGE   \* MERGEFORMAT</w:instrText>
    </w:r>
    <w:r>
      <w:fldChar w:fldCharType="separate"/>
    </w:r>
    <w:r>
      <w:rPr>
        <w:lang w:val="zh-CN"/>
      </w:rPr>
      <w:t>17</w:t>
    </w:r>
    <w:r>
      <w:rPr>
        <w:lang w:val="zh-CN"/>
      </w:rPr>
      <w:fldChar w:fldCharType="end"/>
    </w:r>
    <w:r>
      <w:rPr>
        <w:rFonts w:hint="eastAsia"/>
      </w:rPr>
      <w:t>-</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13795"/>
    <w:rsid w:val="000230E6"/>
    <w:rsid w:val="0009781E"/>
    <w:rsid w:val="000F6018"/>
    <w:rsid w:val="00186288"/>
    <w:rsid w:val="001F5234"/>
    <w:rsid w:val="0025632D"/>
    <w:rsid w:val="003059E0"/>
    <w:rsid w:val="004A54AA"/>
    <w:rsid w:val="005D6201"/>
    <w:rsid w:val="00647C90"/>
    <w:rsid w:val="006A61EA"/>
    <w:rsid w:val="00944233"/>
    <w:rsid w:val="0095577E"/>
    <w:rsid w:val="00A759CD"/>
    <w:rsid w:val="00B25FA2"/>
    <w:rsid w:val="00B40732"/>
    <w:rsid w:val="00B7021C"/>
    <w:rsid w:val="00B76C77"/>
    <w:rsid w:val="00B80935"/>
    <w:rsid w:val="00D347CC"/>
    <w:rsid w:val="00D8122B"/>
    <w:rsid w:val="00D81BB8"/>
    <w:rsid w:val="00DC72B4"/>
    <w:rsid w:val="00E34CC0"/>
    <w:rsid w:val="00E70CFB"/>
    <w:rsid w:val="00E93325"/>
    <w:rsid w:val="00F25E92"/>
    <w:rsid w:val="07EF6488"/>
    <w:rsid w:val="0CEC1180"/>
    <w:rsid w:val="14E86FCB"/>
    <w:rsid w:val="16377978"/>
    <w:rsid w:val="209704FB"/>
    <w:rsid w:val="35295DA2"/>
    <w:rsid w:val="367943B2"/>
    <w:rsid w:val="3995213C"/>
    <w:rsid w:val="452B2F69"/>
    <w:rsid w:val="4863409B"/>
    <w:rsid w:val="4D312B8D"/>
    <w:rsid w:val="54EB4EAE"/>
    <w:rsid w:val="559141D5"/>
    <w:rsid w:val="5E305806"/>
    <w:rsid w:val="63C70BF4"/>
    <w:rsid w:val="6D8E1B2B"/>
    <w:rsid w:val="73693C55"/>
    <w:rsid w:val="75D04AE1"/>
    <w:rsid w:val="7C4E0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6">
    <w:name w:val="toc 1"/>
    <w:basedOn w:val="1"/>
    <w:next w:val="1"/>
    <w:qFormat/>
    <w:uiPriority w:val="0"/>
    <w:rPr>
      <w:rFonts w:ascii="Times New Roman" w:hAnsi="Times New Roman" w:cs="Times New Roman"/>
      <w:szCs w:val="24"/>
    </w:rPr>
  </w:style>
  <w:style w:type="paragraph" w:styleId="7">
    <w:name w:val="footnote text"/>
    <w:basedOn w:val="1"/>
    <w:qFormat/>
    <w:uiPriority w:val="0"/>
    <w:pPr>
      <w:snapToGrid w:val="0"/>
      <w:jc w:val="left"/>
    </w:pPr>
    <w:rPr>
      <w:rFonts w:cs="Times New Roman"/>
      <w:sz w:val="18"/>
      <w:szCs w:val="18"/>
    </w:rPr>
  </w:style>
  <w:style w:type="paragraph" w:styleId="8">
    <w:name w:val="toc 2"/>
    <w:basedOn w:val="1"/>
    <w:next w:val="1"/>
    <w:qFormat/>
    <w:uiPriority w:val="0"/>
    <w:pPr>
      <w:ind w:left="200" w:leftChars="200"/>
    </w:pPr>
    <w:rPr>
      <w:rFonts w:ascii="Times New Roman" w:hAnsi="Times New Roman" w:cs="Times New Roman"/>
      <w:szCs w:val="24"/>
    </w:rPr>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4">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5">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6">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7">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8">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9">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20">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2">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1083</Words>
  <Characters>6176</Characters>
  <Lines>51</Lines>
  <Paragraphs>14</Paragraphs>
  <TotalTime>2</TotalTime>
  <ScaleCrop>false</ScaleCrop>
  <LinksUpToDate>false</LinksUpToDate>
  <CharactersWithSpaces>7245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2022-03-13T06:13:00Z</dcterms:created>
  <dc:creator>guest</dc:creator>
  <cp:lastModifiedBy>XCK</cp:lastModifiedBy>
  <cp:lastPrinted>2018-01-30T06:12:00Z</cp:lastPrinted>
  <dcterms:modified xsi:type="dcterms:W3CDTF">2023-06-02T03:15:56Z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A88388C81E8B42BC8C7B6F611DFBEA9E</vt:lpwstr>
  </property>
</Properties>
</file>