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廊坊市第十二小学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廊坊市第十二小学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9"/>
        <w:shd w:val="clear" w:color="auto" w:fill="FFFFFF"/>
        <w:spacing w:line="579" w:lineRule="exact"/>
        <w:ind w:firstLine="320" w:firstLineChars="100"/>
        <w:rPr>
          <w:rFonts w:ascii="仿宋_GB2312" w:eastAsia="仿宋_GB2312"/>
          <w:sz w:val="32"/>
          <w:szCs w:val="32"/>
        </w:rPr>
      </w:pPr>
      <w:r>
        <w:rPr>
          <w:rFonts w:hint="eastAsia" w:ascii="仿宋_GB2312" w:eastAsia="仿宋_GB2312"/>
          <w:sz w:val="32"/>
          <w:szCs w:val="32"/>
        </w:rPr>
        <w:t>（一）正确贯彻执行党和国家的教育方针、政策、法规。</w:t>
      </w:r>
    </w:p>
    <w:p>
      <w:pPr>
        <w:pStyle w:val="9"/>
        <w:shd w:val="clear" w:color="auto" w:fill="FFFFFF"/>
        <w:spacing w:line="579" w:lineRule="exact"/>
        <w:ind w:firstLine="320" w:firstLineChars="100"/>
        <w:rPr>
          <w:rFonts w:ascii="仿宋_GB2312" w:eastAsia="仿宋_GB2312"/>
          <w:sz w:val="32"/>
          <w:szCs w:val="32"/>
        </w:rPr>
      </w:pPr>
      <w:r>
        <w:rPr>
          <w:rFonts w:hint="eastAsia" w:ascii="仿宋_GB2312" w:eastAsia="仿宋_GB2312"/>
          <w:sz w:val="32"/>
          <w:szCs w:val="32"/>
        </w:rPr>
        <w:t>（二）维护学校的教学秩序，为学生创造良好的学习环境。</w:t>
      </w:r>
    </w:p>
    <w:p>
      <w:pPr>
        <w:pStyle w:val="9"/>
        <w:shd w:val="clear" w:color="auto" w:fill="FFFFFF"/>
        <w:spacing w:line="579" w:lineRule="exact"/>
        <w:ind w:firstLine="320" w:firstLineChars="100"/>
        <w:rPr>
          <w:rFonts w:ascii="仿宋_GB2312" w:eastAsia="仿宋_GB2312"/>
          <w:sz w:val="32"/>
          <w:szCs w:val="32"/>
        </w:rPr>
      </w:pPr>
      <w:r>
        <w:rPr>
          <w:rFonts w:hint="eastAsia" w:ascii="仿宋_GB2312" w:eastAsia="仿宋_GB2312"/>
          <w:sz w:val="32"/>
          <w:szCs w:val="32"/>
        </w:rPr>
        <w:t>（三）积极稳妥地推进教育改革，按教育规律办事，不断提高教育质量。</w:t>
      </w:r>
    </w:p>
    <w:p>
      <w:pPr>
        <w:pStyle w:val="9"/>
        <w:shd w:val="clear" w:color="auto" w:fill="FFFFFF"/>
        <w:spacing w:line="579" w:lineRule="exact"/>
        <w:ind w:firstLine="320" w:firstLineChars="100"/>
        <w:rPr>
          <w:rFonts w:ascii="仿宋_GB2312" w:eastAsia="仿宋_GB2312"/>
          <w:sz w:val="32"/>
          <w:szCs w:val="32"/>
        </w:rPr>
      </w:pPr>
      <w:r>
        <w:rPr>
          <w:rFonts w:hint="eastAsia" w:ascii="仿宋_GB2312" w:eastAsia="仿宋_GB2312"/>
          <w:sz w:val="32"/>
          <w:szCs w:val="32"/>
        </w:rPr>
        <w:t>（四）根据学校规模，设置学校管理机构，建立健全各项规章制度和岗位责任制。</w:t>
      </w:r>
    </w:p>
    <w:p>
      <w:pPr>
        <w:pStyle w:val="9"/>
        <w:shd w:val="clear" w:color="auto" w:fill="FFFFFF"/>
        <w:spacing w:line="579" w:lineRule="exact"/>
        <w:ind w:left="281" w:leftChars="134"/>
        <w:rPr>
          <w:rFonts w:ascii="仿宋_GB2312" w:eastAsia="仿宋_GB2312"/>
          <w:sz w:val="32"/>
          <w:szCs w:val="32"/>
        </w:rPr>
      </w:pPr>
      <w:r>
        <w:rPr>
          <w:rFonts w:hint="eastAsia" w:ascii="仿宋_GB2312" w:eastAsia="仿宋_GB2312"/>
          <w:sz w:val="32"/>
          <w:szCs w:val="32"/>
        </w:rPr>
        <w:t>（五）坚持教书育人，服务育人，环境育人方针，加强对学生的思想品德教育，使学生的</w:t>
      </w:r>
    </w:p>
    <w:p>
      <w:pPr>
        <w:pStyle w:val="9"/>
        <w:shd w:val="clear" w:color="auto" w:fill="FFFFFF"/>
        <w:spacing w:line="579" w:lineRule="exact"/>
        <w:rPr>
          <w:rFonts w:ascii="仿宋_GB2312" w:eastAsia="仿宋_GB2312"/>
          <w:sz w:val="32"/>
          <w:szCs w:val="32"/>
        </w:rPr>
      </w:pPr>
      <w:r>
        <w:rPr>
          <w:rFonts w:hint="eastAsia" w:ascii="仿宋_GB2312" w:eastAsia="仿宋_GB2312"/>
          <w:sz w:val="32"/>
          <w:szCs w:val="32"/>
        </w:rPr>
        <w:t xml:space="preserve">德智体全面发展。            </w:t>
      </w:r>
    </w:p>
    <w:p>
      <w:pPr>
        <w:pStyle w:val="9"/>
        <w:shd w:val="clear" w:color="auto" w:fill="FFFFFF"/>
        <w:spacing w:line="579" w:lineRule="exact"/>
        <w:ind w:left="281" w:leftChars="134"/>
        <w:rPr>
          <w:rFonts w:ascii="仿宋_GB2312" w:eastAsia="仿宋_GB2312"/>
          <w:sz w:val="32"/>
          <w:szCs w:val="32"/>
        </w:rPr>
      </w:pPr>
      <w:r>
        <w:rPr>
          <w:rFonts w:hint="eastAsia" w:ascii="仿宋_GB2312" w:eastAsia="仿宋_GB2312"/>
          <w:sz w:val="32"/>
          <w:szCs w:val="32"/>
        </w:rPr>
        <w:t>（六）抓好教师队伍建设，使每个教师都热心于教育事业。</w:t>
      </w:r>
    </w:p>
    <w:p>
      <w:pPr>
        <w:spacing w:line="579" w:lineRule="exact"/>
        <w:ind w:firstLine="320" w:firstLineChars="100"/>
        <w:rPr>
          <w:rFonts w:ascii="仿宋_GB2312" w:hAnsi="宋体" w:eastAsia="仿宋_GB2312" w:cs="宋体"/>
          <w:sz w:val="32"/>
          <w:szCs w:val="32"/>
        </w:rPr>
      </w:pPr>
      <w:r>
        <w:rPr>
          <w:rFonts w:hint="eastAsia" w:ascii="仿宋_GB2312" w:hAnsi="宋体" w:eastAsia="仿宋_GB2312" w:cs="宋体"/>
          <w:sz w:val="32"/>
          <w:szCs w:val="32"/>
        </w:rPr>
        <w:t>（七）做好安全防范，保证学生的</w:t>
      </w:r>
      <w:r>
        <w:rPr>
          <w:rFonts w:hint="eastAsia" w:ascii="仿宋_GB2312" w:hAnsi="宋体" w:eastAsia="仿宋_GB2312" w:cs="宋体"/>
          <w:sz w:val="32"/>
          <w:szCs w:val="32"/>
          <w:lang w:eastAsia="zh-CN"/>
        </w:rPr>
        <w:t>人身安全</w:t>
      </w:r>
      <w:r>
        <w:rPr>
          <w:rFonts w:hint="eastAsia" w:ascii="仿宋_GB2312" w:hAnsi="宋体" w:eastAsia="仿宋_GB2312" w:cs="宋体"/>
          <w:sz w:val="32"/>
          <w:szCs w:val="32"/>
        </w:rPr>
        <w:t>。</w:t>
      </w:r>
    </w:p>
    <w:p>
      <w:pPr>
        <w:autoSpaceDE w:val="0"/>
        <w:autoSpaceDN w:val="0"/>
        <w:adjustRightInd w:val="0"/>
        <w:spacing w:line="584" w:lineRule="exact"/>
        <w:ind w:firstLine="627"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101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2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8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328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廊坊市第十二小学</w:t>
            </w:r>
          </w:p>
        </w:tc>
        <w:tc>
          <w:tcPr>
            <w:tcW w:w="1134" w:type="dxa"/>
            <w:shd w:val="clear" w:color="auto" w:fill="auto"/>
            <w:vAlign w:val="center"/>
          </w:tcPr>
          <w:p>
            <w:pPr>
              <w:spacing w:line="584" w:lineRule="exact"/>
              <w:jc w:val="center"/>
              <w:rPr>
                <w:rFonts w:ascii="Times New Roman" w:hAnsi="Times New Roman" w:eastAsia="仿宋_GB2312" w:cs="Times New Roman"/>
                <w:bCs/>
              </w:rPr>
            </w:pPr>
            <w:r>
              <w:rPr>
                <w:rFonts w:hint="eastAsia" w:ascii="仿宋_GB2312" w:hAnsi="Times New Roman" w:eastAsia="仿宋_GB2312" w:cs="Times New Roman"/>
                <w:bCs/>
                <w:szCs w:val="21"/>
              </w:rPr>
              <w:t>全额</w:t>
            </w:r>
            <w:r>
              <w:rPr>
                <w:rFonts w:hint="eastAsia" w:ascii="Times New Roman" w:hAnsi="Times New Roman" w:eastAsia="仿宋_GB2312" w:cs="Times New Roman"/>
                <w:bCs/>
              </w:rPr>
              <w:t>事业</w:t>
            </w:r>
          </w:p>
        </w:tc>
        <w:tc>
          <w:tcPr>
            <w:tcW w:w="1276" w:type="dxa"/>
            <w:shd w:val="clear" w:color="auto" w:fill="auto"/>
            <w:vAlign w:val="center"/>
          </w:tcPr>
          <w:p>
            <w:pPr>
              <w:spacing w:line="584" w:lineRule="exact"/>
              <w:rPr>
                <w:rFonts w:ascii="Times New Roman" w:hAnsi="Times New Roman" w:eastAsia="仿宋_GB2312" w:cs="Times New Roman"/>
                <w:bCs/>
              </w:rPr>
            </w:pPr>
            <w:r>
              <w:rPr>
                <w:rFonts w:hint="eastAsia" w:ascii="Times New Roman" w:hAnsi="Times New Roman" w:eastAsia="仿宋_GB2312" w:cs="Times New Roman"/>
                <w:bCs/>
              </w:rPr>
              <w:t>股级</w:t>
            </w:r>
          </w:p>
        </w:tc>
        <w:tc>
          <w:tcPr>
            <w:tcW w:w="3287" w:type="dxa"/>
            <w:shd w:val="clear" w:color="auto" w:fill="auto"/>
            <w:vAlign w:val="center"/>
          </w:tcPr>
          <w:p>
            <w:pPr>
              <w:spacing w:line="584" w:lineRule="exact"/>
              <w:jc w:val="center"/>
              <w:rPr>
                <w:rFonts w:ascii="仿宋_GB2312" w:hAnsi="Times New Roman" w:eastAsia="仿宋_GB2312" w:cs="Times New Roman"/>
                <w:bCs/>
                <w:szCs w:val="21"/>
              </w:rPr>
            </w:pPr>
            <w:r>
              <w:rPr>
                <w:rFonts w:hint="eastAsia" w:ascii="仿宋_GB2312" w:hAnsi="Times New Roman" w:eastAsia="仿宋_GB2312" w:cs="Times New Roman"/>
                <w:bCs/>
                <w:szCs w:val="21"/>
              </w:rPr>
              <w:t>财政性资金基本保证</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Times New Roman" w:hAnsi="Times New Roman" w:eastAsia="仿宋_GB2312" w:cs="Times New Roman"/>
          <w:sz w:val="32"/>
          <w:szCs w:val="32"/>
        </w:rPr>
        <w:t>廊坊市第十二小学</w:t>
      </w:r>
      <w:r>
        <w:rPr>
          <w:rFonts w:ascii="Times New Roman" w:hAnsi="Times New Roman" w:eastAsia="仿宋_GB2312" w:cs="Times New Roman"/>
          <w:sz w:val="32"/>
          <w:szCs w:val="32"/>
        </w:rPr>
        <w:t>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843.78</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843.78</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广阳区2021</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843.78</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701.65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693.19</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8.46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142.13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 xml:space="preserve"> 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843.78</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79.99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减少39.43</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人员支出</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129.36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公用经费</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我单位机关运行经费共计安排0万元。</w:t>
      </w:r>
    </w:p>
    <w:p>
      <w:pPr>
        <w:autoSpaceDE w:val="0"/>
        <w:autoSpaceDN w:val="0"/>
        <w:adjustRightInd w:val="0"/>
        <w:spacing w:line="584" w:lineRule="exact"/>
        <w:ind w:firstLine="640" w:firstLineChars="200"/>
        <w:jc w:val="left"/>
        <w:rPr>
          <w:rFonts w:ascii="Times New Roman" w:hAnsi="Times New Roman" w:eastAsia="仿宋_GB2312" w:cs="Times New Roman"/>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与2020年相比持平，无增减变化。</w:t>
      </w:r>
    </w:p>
    <w:p>
      <w:pPr>
        <w:spacing w:line="584" w:lineRule="exact"/>
        <w:ind w:firstLine="640" w:firstLineChars="200"/>
        <w:rPr>
          <w:rFonts w:ascii="仿宋_GB2312" w:eastAsia="仿宋_GB2312"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shd w:val="clear" w:color="auto" w:fill="FFFFFF"/>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廊坊市第十二小学坚持</w:t>
      </w:r>
      <w:r>
        <w:rPr>
          <w:rFonts w:hint="eastAsia" w:ascii="仿宋_GB2312" w:eastAsia="仿宋_GB2312" w:hAnsiTheme="majorEastAsia"/>
          <w:color w:val="000000"/>
          <w:sz w:val="32"/>
          <w:szCs w:val="32"/>
        </w:rPr>
        <w:t>执行党和国家的教育方针、政策、法规，</w:t>
      </w:r>
      <w:r>
        <w:rPr>
          <w:rFonts w:hint="eastAsia" w:ascii="仿宋_GB2312" w:eastAsia="仿宋_GB2312" w:cs="Courier New" w:hAnsiTheme="majorEastAsia"/>
          <w:color w:val="000000"/>
          <w:sz w:val="32"/>
          <w:szCs w:val="32"/>
        </w:rPr>
        <w:t>维护学校的教学秩序，为学生创造良好的学习环境，积极稳妥地推进教育改革，按教育规律办事，不断提高教育质量，建立健全各项规章制度和岗位责任制。坚持教书育人，服务育人，环境育人方针，加强对学生的思想品德教育，使学生的德智体美全面发展。抓好教师队伍建设，使每个教师都热心于教育事业，</w:t>
      </w:r>
      <w:r>
        <w:rPr>
          <w:rFonts w:hint="eastAsia" w:ascii="仿宋_GB2312" w:eastAsia="仿宋_GB2312" w:hAnsiTheme="majorEastAsia"/>
          <w:color w:val="000000"/>
          <w:sz w:val="32"/>
          <w:szCs w:val="32"/>
        </w:rPr>
        <w:t>做好安全防范，保证学生的人身安全。</w:t>
      </w:r>
    </w:p>
    <w:p>
      <w:pPr>
        <w:spacing w:line="584" w:lineRule="exact"/>
        <w:ind w:firstLine="640"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79" w:lineRule="exact"/>
        <w:ind w:firstLine="600" w:firstLineChars="200"/>
        <w:rPr>
          <w:rFonts w:ascii="仿宋_GB2312" w:hAnsi="仿宋" w:eastAsia="仿宋_GB2312"/>
          <w:b/>
          <w:sz w:val="30"/>
          <w:szCs w:val="30"/>
        </w:rPr>
      </w:pPr>
      <w:r>
        <w:rPr>
          <w:rFonts w:hint="eastAsia" w:ascii="仿宋_GB2312" w:hAnsi="仿宋" w:eastAsia="仿宋_GB2312" w:cs="宋体"/>
          <w:bCs/>
          <w:sz w:val="30"/>
          <w:szCs w:val="30"/>
        </w:rPr>
        <w:t>目标1:教育教学绩效</w:t>
      </w:r>
    </w:p>
    <w:p>
      <w:pPr>
        <w:spacing w:line="579" w:lineRule="exact"/>
        <w:ind w:right="520" w:firstLine="640" w:firstLineChars="200"/>
        <w:rPr>
          <w:rFonts w:ascii="仿宋_GB2312" w:hAnsi="仿宋" w:eastAsia="仿宋_GB2312" w:cs="宋体"/>
          <w:sz w:val="32"/>
          <w:szCs w:val="32"/>
        </w:rPr>
      </w:pPr>
      <w:r>
        <w:rPr>
          <w:rFonts w:hint="eastAsia" w:ascii="仿宋_GB2312" w:hAnsi="仿宋" w:eastAsia="仿宋_GB2312" w:cs="宋体"/>
          <w:sz w:val="32"/>
          <w:szCs w:val="32"/>
        </w:rPr>
        <w:t>按质按量完成教育教学方面的各项任务，稳步提升学校的教育教学质量，学生综合素质评价优秀率达到85%,合格率达到100%。</w:t>
      </w:r>
    </w:p>
    <w:p>
      <w:pPr>
        <w:spacing w:line="579" w:lineRule="exact"/>
        <w:ind w:firstLine="600" w:firstLineChars="200"/>
        <w:rPr>
          <w:rFonts w:ascii="仿宋_GB2312" w:hAnsi="仿宋" w:eastAsia="仿宋_GB2312"/>
          <w:b/>
          <w:sz w:val="30"/>
          <w:szCs w:val="30"/>
        </w:rPr>
      </w:pPr>
      <w:r>
        <w:rPr>
          <w:rFonts w:hint="eastAsia" w:ascii="仿宋_GB2312" w:hAnsi="仿宋" w:eastAsia="仿宋_GB2312" w:cs="宋体"/>
          <w:bCs/>
          <w:sz w:val="30"/>
          <w:szCs w:val="30"/>
        </w:rPr>
        <w:t>目标2:培养高素质的教师队伍</w:t>
      </w:r>
    </w:p>
    <w:p>
      <w:pPr>
        <w:spacing w:line="579"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开展教硏组活动,培训学习活动,青年教师比赛课,网络继续教育培训等各类活动,确保年度教师队伍培训率达到100%,有效促进教师教育教学水平的提升。</w:t>
      </w:r>
    </w:p>
    <w:p>
      <w:pPr>
        <w:spacing w:line="579" w:lineRule="exact"/>
        <w:ind w:firstLine="600" w:firstLineChars="200"/>
        <w:rPr>
          <w:rFonts w:ascii="仿宋_GB2312" w:hAnsi="仿宋" w:eastAsia="仿宋_GB2312" w:cs="宋体"/>
          <w:bCs/>
          <w:sz w:val="30"/>
          <w:szCs w:val="30"/>
        </w:rPr>
      </w:pPr>
      <w:r>
        <w:rPr>
          <w:rFonts w:hint="eastAsia" w:ascii="仿宋_GB2312" w:hAnsi="仿宋" w:eastAsia="仿宋_GB2312" w:cs="宋体"/>
          <w:bCs/>
          <w:sz w:val="30"/>
          <w:szCs w:val="30"/>
        </w:rPr>
        <w:t>目标3:学校办学条件的发展建设</w:t>
      </w:r>
    </w:p>
    <w:p>
      <w:pPr>
        <w:spacing w:line="579"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不断改善办学条件。提升学校基础设施设备的整体水平。加强学校基础设施设备的维护,确保校园安全,落实校园防火及其他安全隐患的预防工作。确保校园各设施设备的正常运行。</w:t>
      </w:r>
    </w:p>
    <w:p>
      <w:pPr>
        <w:spacing w:line="579" w:lineRule="exact"/>
        <w:ind w:firstLine="600" w:firstLineChars="200"/>
        <w:rPr>
          <w:rFonts w:ascii="仿宋_GB2312" w:hAnsi="仿宋" w:eastAsia="仿宋_GB2312"/>
          <w:b/>
          <w:sz w:val="30"/>
          <w:szCs w:val="30"/>
        </w:rPr>
      </w:pPr>
      <w:r>
        <w:rPr>
          <w:rFonts w:hint="eastAsia" w:ascii="仿宋_GB2312" w:hAnsi="仿宋" w:eastAsia="仿宋_GB2312" w:cs="宋体"/>
          <w:bCs/>
          <w:sz w:val="30"/>
          <w:szCs w:val="30"/>
        </w:rPr>
        <w:t>目标4:推动学校文化建设</w:t>
      </w:r>
      <w:r>
        <w:rPr>
          <w:rFonts w:hint="eastAsia" w:ascii="仿宋_GB2312" w:hAnsi="仿宋" w:eastAsia="仿宋_GB2312" w:cs="宋体"/>
          <w:b/>
          <w:sz w:val="30"/>
          <w:szCs w:val="30"/>
        </w:rPr>
        <w:t>工作</w:t>
      </w:r>
    </w:p>
    <w:p>
      <w:pPr>
        <w:spacing w:line="579" w:lineRule="exact"/>
        <w:ind w:firstLine="640" w:firstLineChars="200"/>
        <w:rPr>
          <w:rFonts w:ascii="仿宋_GB2312" w:hAnsi="仿宋" w:eastAsia="仿宋_GB2312"/>
          <w:sz w:val="32"/>
          <w:szCs w:val="32"/>
        </w:rPr>
      </w:pPr>
      <w:r>
        <w:rPr>
          <w:rFonts w:hint="eastAsia" w:ascii="仿宋_GB2312" w:hAnsi="仿宋" w:eastAsia="仿宋_GB2312" w:cs="宋体"/>
          <w:sz w:val="32"/>
          <w:szCs w:val="32"/>
        </w:rPr>
        <w:t>继续学校的文化宣传整体布局,各教室及教师办公室的文化宣传布置。形成具有特色的校园文化氛围。</w:t>
      </w:r>
    </w:p>
    <w:p>
      <w:pPr>
        <w:spacing w:line="579" w:lineRule="exact"/>
        <w:ind w:firstLine="600" w:firstLineChars="200"/>
        <w:rPr>
          <w:rFonts w:ascii="仿宋_GB2312" w:hAnsi="仿宋" w:eastAsia="仿宋_GB2312" w:cs="宋体"/>
          <w:sz w:val="30"/>
          <w:szCs w:val="30"/>
        </w:rPr>
      </w:pPr>
      <w:r>
        <w:rPr>
          <w:rFonts w:hint="eastAsia" w:ascii="仿宋_GB2312" w:hAnsi="仿宋" w:eastAsia="仿宋_GB2312" w:cs="宋体"/>
          <w:bCs/>
          <w:sz w:val="30"/>
          <w:szCs w:val="30"/>
        </w:rPr>
        <w:t>目标5:办满意的学校</w:t>
      </w:r>
    </w:p>
    <w:p>
      <w:pPr>
        <w:spacing w:line="579" w:lineRule="exact"/>
        <w:ind w:firstLine="640" w:firstLineChars="200"/>
        <w:rPr>
          <w:rFonts w:ascii="仿宋_GB2312" w:eastAsia="仿宋_GB2312" w:cs="Times New Roman"/>
          <w:sz w:val="32"/>
          <w:szCs w:val="32"/>
        </w:rPr>
      </w:pPr>
      <w:r>
        <w:rPr>
          <w:rFonts w:hint="eastAsia" w:ascii="仿宋_GB2312" w:hAnsi="仿宋" w:eastAsia="仿宋_GB2312" w:cs="宋体"/>
          <w:sz w:val="32"/>
          <w:szCs w:val="32"/>
        </w:rPr>
        <w:t>教师、学生、家长整体满意度达到90%以上。</w:t>
      </w:r>
    </w:p>
    <w:p>
      <w:pPr>
        <w:overflowPunct w:val="0"/>
        <w:adjustRightInd w:val="0"/>
        <w:snapToGrid w:val="0"/>
        <w:spacing w:line="580" w:lineRule="exact"/>
        <w:ind w:firstLine="627" w:firstLineChars="196"/>
        <w:jc w:val="left"/>
        <w:rPr>
          <w:rFonts w:ascii="楷体_GB2312" w:eastAsia="楷体_GB2312" w:cs="Times New Roman"/>
          <w:b/>
          <w:color w:val="000000" w:themeColor="text1"/>
          <w:sz w:val="32"/>
          <w:szCs w:val="32"/>
          <w14:textFill>
            <w14:solidFill>
              <w14:schemeClr w14:val="tx1"/>
            </w14:solidFill>
          </w14:textFill>
        </w:rPr>
      </w:pPr>
      <w:r>
        <w:rPr>
          <w:rFonts w:hint="eastAsia" w:ascii="楷体_GB2312" w:eastAsia="楷体_GB2312" w:cs="Times New Roman"/>
          <w:b/>
          <w:color w:val="000000" w:themeColor="text1"/>
          <w:sz w:val="32"/>
          <w:szCs w:val="32"/>
          <w14:textFill>
            <w14:solidFill>
              <w14:schemeClr w14:val="tx1"/>
            </w14:solidFill>
          </w14:textFill>
        </w:rPr>
        <w:t>（三）工作保障措施</w:t>
      </w:r>
    </w:p>
    <w:p>
      <w:pPr>
        <w:ind w:firstLine="640" w:firstLineChars="200"/>
        <w:rPr>
          <w:rFonts w:ascii="楷体_GB2312" w:eastAsia="楷体_GB2312" w:cs="Times New Roman"/>
          <w:b/>
          <w:sz w:val="32"/>
          <w:szCs w:val="32"/>
        </w:rPr>
      </w:pPr>
      <w:r>
        <w:rPr>
          <w:rFonts w:hint="eastAsia" w:ascii="仿宋_GB2312" w:hAnsi="仿宋" w:eastAsia="仿宋_GB2312" w:cs="宋体"/>
          <w:sz w:val="32"/>
          <w:szCs w:val="32"/>
        </w:rPr>
        <w:t>提高教学质量，突出教学工作的中心地位。实现学校总体发展规划。不断改善办学条件，加强学校基础设施维护，落实安全隐患的预防工作。加强师德教育。抓组织机构建设，责任到位。</w:t>
      </w:r>
    </w:p>
    <w:p>
      <w:pPr>
        <w:overflowPunct w:val="0"/>
        <w:adjustRightInd w:val="0"/>
        <w:snapToGrid w:val="0"/>
        <w:spacing w:afterLines="50" w:line="580" w:lineRule="exact"/>
        <w:ind w:firstLine="627"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114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9"/>
        <w:gridCol w:w="849"/>
        <w:gridCol w:w="1640"/>
        <w:gridCol w:w="2167"/>
        <w:gridCol w:w="2268"/>
        <w:gridCol w:w="708"/>
        <w:gridCol w:w="709"/>
        <w:gridCol w:w="811"/>
        <w:gridCol w:w="1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579" w:type="dxa"/>
            <w:vMerge w:val="restart"/>
            <w:vAlign w:val="center"/>
          </w:tcPr>
          <w:p>
            <w:pPr>
              <w:jc w:val="center"/>
              <w:rPr>
                <w:rFonts w:ascii="黑体" w:hAnsi="黑体" w:eastAsia="黑体" w:cs="黑体"/>
                <w:bCs/>
                <w:szCs w:val="21"/>
              </w:rPr>
            </w:pPr>
            <w:r>
              <w:rPr>
                <w:rFonts w:hint="eastAsia" w:ascii="黑体" w:hAnsi="黑体" w:eastAsia="黑体" w:cs="黑体"/>
                <w:bCs/>
                <w:szCs w:val="21"/>
              </w:rPr>
              <w:t>一级指标</w:t>
            </w:r>
          </w:p>
        </w:tc>
        <w:tc>
          <w:tcPr>
            <w:tcW w:w="849" w:type="dxa"/>
            <w:vMerge w:val="restart"/>
            <w:vAlign w:val="center"/>
          </w:tcPr>
          <w:p>
            <w:pPr>
              <w:spacing w:line="300" w:lineRule="exact"/>
              <w:jc w:val="center"/>
              <w:textAlignment w:val="center"/>
              <w:rPr>
                <w:rFonts w:ascii="黑体" w:hAnsi="黑体" w:eastAsia="黑体" w:cs="黑体"/>
                <w:bCs/>
                <w:szCs w:val="21"/>
              </w:rPr>
            </w:pPr>
            <w:r>
              <w:rPr>
                <w:rFonts w:hint="eastAsia" w:ascii="黑体" w:hAnsi="黑体" w:eastAsia="黑体" w:cs="黑体"/>
                <w:bCs/>
                <w:szCs w:val="21"/>
              </w:rPr>
              <w:t>二级</w:t>
            </w:r>
          </w:p>
          <w:p>
            <w:pPr>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指标</w:t>
            </w:r>
          </w:p>
        </w:tc>
        <w:tc>
          <w:tcPr>
            <w:tcW w:w="1640" w:type="dxa"/>
            <w:vMerge w:val="restart"/>
            <w:vAlign w:val="center"/>
          </w:tcPr>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三级指标</w:t>
            </w:r>
          </w:p>
        </w:tc>
        <w:tc>
          <w:tcPr>
            <w:tcW w:w="2167" w:type="dxa"/>
            <w:vMerge w:val="restart"/>
            <w:vAlign w:val="center"/>
          </w:tcPr>
          <w:p>
            <w:pPr>
              <w:widowControl/>
              <w:spacing w:line="300" w:lineRule="exact"/>
              <w:jc w:val="center"/>
              <w:textAlignment w:val="center"/>
              <w:rPr>
                <w:rFonts w:ascii="黑体" w:hAnsi="黑体" w:eastAsia="黑体" w:cs="黑体"/>
                <w:bCs/>
                <w:szCs w:val="21"/>
              </w:rPr>
            </w:pPr>
            <w:r>
              <w:rPr>
                <w:rFonts w:hint="eastAsia" w:ascii="黑体" w:hAnsi="黑体" w:eastAsia="黑体" w:cs="黑体"/>
                <w:bCs/>
                <w:szCs w:val="21"/>
              </w:rPr>
              <w:t>评（扣）分标准</w:t>
            </w:r>
          </w:p>
        </w:tc>
        <w:tc>
          <w:tcPr>
            <w:tcW w:w="2268" w:type="dxa"/>
            <w:vMerge w:val="restart"/>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绩效指标</w:t>
            </w:r>
          </w:p>
          <w:p>
            <w:pPr>
              <w:widowControl/>
              <w:spacing w:line="300" w:lineRule="exact"/>
              <w:jc w:val="center"/>
              <w:textAlignment w:val="center"/>
              <w:rPr>
                <w:rFonts w:ascii="黑体" w:hAnsi="黑体" w:eastAsia="黑体" w:cs="黑体"/>
                <w:bCs/>
                <w:color w:val="000000"/>
                <w:kern w:val="0"/>
                <w:szCs w:val="21"/>
              </w:rPr>
            </w:pPr>
            <w:r>
              <w:rPr>
                <w:rFonts w:hint="eastAsia" w:ascii="黑体" w:hAnsi="黑体" w:eastAsia="黑体" w:cs="黑体"/>
                <w:bCs/>
                <w:szCs w:val="21"/>
              </w:rPr>
              <w:t>描述</w:t>
            </w:r>
          </w:p>
        </w:tc>
        <w:tc>
          <w:tcPr>
            <w:tcW w:w="2228" w:type="dxa"/>
            <w:gridSpan w:val="3"/>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tc>
        <w:tc>
          <w:tcPr>
            <w:tcW w:w="1741" w:type="dxa"/>
            <w:vMerge w:val="restart"/>
            <w:vAlign w:val="center"/>
          </w:tcPr>
          <w:p>
            <w:pPr>
              <w:widowControl/>
              <w:adjustRightInd w:val="0"/>
              <w:snapToGrid w:val="0"/>
              <w:jc w:val="center"/>
              <w:rPr>
                <w:rFonts w:ascii="黑体" w:hAnsi="黑体" w:eastAsia="黑体" w:cs="黑体"/>
                <w:bCs/>
                <w:szCs w:val="21"/>
              </w:rPr>
            </w:pPr>
            <w:r>
              <w:rPr>
                <w:rFonts w:hint="eastAsia" w:ascii="黑体" w:hAnsi="黑体" w:eastAsia="黑体" w:cs="黑体"/>
                <w:bCs/>
                <w:szCs w:val="21"/>
              </w:rPr>
              <w:t>指标值</w:t>
            </w:r>
          </w:p>
          <w:p>
            <w:pPr>
              <w:widowControl/>
              <w:adjustRightInd w:val="0"/>
              <w:snapToGrid w:val="0"/>
              <w:jc w:val="center"/>
              <w:rPr>
                <w:rFonts w:ascii="黑体" w:hAnsi="黑体" w:eastAsia="黑体" w:cs="黑体"/>
                <w:bCs/>
                <w:szCs w:val="21"/>
              </w:rPr>
            </w:pPr>
            <w:r>
              <w:rPr>
                <w:rFonts w:hint="eastAsia" w:ascii="黑体" w:hAnsi="黑体" w:eastAsia="黑体" w:cs="黑体"/>
                <w:bCs/>
                <w:szCs w:val="21"/>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15" w:hRule="atLeast"/>
          <w:jc w:val="center"/>
        </w:trPr>
        <w:tc>
          <w:tcPr>
            <w:tcW w:w="579" w:type="dxa"/>
            <w:vMerge w:val="continue"/>
            <w:vAlign w:val="center"/>
          </w:tcPr>
          <w:p>
            <w:pPr>
              <w:rPr>
                <w:rFonts w:ascii="宋体" w:hAnsi="宋体"/>
                <w:b/>
                <w:sz w:val="24"/>
                <w:szCs w:val="24"/>
              </w:rPr>
            </w:pPr>
          </w:p>
        </w:tc>
        <w:tc>
          <w:tcPr>
            <w:tcW w:w="849" w:type="dxa"/>
            <w:vMerge w:val="continue"/>
            <w:vAlign w:val="center"/>
          </w:tcPr>
          <w:p>
            <w:pPr>
              <w:spacing w:line="300" w:lineRule="exact"/>
              <w:jc w:val="center"/>
              <w:textAlignment w:val="center"/>
              <w:rPr>
                <w:rFonts w:ascii="宋体" w:hAnsi="宋体"/>
                <w:b/>
                <w:sz w:val="24"/>
                <w:szCs w:val="24"/>
              </w:rPr>
            </w:pPr>
          </w:p>
        </w:tc>
        <w:tc>
          <w:tcPr>
            <w:tcW w:w="1640" w:type="dxa"/>
            <w:vMerge w:val="continue"/>
            <w:vAlign w:val="center"/>
          </w:tcPr>
          <w:p>
            <w:pPr>
              <w:widowControl/>
              <w:spacing w:line="300" w:lineRule="exact"/>
              <w:jc w:val="center"/>
              <w:textAlignment w:val="center"/>
              <w:rPr>
                <w:rFonts w:ascii="宋体" w:hAnsi="宋体"/>
                <w:b/>
                <w:sz w:val="24"/>
                <w:szCs w:val="24"/>
              </w:rPr>
            </w:pPr>
          </w:p>
        </w:tc>
        <w:tc>
          <w:tcPr>
            <w:tcW w:w="2167" w:type="dxa"/>
            <w:vMerge w:val="continue"/>
            <w:vAlign w:val="center"/>
          </w:tcPr>
          <w:p>
            <w:pPr>
              <w:widowControl/>
              <w:adjustRightInd w:val="0"/>
              <w:snapToGrid w:val="0"/>
              <w:jc w:val="center"/>
              <w:rPr>
                <w:rFonts w:ascii="方正书宋_GBK" w:eastAsia="方正书宋_GBK"/>
                <w:b/>
              </w:rPr>
            </w:pPr>
          </w:p>
        </w:tc>
        <w:tc>
          <w:tcPr>
            <w:tcW w:w="2268" w:type="dxa"/>
            <w:vMerge w:val="continue"/>
          </w:tcPr>
          <w:p>
            <w:pPr>
              <w:widowControl/>
              <w:adjustRightInd w:val="0"/>
              <w:snapToGrid w:val="0"/>
              <w:jc w:val="center"/>
              <w:rPr>
                <w:rFonts w:ascii="宋体" w:hAnsi="宋体"/>
                <w:b/>
                <w:sz w:val="24"/>
                <w:szCs w:val="24"/>
              </w:rPr>
            </w:pPr>
          </w:p>
        </w:tc>
        <w:tc>
          <w:tcPr>
            <w:tcW w:w="708" w:type="dxa"/>
            <w:vAlign w:val="center"/>
          </w:tcPr>
          <w:p>
            <w:pPr>
              <w:jc w:val="center"/>
              <w:rPr>
                <w:rFonts w:ascii="黑体" w:hAnsi="黑体" w:eastAsia="黑体" w:cs="黑体"/>
                <w:bCs/>
                <w:szCs w:val="21"/>
              </w:rPr>
            </w:pPr>
            <w:r>
              <w:rPr>
                <w:rFonts w:hint="eastAsia" w:ascii="黑体" w:hAnsi="黑体" w:eastAsia="黑体" w:cs="黑体"/>
                <w:bCs/>
                <w:szCs w:val="21"/>
              </w:rPr>
              <w:t>符号</w:t>
            </w:r>
          </w:p>
        </w:tc>
        <w:tc>
          <w:tcPr>
            <w:tcW w:w="709" w:type="dxa"/>
            <w:vAlign w:val="center"/>
          </w:tcPr>
          <w:p>
            <w:pPr>
              <w:jc w:val="center"/>
              <w:rPr>
                <w:rFonts w:ascii="黑体" w:hAnsi="黑体" w:eastAsia="黑体" w:cs="黑体"/>
                <w:bCs/>
                <w:szCs w:val="21"/>
              </w:rPr>
            </w:pPr>
            <w:r>
              <w:rPr>
                <w:rFonts w:hint="eastAsia" w:ascii="黑体" w:hAnsi="黑体" w:eastAsia="黑体" w:cs="黑体"/>
                <w:bCs/>
                <w:szCs w:val="21"/>
              </w:rPr>
              <w:t>值</w:t>
            </w:r>
          </w:p>
        </w:tc>
        <w:tc>
          <w:tcPr>
            <w:tcW w:w="811" w:type="dxa"/>
            <w:vAlign w:val="center"/>
          </w:tcPr>
          <w:p>
            <w:pPr>
              <w:jc w:val="center"/>
              <w:rPr>
                <w:rFonts w:ascii="黑体" w:hAnsi="黑体" w:eastAsia="黑体" w:cs="黑体"/>
                <w:bCs/>
                <w:szCs w:val="21"/>
              </w:rPr>
            </w:pPr>
            <w:r>
              <w:rPr>
                <w:rFonts w:hint="eastAsia" w:ascii="黑体" w:hAnsi="黑体" w:eastAsia="黑体" w:cs="黑体"/>
                <w:bCs/>
                <w:szCs w:val="21"/>
              </w:rPr>
              <w:t>单位</w:t>
            </w:r>
          </w:p>
        </w:tc>
        <w:tc>
          <w:tcPr>
            <w:tcW w:w="1741" w:type="dxa"/>
            <w:vMerge w:val="continue"/>
            <w:vAlign w:val="center"/>
          </w:tcPr>
          <w:p>
            <w:pPr>
              <w:widowControl/>
              <w:adjustRightInd w:val="0"/>
              <w:snapToGrid w:val="0"/>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3" w:hRule="atLeast"/>
          <w:jc w:val="center"/>
        </w:trPr>
        <w:tc>
          <w:tcPr>
            <w:tcW w:w="579"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部门产出</w:t>
            </w:r>
          </w:p>
        </w:tc>
        <w:tc>
          <w:tcPr>
            <w:tcW w:w="849" w:type="dxa"/>
            <w:vMerge w:val="restart"/>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数  量</w:t>
            </w:r>
          </w:p>
        </w:tc>
        <w:tc>
          <w:tcPr>
            <w:tcW w:w="1640"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义务教育学生巩固率</w:t>
            </w:r>
          </w:p>
        </w:tc>
        <w:tc>
          <w:tcPr>
            <w:tcW w:w="2167"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26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完成培养小学义务教育，小学阶段义务教育学生巩固率</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74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Merge w:val="continue"/>
            <w:vAlign w:val="center"/>
          </w:tcPr>
          <w:p>
            <w:pPr>
              <w:jc w:val="center"/>
              <w:rPr>
                <w:rFonts w:ascii="仿宋_GB2312" w:hAnsi="仿宋_GB2312" w:eastAsia="仿宋_GB2312" w:cs="仿宋_GB2312"/>
                <w:szCs w:val="21"/>
              </w:rPr>
            </w:pPr>
          </w:p>
        </w:tc>
        <w:tc>
          <w:tcPr>
            <w:tcW w:w="1640"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义务教育教师培训人次</w:t>
            </w:r>
          </w:p>
        </w:tc>
        <w:tc>
          <w:tcPr>
            <w:tcW w:w="2167"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每少5人，扣权重分值5%，扣完为止</w:t>
            </w:r>
          </w:p>
        </w:tc>
        <w:tc>
          <w:tcPr>
            <w:tcW w:w="226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教师培训人数与教师总人数的比</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74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Merge w:val="continue"/>
            <w:vAlign w:val="center"/>
          </w:tcPr>
          <w:p>
            <w:pPr>
              <w:jc w:val="center"/>
              <w:rPr>
                <w:rFonts w:ascii="仿宋_GB2312" w:hAnsi="仿宋_GB2312" w:eastAsia="仿宋_GB2312" w:cs="仿宋_GB2312"/>
                <w:szCs w:val="21"/>
              </w:rPr>
            </w:pPr>
          </w:p>
        </w:tc>
        <w:tc>
          <w:tcPr>
            <w:tcW w:w="164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上级下达学校的各项工作任务完成率</w:t>
            </w:r>
          </w:p>
        </w:tc>
        <w:tc>
          <w:tcPr>
            <w:tcW w:w="2167" w:type="dxa"/>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268"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保证完成上级下达学校的各项工作任务</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74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质  量</w:t>
            </w:r>
          </w:p>
        </w:tc>
        <w:tc>
          <w:tcPr>
            <w:tcW w:w="1640"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义务教育学生培养合格率</w:t>
            </w:r>
          </w:p>
        </w:tc>
        <w:tc>
          <w:tcPr>
            <w:tcW w:w="2167"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26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完成培养小学义务教育，确保小学毕业生合格率100%，</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74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1"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Merge w:val="continue"/>
            <w:vAlign w:val="center"/>
          </w:tcPr>
          <w:p>
            <w:pPr>
              <w:spacing w:line="300" w:lineRule="exact"/>
              <w:jc w:val="center"/>
              <w:textAlignment w:val="center"/>
              <w:rPr>
                <w:rFonts w:ascii="仿宋_GB2312" w:hAnsi="仿宋_GB2312" w:eastAsia="仿宋_GB2312" w:cs="仿宋_GB2312"/>
                <w:color w:val="000000"/>
                <w:kern w:val="0"/>
                <w:szCs w:val="21"/>
              </w:rPr>
            </w:pPr>
          </w:p>
        </w:tc>
        <w:tc>
          <w:tcPr>
            <w:tcW w:w="1640"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义务教育教师培训合格率</w:t>
            </w:r>
          </w:p>
        </w:tc>
        <w:tc>
          <w:tcPr>
            <w:tcW w:w="2167"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26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教师培训人数与教师总人数的比</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74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4"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640"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2167"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每降低5%，扣权重分值5%，扣完为止</w:t>
            </w:r>
          </w:p>
        </w:tc>
        <w:tc>
          <w:tcPr>
            <w:tcW w:w="226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物资采购合格率</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100%</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w:t>
            </w:r>
          </w:p>
        </w:tc>
        <w:tc>
          <w:tcPr>
            <w:tcW w:w="174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Merge w:val="restart"/>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时　效</w:t>
            </w:r>
          </w:p>
        </w:tc>
        <w:tc>
          <w:tcPr>
            <w:tcW w:w="1640"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按计划完成学校义务教学工作</w:t>
            </w:r>
          </w:p>
        </w:tc>
        <w:tc>
          <w:tcPr>
            <w:tcW w:w="2167" w:type="dxa"/>
          </w:tcPr>
          <w:p>
            <w:pPr>
              <w:widowControl/>
              <w:adjustRightInd w:val="0"/>
              <w:snapToGrid w:val="0"/>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未按时完成一件任务，</w:t>
            </w:r>
            <w:r>
              <w:rPr>
                <w:rFonts w:hint="eastAsia" w:ascii="仿宋_GB2312" w:hAnsi="仿宋_GB2312" w:eastAsia="仿宋_GB2312" w:cs="仿宋_GB2312"/>
                <w:szCs w:val="21"/>
              </w:rPr>
              <w:t>扣权重分值5%，扣完为止</w:t>
            </w:r>
          </w:p>
        </w:tc>
        <w:tc>
          <w:tcPr>
            <w:tcW w:w="2268" w:type="dxa"/>
            <w:vAlign w:val="center"/>
          </w:tcPr>
          <w:p>
            <w:pPr>
              <w:widowControl/>
              <w:adjustRightInd w:val="0"/>
              <w:snapToGrid w:val="0"/>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74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00"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Merge w:val="continue"/>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640"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重点工作完成及时率</w:t>
            </w:r>
          </w:p>
        </w:tc>
        <w:tc>
          <w:tcPr>
            <w:tcW w:w="2167" w:type="dxa"/>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按计划完成得满分，否则不得分</w:t>
            </w:r>
          </w:p>
        </w:tc>
        <w:tc>
          <w:tcPr>
            <w:tcW w:w="226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重点工作是否按计划完成</w:t>
            </w:r>
          </w:p>
        </w:tc>
        <w:tc>
          <w:tcPr>
            <w:tcW w:w="708"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文字描述</w:t>
            </w:r>
          </w:p>
        </w:tc>
        <w:tc>
          <w:tcPr>
            <w:tcW w:w="70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按时完成</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p>
        </w:tc>
        <w:tc>
          <w:tcPr>
            <w:tcW w:w="174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15"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成  本</w:t>
            </w:r>
          </w:p>
        </w:tc>
        <w:tc>
          <w:tcPr>
            <w:tcW w:w="1640"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初中生均公用经费含85取暖费</w:t>
            </w:r>
          </w:p>
        </w:tc>
        <w:tc>
          <w:tcPr>
            <w:tcW w:w="2167" w:type="dxa"/>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超出指标预算5%，扣权重分值5%，扣完为止</w:t>
            </w:r>
          </w:p>
        </w:tc>
        <w:tc>
          <w:tcPr>
            <w:tcW w:w="226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义务教育阶段小学生均公用经费735元/生/年，含85取暖费。</w:t>
            </w:r>
          </w:p>
        </w:tc>
        <w:tc>
          <w:tcPr>
            <w:tcW w:w="708"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709" w:type="dxa"/>
            <w:vAlign w:val="center"/>
          </w:tcPr>
          <w:p>
            <w:pPr>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735</w:t>
            </w:r>
          </w:p>
        </w:tc>
        <w:tc>
          <w:tcPr>
            <w:tcW w:w="81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元</w:t>
            </w:r>
          </w:p>
        </w:tc>
        <w:tc>
          <w:tcPr>
            <w:tcW w:w="1741" w:type="dxa"/>
            <w:vAlign w:val="center"/>
          </w:tcPr>
          <w:p>
            <w:pPr>
              <w:widowControl/>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廊财教【2020】19号、42号。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90" w:hRule="atLeast"/>
          <w:jc w:val="center"/>
        </w:trPr>
        <w:tc>
          <w:tcPr>
            <w:tcW w:w="579"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部门效果</w:t>
            </w:r>
          </w:p>
        </w:tc>
        <w:tc>
          <w:tcPr>
            <w:tcW w:w="849"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社  会</w:t>
            </w:r>
          </w:p>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效  益</w:t>
            </w:r>
          </w:p>
        </w:tc>
        <w:tc>
          <w:tcPr>
            <w:tcW w:w="1640" w:type="dxa"/>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提高人口素质</w:t>
            </w:r>
          </w:p>
        </w:tc>
        <w:tc>
          <w:tcPr>
            <w:tcW w:w="2167" w:type="dxa"/>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学生综合素质评价</w:t>
            </w:r>
            <w:r>
              <w:rPr>
                <w:rFonts w:hint="eastAsia" w:ascii="仿宋_GB2312" w:hAnsi="仿宋_GB2312" w:eastAsia="仿宋_GB2312" w:cs="仿宋_GB2312"/>
                <w:color w:val="000000"/>
                <w:kern w:val="0"/>
                <w:szCs w:val="21"/>
              </w:rPr>
              <w:t>合格率达到100%，</w:t>
            </w:r>
            <w:r>
              <w:rPr>
                <w:rFonts w:hint="eastAsia" w:ascii="仿宋_GB2312" w:hAnsi="仿宋_GB2312" w:eastAsia="仿宋_GB2312" w:cs="仿宋_GB2312"/>
                <w:szCs w:val="21"/>
              </w:rPr>
              <w:t>否则不得分</w:t>
            </w:r>
          </w:p>
        </w:tc>
        <w:tc>
          <w:tcPr>
            <w:tcW w:w="2268" w:type="dxa"/>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提高人口素质</w:t>
            </w:r>
          </w:p>
        </w:tc>
        <w:tc>
          <w:tcPr>
            <w:tcW w:w="708"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文字描述</w:t>
            </w:r>
          </w:p>
        </w:tc>
        <w:tc>
          <w:tcPr>
            <w:tcW w:w="709"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提高</w:t>
            </w:r>
          </w:p>
        </w:tc>
        <w:tc>
          <w:tcPr>
            <w:tcW w:w="811" w:type="dxa"/>
            <w:vAlign w:val="center"/>
          </w:tcPr>
          <w:p>
            <w:pPr>
              <w:widowControl/>
              <w:spacing w:line="240" w:lineRule="exact"/>
              <w:jc w:val="center"/>
              <w:rPr>
                <w:rFonts w:ascii="仿宋_GB2312" w:hAnsi="仿宋_GB2312" w:eastAsia="仿宋_GB2312" w:cs="仿宋_GB2312"/>
                <w:kern w:val="0"/>
                <w:szCs w:val="21"/>
              </w:rPr>
            </w:pPr>
          </w:p>
        </w:tc>
        <w:tc>
          <w:tcPr>
            <w:tcW w:w="1741" w:type="dxa"/>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84"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可持续</w:t>
            </w:r>
          </w:p>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影 响</w:t>
            </w:r>
          </w:p>
        </w:tc>
        <w:tc>
          <w:tcPr>
            <w:tcW w:w="1640" w:type="dxa"/>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推动义务教育从数量向质量转变</w:t>
            </w:r>
          </w:p>
        </w:tc>
        <w:tc>
          <w:tcPr>
            <w:tcW w:w="2167" w:type="dxa"/>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学生综合素质评价优秀率达到85%否则不得分，</w:t>
            </w:r>
          </w:p>
        </w:tc>
        <w:tc>
          <w:tcPr>
            <w:tcW w:w="2268" w:type="dxa"/>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推动义务教育从数量向质量转变</w:t>
            </w:r>
          </w:p>
        </w:tc>
        <w:tc>
          <w:tcPr>
            <w:tcW w:w="708"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color w:val="000000"/>
                <w:kern w:val="0"/>
                <w:szCs w:val="21"/>
              </w:rPr>
              <w:t>文字描述</w:t>
            </w:r>
          </w:p>
        </w:tc>
        <w:tc>
          <w:tcPr>
            <w:tcW w:w="709"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提升</w:t>
            </w:r>
          </w:p>
        </w:tc>
        <w:tc>
          <w:tcPr>
            <w:tcW w:w="811" w:type="dxa"/>
            <w:vAlign w:val="center"/>
          </w:tcPr>
          <w:p>
            <w:pPr>
              <w:widowControl/>
              <w:spacing w:line="240" w:lineRule="exact"/>
              <w:jc w:val="center"/>
              <w:rPr>
                <w:rFonts w:ascii="仿宋_GB2312" w:hAnsi="仿宋_GB2312" w:eastAsia="仿宋_GB2312" w:cs="仿宋_GB2312"/>
                <w:kern w:val="0"/>
                <w:szCs w:val="21"/>
              </w:rPr>
            </w:pPr>
          </w:p>
        </w:tc>
        <w:tc>
          <w:tcPr>
            <w:tcW w:w="1741" w:type="dxa"/>
            <w:vAlign w:val="center"/>
          </w:tcPr>
          <w:p>
            <w:pPr>
              <w:spacing w:line="300" w:lineRule="exact"/>
              <w:jc w:val="center"/>
              <w:textAlignment w:val="center"/>
              <w:rPr>
                <w:rFonts w:ascii="仿宋_GB2312" w:hAnsi="仿宋_GB2312" w:eastAsia="仿宋_GB2312" w:cs="仿宋_GB2312"/>
                <w:szCs w:val="21"/>
              </w:rPr>
            </w:pPr>
            <w:r>
              <w:rPr>
                <w:rFonts w:hint="eastAsia" w:ascii="仿宋_GB2312" w:hAnsi="仿宋_GB2312" w:eastAsia="仿宋_GB2312" w:cs="仿宋_GB2312"/>
                <w:szCs w:val="21"/>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33" w:hRule="atLeast"/>
          <w:jc w:val="center"/>
        </w:trPr>
        <w:tc>
          <w:tcPr>
            <w:tcW w:w="579" w:type="dxa"/>
            <w:vMerge w:val="continue"/>
            <w:vAlign w:val="center"/>
          </w:tcPr>
          <w:p>
            <w:pPr>
              <w:jc w:val="center"/>
              <w:rPr>
                <w:rFonts w:ascii="仿宋_GB2312" w:hAnsi="仿宋_GB2312" w:eastAsia="仿宋_GB2312" w:cs="仿宋_GB2312"/>
                <w:szCs w:val="21"/>
              </w:rPr>
            </w:pPr>
          </w:p>
        </w:tc>
        <w:tc>
          <w:tcPr>
            <w:tcW w:w="849" w:type="dxa"/>
            <w:vAlign w:val="center"/>
          </w:tcPr>
          <w:p>
            <w:pPr>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满意度</w:t>
            </w:r>
          </w:p>
        </w:tc>
        <w:tc>
          <w:tcPr>
            <w:tcW w:w="1640" w:type="dxa"/>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教师、学生、家长对学校的满意度</w:t>
            </w:r>
          </w:p>
        </w:tc>
        <w:tc>
          <w:tcPr>
            <w:tcW w:w="2167" w:type="dxa"/>
            <w:vAlign w:val="center"/>
          </w:tcPr>
          <w:p>
            <w:pPr>
              <w:widowControl/>
              <w:adjustRightInd w:val="0"/>
              <w:snapToGrid w:val="0"/>
              <w:spacing w:line="300" w:lineRule="exact"/>
              <w:jc w:val="center"/>
              <w:rPr>
                <w:rFonts w:ascii="仿宋_GB2312" w:hAnsi="仿宋_GB2312" w:eastAsia="仿宋_GB2312" w:cs="仿宋_GB2312"/>
                <w:szCs w:val="21"/>
              </w:rPr>
            </w:pPr>
            <w:r>
              <w:rPr>
                <w:rFonts w:hint="eastAsia" w:ascii="仿宋_GB2312" w:hAnsi="仿宋_GB2312" w:eastAsia="仿宋_GB2312" w:cs="仿宋_GB2312"/>
                <w:szCs w:val="21"/>
              </w:rPr>
              <w:t>每降低5%，扣权重分值5%，扣完为止</w:t>
            </w:r>
          </w:p>
        </w:tc>
        <w:tc>
          <w:tcPr>
            <w:tcW w:w="2268" w:type="dxa"/>
            <w:vAlign w:val="center"/>
          </w:tcPr>
          <w:p>
            <w:pPr>
              <w:widowControl/>
              <w:spacing w:line="240" w:lineRule="exact"/>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教师、学生、家长对学校的满意人数与总人数的比</w:t>
            </w:r>
          </w:p>
        </w:tc>
        <w:tc>
          <w:tcPr>
            <w:tcW w:w="708"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709"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90</w:t>
            </w:r>
          </w:p>
        </w:tc>
        <w:tc>
          <w:tcPr>
            <w:tcW w:w="811" w:type="dxa"/>
            <w:vAlign w:val="center"/>
          </w:tcPr>
          <w:p>
            <w:pPr>
              <w:widowControl/>
              <w:spacing w:line="2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w:t>
            </w:r>
          </w:p>
        </w:tc>
        <w:tc>
          <w:tcPr>
            <w:tcW w:w="1741" w:type="dxa"/>
            <w:vAlign w:val="center"/>
          </w:tcPr>
          <w:p>
            <w:pPr>
              <w:widowControl/>
              <w:spacing w:line="300" w:lineRule="exact"/>
              <w:jc w:val="center"/>
              <w:textAlignment w:val="center"/>
              <w:rPr>
                <w:rFonts w:ascii="仿宋_GB2312" w:hAnsi="仿宋_GB2312" w:eastAsia="仿宋_GB2312" w:cs="仿宋_GB2312"/>
                <w:color w:val="000000"/>
                <w:kern w:val="0"/>
                <w:szCs w:val="21"/>
              </w:rPr>
            </w:pPr>
            <w:r>
              <w:rPr>
                <w:rFonts w:hint="eastAsia" w:ascii="仿宋_GB2312" w:hAnsi="仿宋_GB2312" w:eastAsia="仿宋_GB2312" w:cs="仿宋_GB2312"/>
                <w:szCs w:val="21"/>
              </w:rPr>
              <w:t>调查问卷</w:t>
            </w:r>
          </w:p>
        </w:tc>
      </w:tr>
    </w:tbl>
    <w:p>
      <w:pPr>
        <w:widowControl/>
        <w:spacing w:line="584" w:lineRule="exact"/>
        <w:jc w:val="left"/>
        <w:rPr>
          <w:rFonts w:eastAsia="仿宋_GB2312"/>
          <w:color w:val="000000"/>
          <w:kern w:val="0"/>
          <w:sz w:val="30"/>
          <w:szCs w:val="30"/>
        </w:rPr>
        <w:sectPr>
          <w:headerReference r:id="rId3" w:type="default"/>
          <w:footerReference r:id="rId4" w:type="default"/>
          <w:footerReference r:id="rId5" w:type="even"/>
          <w:pgSz w:w="16840" w:h="11907" w:orient="landscape"/>
          <w:pgMar w:top="1134" w:right="1985" w:bottom="567" w:left="1985" w:header="851" w:footer="1418" w:gutter="0"/>
          <w:pgNumType w:fmt="numberInDash"/>
          <w:cols w:space="720" w:num="1"/>
          <w:docGrid w:type="linesAndChars" w:linePitch="312" w:charSpace="0"/>
        </w:sect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3"/>
        <w:rPr>
          <w:rFonts w:ascii="Times New Roman" w:hAnsi="宋体"/>
          <w:b/>
          <w:sz w:val="28"/>
        </w:rPr>
      </w:pPr>
      <w:r>
        <w:rPr>
          <w:rFonts w:hint="eastAsia" w:ascii="仿宋_GB2312" w:hAnsi="仿宋_GB2312" w:eastAsia="仿宋_GB2312" w:cs="仿宋_GB2312"/>
          <w:bCs/>
          <w:sz w:val="28"/>
        </w:rPr>
        <w:t>1.城市区小学生均公用经费区级配套资金绩效目标表</w:t>
      </w:r>
      <w:r>
        <w:fldChar w:fldCharType="begin"/>
      </w:r>
      <w:r>
        <w:rPr>
          <w:rFonts w:hint="eastAsia" w:ascii="方正仿宋_GBK" w:eastAsia="方正仿宋_GBK"/>
          <w:b/>
          <w:sz w:val="28"/>
        </w:rPr>
        <w:instrText xml:space="preserve">TC 49、城市区小学生均公用经费区级配套资金绩效目标表 \f C \l 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绩效目标</w:t>
            </w:r>
          </w:p>
        </w:tc>
        <w:tc>
          <w:tcPr>
            <w:tcW w:w="8278" w:type="dxa"/>
            <w:gridSpan w:val="2"/>
            <w:tcBorders>
              <w:bottom w:val="nil"/>
            </w:tcBorders>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0" w:name="_Toc67152586"/>
      <w:r>
        <w:rPr>
          <w:rFonts w:hint="eastAsia" w:ascii="仿宋_GB2312" w:hAnsi="仿宋_GB2312" w:eastAsia="仿宋_GB2312" w:cs="仿宋_GB2312"/>
          <w:bCs/>
          <w:sz w:val="28"/>
        </w:rPr>
        <w:t>2.2021年特殊教育中央补助资金绩效目标表</w:t>
      </w:r>
      <w:bookmarkEnd w:id="0"/>
      <w:r>
        <w:fldChar w:fldCharType="begin"/>
      </w:r>
      <w:r>
        <w:rPr>
          <w:rFonts w:hint="eastAsia" w:ascii="方正仿宋_GBK" w:eastAsia="方正仿宋_GBK"/>
          <w:b/>
          <w:sz w:val="28"/>
        </w:rPr>
        <w:instrText xml:space="preserve">TC 50、2021年特殊教育中央补助资金绩效目标表 \f C \l 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1.改善特定教育设备。</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2.购买特定教育所需教学用品。</w:t>
            </w:r>
          </w:p>
          <w:p>
            <w:pPr>
              <w:spacing w:line="300" w:lineRule="exact"/>
              <w:jc w:val="left"/>
              <w:rPr>
                <w:rFonts w:ascii="方正书宋_GBK" w:eastAsia="仿宋_GB2312"/>
              </w:rPr>
            </w:pPr>
            <w:r>
              <w:rPr>
                <w:rFonts w:hint="eastAsia" w:ascii="仿宋_GB2312" w:hAnsi="仿宋_GB2312" w:eastAsia="仿宋_GB2312" w:cs="仿宋_GB2312"/>
              </w:rPr>
              <w:t>3.改善特定教育所需设备及设施。</w:t>
            </w:r>
          </w:p>
        </w:tc>
      </w:tr>
    </w:tbl>
    <w:p>
      <w:pPr>
        <w:spacing w:line="14" w:lineRule="exact"/>
        <w:jc w:val="center"/>
        <w:rPr>
          <w:rFonts w:ascii="Times New Roman" w:hAnsi="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采购合格的教学用品数量</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下达学校的各项任务完成率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保证完成上级下达的各项任务</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是否按时保质保量完成</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及时提供教学用品、保障教学设施</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资金预算数</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资金预算数</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提高特定教育</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提高特定教育资金使用，提升社会美感。</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推动特定教育资金使用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推动特定教育资金使用</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接受特定教育学生及家长满意度</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接受特定教育学生及家长满意度</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≥99%</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0" w:firstLineChars="200"/>
        <w:jc w:val="left"/>
        <w:outlineLvl w:val="3"/>
        <w:rPr>
          <w:rFonts w:ascii="Times New Roman" w:hAnsi="宋体"/>
          <w:b/>
          <w:sz w:val="28"/>
        </w:rPr>
      </w:pPr>
      <w:bookmarkStart w:id="1" w:name="_Toc67152587"/>
      <w:r>
        <w:rPr>
          <w:rFonts w:hint="eastAsia" w:ascii="仿宋_GB2312" w:hAnsi="仿宋_GB2312" w:eastAsia="仿宋_GB2312" w:cs="仿宋_GB2312"/>
          <w:bCs/>
          <w:sz w:val="28"/>
        </w:rPr>
        <w:t>3.城市区小学生均公用经费中央（直达）配套资金绩效目标表</w:t>
      </w:r>
      <w:bookmarkEnd w:id="1"/>
      <w:r>
        <w:fldChar w:fldCharType="begin"/>
      </w:r>
      <w:r>
        <w:rPr>
          <w:rFonts w:hint="eastAsia" w:ascii="方正仿宋_GBK" w:eastAsia="方正仿宋_GBK"/>
          <w:b/>
          <w:sz w:val="28"/>
        </w:rPr>
        <w:instrText xml:space="preserve">TC 51、城市区小学生均公用经费中央（直达）配套资金绩效目标表 \f C \l 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1.保障义务教育教学正常的进行。</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2.改善办公条件，提升教育环境。</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3.开展教师培训，提高教师队伍水平。</w:t>
            </w:r>
          </w:p>
          <w:p>
            <w:pPr>
              <w:spacing w:line="300" w:lineRule="exact"/>
              <w:jc w:val="left"/>
              <w:rPr>
                <w:rFonts w:ascii="方正书宋_GBK" w:eastAsia="方正书宋_GBK"/>
              </w:rPr>
            </w:pPr>
            <w:r>
              <w:rPr>
                <w:rFonts w:hint="eastAsia" w:ascii="仿宋_GB2312" w:hAnsi="仿宋_GB2312" w:eastAsia="仿宋_GB2312" w:cs="仿宋_GB2312"/>
              </w:rPr>
              <w:t>4.开展文体活动，提高学生综合素质。</w:t>
            </w:r>
          </w:p>
        </w:tc>
      </w:tr>
    </w:tbl>
    <w:p>
      <w:pPr>
        <w:spacing w:line="14" w:lineRule="exact"/>
        <w:jc w:val="center"/>
        <w:rPr>
          <w:rFonts w:ascii="Times New Roman" w:hAnsi="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合格的教学用品数量占购置用品总量的比例</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保安全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保在校师生安全不出问题，无安全事故。</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安全</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保正常运转</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日常教学器材及物资充裕</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正常运转</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上级下达的各项工作任务完成率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是否按时保质保量的完成</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小学生均公用经费含85取暖费</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义务教育阶段小学生均公用经费标准含85取暖费</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735元</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廊财教【2020】42号文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提高人口素质</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促进在校生德智体美劳全面发展、促进全民素质的提高。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提高</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可持续影响指标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推动义务教育从数量向质量转变</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提升</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接受义务教育学生家长满意度</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满意家长数量/总数</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调查问卷</w:t>
            </w:r>
          </w:p>
        </w:tc>
      </w:tr>
    </w:tbl>
    <w:p>
      <w:pPr>
        <w:spacing w:line="300" w:lineRule="exact"/>
        <w:jc w:val="left"/>
      </w:pPr>
    </w:p>
    <w:p>
      <w:pPr>
        <w:ind w:firstLine="560" w:firstLineChars="200"/>
        <w:jc w:val="left"/>
        <w:outlineLvl w:val="3"/>
        <w:rPr>
          <w:rFonts w:ascii="Times New Roman" w:hAnsi="宋体"/>
          <w:b/>
          <w:sz w:val="28"/>
        </w:rPr>
      </w:pPr>
      <w:bookmarkStart w:id="2" w:name="_Toc67152588"/>
      <w:r>
        <w:rPr>
          <w:rFonts w:hint="eastAsia" w:ascii="仿宋_GB2312" w:hAnsi="仿宋_GB2312" w:eastAsia="仿宋_GB2312" w:cs="仿宋_GB2312"/>
          <w:bCs/>
          <w:sz w:val="28"/>
        </w:rPr>
        <w:t>4.非公办教师吴兰经费绩效目标表</w:t>
      </w:r>
      <w:bookmarkEnd w:id="2"/>
      <w:r>
        <w:fldChar w:fldCharType="begin"/>
      </w:r>
      <w:r>
        <w:rPr>
          <w:rFonts w:hint="eastAsia" w:ascii="方正仿宋_GBK" w:eastAsia="方正仿宋_GBK"/>
          <w:b/>
          <w:sz w:val="28"/>
        </w:rPr>
        <w:instrText xml:space="preserve">TC 52、非公办教师吴兰经费绩效目标表 \f C \l 1</w:instrText>
      </w:r>
      <w:r>
        <w:rPr>
          <w:rFonts w:ascii="方正仿宋_GBK" w:eastAsia="方正仿宋_GBK"/>
          <w:b/>
          <w:sz w:val="28"/>
        </w:rPr>
        <w:fldChar w:fldCharType="end"/>
      </w: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方正书宋_GBK"/>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仿宋_GB2312" w:hAnsi="仿宋_GB2312" w:eastAsia="仿宋_GB2312" w:cs="仿宋_GB2312"/>
                <w:b/>
              </w:rPr>
              <w:t>绩效目标</w:t>
            </w:r>
          </w:p>
        </w:tc>
        <w:tc>
          <w:tcPr>
            <w:tcW w:w="8278" w:type="dxa"/>
            <w:gridSpan w:val="2"/>
            <w:tcBorders>
              <w:bottom w:val="nil"/>
            </w:tcBorders>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1.关心关爱非公办教师，提升社会幸福感。</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2.按月支付教师工资福利。</w:t>
            </w:r>
          </w:p>
          <w:p>
            <w:pPr>
              <w:spacing w:line="300" w:lineRule="exact"/>
              <w:jc w:val="left"/>
              <w:rPr>
                <w:rFonts w:ascii="仿宋_GB2312" w:hAnsi="仿宋_GB2312" w:eastAsia="仿宋_GB2312" w:cs="仿宋_GB2312"/>
              </w:rPr>
            </w:pPr>
            <w:r>
              <w:rPr>
                <w:rFonts w:hint="eastAsia" w:ascii="仿宋_GB2312" w:hAnsi="仿宋_GB2312" w:eastAsia="仿宋_GB2312" w:cs="仿宋_GB2312"/>
              </w:rPr>
              <w:t>3.落实政策，保障非公办教师工资福利正常发放。</w:t>
            </w:r>
          </w:p>
          <w:p>
            <w:pPr>
              <w:spacing w:line="300" w:lineRule="exact"/>
              <w:jc w:val="left"/>
              <w:rPr>
                <w:rFonts w:ascii="方正书宋_GBK" w:eastAsia="方正书宋_GBK"/>
              </w:rPr>
            </w:pPr>
            <w:r>
              <w:rPr>
                <w:rFonts w:hint="eastAsia" w:ascii="仿宋_GB2312" w:hAnsi="仿宋_GB2312" w:eastAsia="仿宋_GB2312" w:cs="仿宋_GB2312"/>
              </w:rPr>
              <w:t>4.社会保障经费全部到位。</w:t>
            </w:r>
          </w:p>
        </w:tc>
      </w:tr>
    </w:tbl>
    <w:p>
      <w:pPr>
        <w:spacing w:line="14" w:lineRule="exact"/>
        <w:jc w:val="center"/>
        <w:rPr>
          <w:rFonts w:ascii="Times New Roman" w:hAnsi="宋体"/>
        </w:rPr>
      </w:pPr>
    </w:p>
    <w:tbl>
      <w:tblPr>
        <w:tblStyle w:val="10"/>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一级指标</w:t>
            </w:r>
          </w:p>
        </w:tc>
        <w:tc>
          <w:tcPr>
            <w:tcW w:w="1134"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二级指标</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三级指标</w:t>
            </w:r>
          </w:p>
        </w:tc>
        <w:tc>
          <w:tcPr>
            <w:tcW w:w="289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绩效指标描述</w:t>
            </w:r>
          </w:p>
        </w:tc>
        <w:tc>
          <w:tcPr>
            <w:tcW w:w="1276"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w:t>
            </w:r>
          </w:p>
        </w:tc>
        <w:tc>
          <w:tcPr>
            <w:tcW w:w="1701" w:type="dxa"/>
            <w:vAlign w:val="center"/>
          </w:tcPr>
          <w:p>
            <w:pPr>
              <w:spacing w:line="300" w:lineRule="exact"/>
              <w:jc w:val="center"/>
              <w:rPr>
                <w:rFonts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数量指标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发放工资1人</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支付1人工资福利</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1人</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质量指标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全额发放1人</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全额发放1人工资福利达标率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时效指标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及时发放工资福利待遇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按月及时发放工资福利</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及时</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仿宋_GB2312" w:hAnsi="仿宋_GB2312" w:eastAsia="仿宋_GB2312" w:cs="仿宋_GB2312"/>
              </w:rPr>
            </w:pP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成本指标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保障非公办教师工资福利待遇</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保障非公办教师工资福利待遇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基本保障</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社会效益指标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关心关爱非公办教师</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关心关爱非公办教师</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≥99%</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区政府会议纪要【2020】66号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1134"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服务对象满意度指标</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工资发放满意度</w:t>
            </w:r>
          </w:p>
        </w:tc>
        <w:tc>
          <w:tcPr>
            <w:tcW w:w="289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工资发放满意人数</w:t>
            </w:r>
          </w:p>
        </w:tc>
        <w:tc>
          <w:tcPr>
            <w:tcW w:w="1276"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100%</w:t>
            </w:r>
          </w:p>
        </w:tc>
        <w:tc>
          <w:tcPr>
            <w:tcW w:w="1701" w:type="dxa"/>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区政府会议纪要【2020】66号</w:t>
            </w:r>
          </w:p>
        </w:tc>
      </w:tr>
    </w:tbl>
    <w:p>
      <w:pPr>
        <w:spacing w:line="300" w:lineRule="exact"/>
        <w:jc w:val="left"/>
        <w:sectPr>
          <w:pgSz w:w="16839" w:h="11907" w:orient="landscape"/>
          <w:pgMar w:top="1304" w:right="1984" w:bottom="1304" w:left="1134" w:header="851" w:footer="992" w:gutter="0"/>
          <w:cols w:space="720" w:num="1"/>
          <w:docGrid w:type="lines" w:linePitch="312" w:charSpace="0"/>
        </w:sectPr>
      </w:pPr>
    </w:p>
    <w:p>
      <w:pPr>
        <w:ind w:firstLine="560" w:firstLineChars="200"/>
        <w:jc w:val="left"/>
        <w:outlineLvl w:val="1"/>
        <w:rPr>
          <w:rFonts w:ascii="Times New Roman" w:hAnsi="Times New Roman" w:eastAsia="黑体" w:cs="Times New Roman"/>
          <w:sz w:val="32"/>
          <w:szCs w:val="32"/>
        </w:rPr>
      </w:pPr>
      <w:r>
        <w:rPr>
          <w:rFonts w:ascii="Times New Roman" w:hAnsi="Times New Roman" w:eastAsia="仿宋_GB2312" w:cs="Times New Roman"/>
          <w:vanish/>
          <w:sz w:val="28"/>
        </w:rPr>
        <w:t>{ TC 2、办公自动化（OA）和督查督办系统升级及推广费绩效目标表 \f C \l 1 }</w:t>
      </w:r>
      <w:r>
        <w:rPr>
          <w:rFonts w:ascii="Times New Roman" w:hAnsi="Times New Roman" w:eastAsia="黑体" w:cs="Times New Roman"/>
          <w:sz w:val="32"/>
          <w:szCs w:val="32"/>
        </w:rPr>
        <w:t>六、政府采购预算情况</w:t>
      </w:r>
    </w:p>
    <w:p>
      <w:pPr>
        <w:tabs>
          <w:tab w:val="left" w:pos="10574"/>
        </w:tabs>
        <w:spacing w:line="584" w:lineRule="exact"/>
        <w:ind w:firstLine="640" w:firstLineChars="200"/>
        <w:outlineLvl w:val="0"/>
        <w:rPr>
          <w:rFonts w:ascii="Times New Roman" w:hAnsi="Times New Roman" w:eastAsia="仿宋_GB2312" w:cs="Times New Roman"/>
          <w:sz w:val="32"/>
          <w:szCs w:val="24"/>
        </w:rPr>
      </w:pPr>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r>
        <w:rPr>
          <w:rFonts w:hint="eastAsia" w:ascii="Times New Roman" w:hAnsi="Times New Roman" w:eastAsia="仿宋_GB2312" w:cs="Times New Roman"/>
          <w:sz w:val="32"/>
          <w:szCs w:val="24"/>
        </w:rPr>
        <w:tab/>
      </w:r>
    </w:p>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r>
        <w:rPr>
          <w:rFonts w:hint="eastAsia" w:ascii="方正小标宋简体" w:hAnsi="方正小标宋简体" w:eastAsia="方正小标宋简体" w:cs="方正小标宋简体"/>
          <w:sz w:val="32"/>
        </w:rPr>
        <w:t>部门政府采购预算</w:t>
      </w:r>
    </w:p>
    <w:tbl>
      <w:tblPr>
        <w:tblStyle w:val="10"/>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[430013]廊坊市第十二小学</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numPr>
          <w:ilvl w:val="0"/>
          <w:numId w:val="1"/>
        </w:num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国有资产信息</w:t>
      </w:r>
    </w:p>
    <w:p>
      <w:pPr>
        <w:widowControl/>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第十二小学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709.57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本年度我部门拟购置固定资产总额为0万元。</w:t>
      </w:r>
    </w:p>
    <w:p>
      <w:pPr>
        <w:autoSpaceDE w:val="0"/>
        <w:autoSpaceDN w:val="0"/>
        <w:adjustRightInd w:val="0"/>
        <w:spacing w:line="584" w:lineRule="exact"/>
        <w:jc w:val="left"/>
        <w:rPr>
          <w:rFonts w:ascii="Times New Roman" w:hAnsi="Times New Roman" w:eastAsia="黑体" w:cs="Times New Roman"/>
          <w:sz w:val="32"/>
          <w:szCs w:val="32"/>
        </w:rPr>
      </w:pPr>
    </w:p>
    <w:tbl>
      <w:tblPr>
        <w:tblStyle w:val="10"/>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第十二小学部门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第十二小学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709.57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5257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4816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368.27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headerReference r:id="rId8" w:type="first"/>
      <w:footerReference r:id="rId11" w:type="first"/>
      <w:headerReference r:id="rId6" w:type="default"/>
      <w:footerReference r:id="rId9" w:type="default"/>
      <w:headerReference r:id="rId7" w:type="even"/>
      <w:footerReference r:id="rId10" w:type="even"/>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wordWrap w:val="0"/>
      <w:jc w:val="right"/>
      <w:rPr>
        <w:rStyle w:val="12"/>
        <w:rFonts w:ascii="宋体"/>
        <w:sz w:val="28"/>
        <w:szCs w:val="28"/>
      </w:rPr>
    </w:pPr>
    <w:r>
      <w:rPr>
        <w:rFonts w:hint="eastAsia" w:ascii="宋体"/>
        <w:sz w:val="28"/>
        <w:szCs w:val="28"/>
      </w:rPr>
      <w:fldChar w:fldCharType="begin"/>
    </w:r>
    <w:r>
      <w:rPr>
        <w:rStyle w:val="12"/>
        <w:rFonts w:hint="eastAsia" w:ascii="宋体"/>
        <w:sz w:val="28"/>
        <w:szCs w:val="28"/>
      </w:rPr>
      <w:instrText xml:space="preserve">PAGE  </w:instrText>
    </w:r>
    <w:r>
      <w:rPr>
        <w:rFonts w:hint="eastAsia" w:ascii="宋体"/>
        <w:sz w:val="28"/>
        <w:szCs w:val="28"/>
      </w:rPr>
      <w:fldChar w:fldCharType="separate"/>
    </w:r>
    <w:r>
      <w:rPr>
        <w:rStyle w:val="12"/>
        <w:rFonts w:ascii="宋体"/>
        <w:sz w:val="28"/>
        <w:szCs w:val="28"/>
      </w:rPr>
      <w:t>10</w:t>
    </w:r>
    <w:r>
      <w:rPr>
        <w:rFonts w:hint="eastAsia" w:ascii="宋体"/>
        <w:sz w:val="28"/>
        <w:szCs w:val="28"/>
      </w:rPr>
      <w:fldChar w:fldCharType="end"/>
    </w:r>
  </w:p>
  <w:p>
    <w:pPr>
      <w:pStyle w:val="4"/>
      <w:ind w:right="360" w:firstLine="360"/>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2"/>
      </w:rPr>
    </w:pPr>
    <w:r>
      <w:fldChar w:fldCharType="begin"/>
    </w:r>
    <w:r>
      <w:rPr>
        <w:rStyle w:val="12"/>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D36B2A"/>
    <w:multiLevelType w:val="singleLevel"/>
    <w:tmpl w:val="CCD36B2A"/>
    <w:lvl w:ilvl="0" w:tentative="0">
      <w:start w:val="7"/>
      <w:numFmt w:val="chineseCounting"/>
      <w:suff w:val="nothing"/>
      <w:lvlText w:val="%1、"/>
      <w:lvlJc w:val="left"/>
      <w:pPr>
        <w:ind w:left="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803F2"/>
    <w:rsid w:val="000866C3"/>
    <w:rsid w:val="00224904"/>
    <w:rsid w:val="00241668"/>
    <w:rsid w:val="002701A7"/>
    <w:rsid w:val="002F3E64"/>
    <w:rsid w:val="00301F9F"/>
    <w:rsid w:val="00356683"/>
    <w:rsid w:val="003F23AB"/>
    <w:rsid w:val="004054E8"/>
    <w:rsid w:val="00465801"/>
    <w:rsid w:val="004A54AA"/>
    <w:rsid w:val="004B6B46"/>
    <w:rsid w:val="004E7CDA"/>
    <w:rsid w:val="00537317"/>
    <w:rsid w:val="00684B8A"/>
    <w:rsid w:val="00807A76"/>
    <w:rsid w:val="00851A7D"/>
    <w:rsid w:val="008719C3"/>
    <w:rsid w:val="008F0EB4"/>
    <w:rsid w:val="00A218C6"/>
    <w:rsid w:val="00AA43BA"/>
    <w:rsid w:val="00AC5F03"/>
    <w:rsid w:val="00B17B32"/>
    <w:rsid w:val="00B80935"/>
    <w:rsid w:val="00BC5B8F"/>
    <w:rsid w:val="00C40C8D"/>
    <w:rsid w:val="00C4136A"/>
    <w:rsid w:val="00D347CC"/>
    <w:rsid w:val="00E27CE3"/>
    <w:rsid w:val="00F33F25"/>
    <w:rsid w:val="00F55052"/>
    <w:rsid w:val="00F73FB7"/>
    <w:rsid w:val="09862F03"/>
    <w:rsid w:val="0FF64556"/>
    <w:rsid w:val="1D95699F"/>
    <w:rsid w:val="205C1A0C"/>
    <w:rsid w:val="237926D0"/>
    <w:rsid w:val="2B622200"/>
    <w:rsid w:val="2C77425F"/>
    <w:rsid w:val="2F427E3D"/>
    <w:rsid w:val="32C54682"/>
    <w:rsid w:val="37EF65EE"/>
    <w:rsid w:val="5B5C5B52"/>
    <w:rsid w:val="5CAA5E23"/>
    <w:rsid w:val="60893C6F"/>
    <w:rsid w:val="7C8801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rFonts w:ascii="Times New Roman" w:hAnsi="Times New Roman" w:cs="Times New Roman"/>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qFormat/>
    <w:uiPriority w:val="0"/>
    <w:rPr>
      <w:sz w:val="18"/>
      <w:szCs w:val="18"/>
    </w:rPr>
  </w:style>
  <w:style w:type="paragraph" w:styleId="4">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6">
    <w:name w:val="toc 1"/>
    <w:basedOn w:val="1"/>
    <w:next w:val="1"/>
    <w:qFormat/>
    <w:uiPriority w:val="0"/>
    <w:rPr>
      <w:rFonts w:ascii="Times New Roman" w:hAnsi="Times New Roman" w:cs="Times New Roman"/>
      <w:szCs w:val="24"/>
    </w:rPr>
  </w:style>
  <w:style w:type="paragraph" w:styleId="7">
    <w:name w:val="footnote text"/>
    <w:basedOn w:val="1"/>
    <w:qFormat/>
    <w:uiPriority w:val="0"/>
    <w:pPr>
      <w:snapToGrid w:val="0"/>
      <w:jc w:val="left"/>
    </w:pPr>
    <w:rPr>
      <w:rFonts w:cs="Times New Roman"/>
      <w:sz w:val="18"/>
      <w:szCs w:val="18"/>
    </w:rPr>
  </w:style>
  <w:style w:type="paragraph" w:styleId="8">
    <w:name w:val="toc 2"/>
    <w:basedOn w:val="1"/>
    <w:next w:val="1"/>
    <w:qFormat/>
    <w:uiPriority w:val="0"/>
    <w:pPr>
      <w:ind w:left="200" w:leftChars="200"/>
    </w:pPr>
    <w:rPr>
      <w:rFonts w:ascii="Times New Roman" w:hAnsi="Times New Roman" w:cs="Times New Roman"/>
      <w:szCs w:val="24"/>
    </w:rPr>
  </w:style>
  <w:style w:type="paragraph" w:styleId="9">
    <w:name w:val="HTML Preformatted"/>
    <w:basedOn w:val="1"/>
    <w:link w:val="1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12">
    <w:name w:val="page number"/>
    <w:basedOn w:val="11"/>
    <w:qFormat/>
    <w:uiPriority w:val="0"/>
  </w:style>
  <w:style w:type="character" w:styleId="13">
    <w:name w:val="footnote reference"/>
    <w:qFormat/>
    <w:uiPriority w:val="0"/>
    <w:rPr>
      <w:vertAlign w:val="superscript"/>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标题 1 Char"/>
    <w:basedOn w:val="11"/>
    <w:link w:val="2"/>
    <w:qFormat/>
    <w:uiPriority w:val="9"/>
    <w:rPr>
      <w:b/>
      <w:bCs/>
      <w:kern w:val="44"/>
      <w:sz w:val="44"/>
      <w:szCs w:val="44"/>
    </w:rPr>
  </w:style>
  <w:style w:type="character" w:customStyle="1" w:styleId="16">
    <w:name w:val="HTML 预设格式 Char"/>
    <w:basedOn w:val="11"/>
    <w:link w:val="9"/>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920</Words>
  <Characters>5248</Characters>
  <Lines>43</Lines>
  <Paragraphs>12</Paragraphs>
  <TotalTime>2</TotalTime>
  <ScaleCrop>false</ScaleCrop>
  <LinksUpToDate>false</LinksUpToDate>
  <CharactersWithSpaces>6156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XCK</cp:lastModifiedBy>
  <cp:lastPrinted>2018-01-30T06:12:00Z</cp:lastPrinted>
  <dcterms:modified xsi:type="dcterms:W3CDTF">2023-06-02T03:03:34Z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F78C385A449649DEB43239E795D403F7</vt:lpwstr>
  </property>
</Properties>
</file>