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仿宋_GB2312" w:cs="Times New Roman"/>
          <w:sz w:val="44"/>
          <w:szCs w:val="44"/>
        </w:rPr>
      </w:pPr>
      <w:bookmarkStart w:id="10" w:name="_GoBack"/>
      <w:bookmarkEnd w:id="10"/>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第四职业中学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按照《中华人民共和国预算法》、《中华人民共和国预算法实施条例》、《地方预决算公开操作规程》和《河北省省级预算公开办法》规定，现将廊坊市第四职业中学2021年部门预算公开如下：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我单位主要实施职业高中教育，促进职业教育发展，完成职业高中学历教育。正确贯彻执行党和国家的教育方针、政策、法规。维护学校的教学秩序，为学生创造良好的学习环境。积极稳妥地推进教育改革，按教育规律办事，不断提高教育质量。根据学校规模，设置学校管理机构，建立健全各项规章制度和岗位责任制。坚持教书育人，服务育人，环境育人方针，加强对学生的思想品德教育，使学生的德智体全面发展。抓好教师队伍建设，使每个教师都热心于教育事业。做好安全防范，保证学生的</w:t>
      </w:r>
      <w:r>
        <w:rPr>
          <w:rFonts w:hint="eastAsia" w:ascii="仿宋_GB2312" w:hAnsi="仿宋_GB2312" w:eastAsia="仿宋_GB2312" w:cs="仿宋_GB2312"/>
          <w:sz w:val="32"/>
          <w:szCs w:val="32"/>
          <w:lang w:eastAsia="zh-CN"/>
        </w:rPr>
        <w:t>人身安全</w:t>
      </w:r>
      <w:r>
        <w:rPr>
          <w:rFonts w:hint="eastAsia" w:ascii="仿宋_GB2312" w:hAnsi="仿宋_GB2312" w:eastAsia="仿宋_GB2312" w:cs="仿宋_GB2312"/>
          <w:sz w:val="32"/>
          <w:szCs w:val="32"/>
        </w:rPr>
        <w:t>。</w:t>
      </w:r>
    </w:p>
    <w:p>
      <w:pPr>
        <w:autoSpaceDE w:val="0"/>
        <w:autoSpaceDN w:val="0"/>
        <w:adjustRightInd w:val="0"/>
        <w:spacing w:line="584" w:lineRule="exact"/>
        <w:ind w:firstLine="630" w:firstLineChars="196"/>
        <w:jc w:val="left"/>
        <w:rPr>
          <w:rFonts w:hint="eastAsia" w:ascii="仿宋_GB2312" w:hAnsi="仿宋_GB2312" w:eastAsia="仿宋_GB2312" w:cs="仿宋_GB2312"/>
          <w:b/>
          <w:sz w:val="32"/>
          <w:szCs w:val="32"/>
        </w:rPr>
      </w:pPr>
    </w:p>
    <w:p>
      <w:pPr>
        <w:autoSpaceDE w:val="0"/>
        <w:autoSpaceDN w:val="0"/>
        <w:adjustRightInd w:val="0"/>
        <w:spacing w:line="584" w:lineRule="exact"/>
        <w:ind w:firstLine="630" w:firstLineChars="196"/>
        <w:jc w:val="left"/>
        <w:rPr>
          <w:rFonts w:hint="eastAsia"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hint="eastAsia"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10"/>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5"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廊坊市第四职业中学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szCs w:val="21"/>
              </w:rPr>
            </w:pPr>
            <w:r>
              <w:rPr>
                <w:rFonts w:hint="eastAsia" w:ascii="Times New Roman" w:hAnsi="Times New Roman" w:eastAsia="仿宋" w:cs="Times New Roman"/>
                <w:b/>
                <w:szCs w:val="21"/>
              </w:rPr>
              <w:t>副</w:t>
            </w:r>
            <w:r>
              <w:rPr>
                <w:rFonts w:ascii="Times New Roman" w:hAnsi="Times New Roman" w:eastAsia="仿宋" w:cs="Times New Roman"/>
                <w:b/>
                <w:szCs w:val="21"/>
              </w:rPr>
              <w:t>科级</w:t>
            </w:r>
          </w:p>
        </w:tc>
        <w:tc>
          <w:tcPr>
            <w:tcW w:w="2902" w:type="dxa"/>
            <w:shd w:val="clear" w:color="auto" w:fill="auto"/>
            <w:vAlign w:val="center"/>
          </w:tcPr>
          <w:p>
            <w:pPr>
              <w:spacing w:line="584" w:lineRule="exact"/>
              <w:jc w:val="center"/>
              <w:rPr>
                <w:rFonts w:ascii="Times New Roman" w:hAnsi="Times New Roman" w:eastAsia="仿宋_GB2312" w:cs="Times New Roman"/>
                <w:b/>
                <w:szCs w:val="21"/>
              </w:rPr>
            </w:pPr>
            <w:r>
              <w:rPr>
                <w:rFonts w:ascii="Times New Roman" w:hAnsi="Times New Roman" w:eastAsia="仿宋"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第四职业中学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776.32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776.32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第四职业中学2021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776.32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454.06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438.48</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15.58</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322.26</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职业高中学生免学费和助学金</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w:t>
      </w:r>
    </w:p>
    <w:p>
      <w:pPr>
        <w:spacing w:line="584" w:lineRule="exact"/>
        <w:ind w:firstLine="640"/>
        <w:rPr>
          <w:rFonts w:hint="default" w:ascii="Times New Roman" w:hAnsi="Times New Roman" w:eastAsia="仿宋_GB2312" w:cs="Times New Roman"/>
          <w:b/>
          <w:sz w:val="32"/>
          <w:szCs w:val="32"/>
          <w:lang w:val="en-US" w:eastAsia="zh-CN"/>
        </w:rPr>
      </w:pPr>
      <w:r>
        <w:rPr>
          <w:rFonts w:hint="eastAsia" w:ascii="Times New Roman" w:hAnsi="Times New Roman" w:eastAsia="仿宋_GB2312" w:cs="Times New Roman"/>
          <w:b/>
          <w:sz w:val="32"/>
          <w:szCs w:val="32"/>
          <w:lang w:val="en-US" w:eastAsia="zh-CN"/>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776.32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245.62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6.18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人员经费和日常公用经费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239.44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职业高中学生免学费和助学金</w:t>
      </w:r>
      <w:r>
        <w:rPr>
          <w:rFonts w:ascii="Times New Roman" w:hAnsi="Times New Roman" w:eastAsia="仿宋_GB2312" w:cs="Times New Roman"/>
          <w:sz w:val="32"/>
          <w:szCs w:val="32"/>
        </w:rPr>
        <w:t>项目支出。</w:t>
      </w:r>
    </w:p>
    <w:p>
      <w:pPr>
        <w:autoSpaceDE w:val="0"/>
        <w:autoSpaceDN w:val="0"/>
        <w:adjustRightInd w:val="0"/>
        <w:spacing w:line="584" w:lineRule="exact"/>
        <w:ind w:left="198" w:leftChars="0" w:firstLine="441" w:firstLineChars="138"/>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leftChars="0"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校机</w:t>
      </w:r>
      <w:r>
        <w:rPr>
          <w:rFonts w:ascii="Times New Roman" w:hAnsi="Times New Roman" w:eastAsia="仿宋_GB2312" w:cs="Times New Roman"/>
          <w:sz w:val="32"/>
          <w:szCs w:val="32"/>
        </w:rPr>
        <w:t>关运行经费共计安排</w:t>
      </w:r>
      <w:r>
        <w:rPr>
          <w:rFonts w:hint="eastAsia" w:ascii="Times New Roman" w:hAnsi="Times New Roman" w:eastAsia="仿宋_GB2312" w:cs="Times New Roman"/>
          <w:sz w:val="32"/>
          <w:szCs w:val="32"/>
          <w:lang w:val="en-US" w:eastAsia="zh-CN"/>
        </w:rPr>
        <w:t>15.58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主要用于单位正常运行支出</w:t>
      </w:r>
      <w:r>
        <w:rPr>
          <w:rFonts w:ascii="Times New Roman" w:hAnsi="Times New Roman" w:eastAsia="仿宋_GB2312" w:cs="Times New Roman"/>
          <w:sz w:val="32"/>
          <w:szCs w:val="32"/>
        </w:rPr>
        <w:t>。</w:t>
      </w:r>
    </w:p>
    <w:p>
      <w:pPr>
        <w:autoSpaceDE w:val="0"/>
        <w:autoSpaceDN w:val="0"/>
        <w:adjustRightInd w:val="0"/>
        <w:spacing w:line="584" w:lineRule="exact"/>
        <w:ind w:left="198" w:leftChars="0" w:firstLine="441" w:firstLineChars="138"/>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0" w:leftChars="0"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00" w:lineRule="exact"/>
        <w:ind w:firstLine="640" w:firstLineChars="200"/>
        <w:jc w:val="left"/>
        <w:rPr>
          <w:rFonts w:ascii="Times New Roman" w:eastAsia="方正仿宋_GBK"/>
          <w:sz w:val="28"/>
        </w:rPr>
      </w:pPr>
      <w:r>
        <w:rPr>
          <w:rFonts w:hint="eastAsia" w:ascii="Times New Roman" w:hAnsi="Times New Roman" w:eastAsia="仿宋_GB2312" w:cs="Times New Roman"/>
          <w:sz w:val="32"/>
          <w:szCs w:val="32"/>
        </w:rPr>
        <w:t>2021年，我们将继续完善教育基础设施，推荐学校建设，加快提升装备水平；打算一流教师队伍，补充师资力量，提高专业素质，完善考核机制；优化教育教学管理；消除大班额班级。全面加强党的建设，强化主体责任，在提升党建工作质量上下真功、用实劲、求实效。</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1、职业教育绩效目标情况：</w:t>
      </w:r>
    </w:p>
    <w:p>
      <w:pPr>
        <w:spacing w:line="5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大力发展职业教育，坚持以就业为导向，深化职业教育教学改革，增强职业教育发展活力。</w:t>
      </w:r>
    </w:p>
    <w:p>
      <w:pPr>
        <w:spacing w:line="5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绩效目标：职业学校办学水平和结合实力进一步提高，职业教育为全区经济社会发展服务的能力进一步增强；按国家标准科学、准确测算，及时拨付免学费资金和发放国家助学金。</w:t>
      </w:r>
    </w:p>
    <w:p>
      <w:pPr>
        <w:spacing w:line="5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2、教师队伍建设绩效目标情况</w:t>
      </w:r>
    </w:p>
    <w:p>
      <w:pPr>
        <w:spacing w:line="5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完成中小学骨干、学科教师培训，高层次、优秀人才引进计划。</w:t>
      </w:r>
    </w:p>
    <w:p>
      <w:pPr>
        <w:spacing w:line="5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（1）教师培养与培训：培训中小学骨干教师、学科教师、提高中小学教师的业务水平和教学能力。</w:t>
      </w:r>
    </w:p>
    <w:p>
      <w:pPr>
        <w:spacing w:line="500" w:lineRule="exact"/>
        <w:ind w:firstLine="640" w:firstLineChars="200"/>
        <w:jc w:val="left"/>
        <w:rPr>
          <w:rFonts w:ascii="Times New Roman" w:eastAsia="方正仿宋_GBK"/>
          <w:sz w:val="28"/>
        </w:rPr>
      </w:pPr>
      <w:r>
        <w:rPr>
          <w:rFonts w:hint="eastAsia" w:ascii="Times New Roman" w:hAnsi="Times New Roman" w:eastAsia="仿宋_GB2312" w:cs="Times New Roman"/>
          <w:sz w:val="32"/>
          <w:szCs w:val="32"/>
        </w:rPr>
        <w:t>（2）高水平人才培养与引进：培养高层次人才和优秀创新团队；培养具有创新能力的高水平教学人才队伍，构建科学合理的队伍结构。</w:t>
      </w:r>
    </w:p>
    <w:p>
      <w:p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left="0" w:leftChars="0" w:firstLine="640" w:firstLineChars="200"/>
        <w:rPr>
          <w:rFonts w:hint="eastAsia" w:ascii="Times New Roman" w:hAnsi="Times New Roman" w:eastAsia="仿宋_GB2312" w:cs="Arial"/>
          <w:b w:val="0"/>
          <w:bCs/>
          <w:sz w:val="32"/>
          <w:szCs w:val="32"/>
        </w:rPr>
      </w:pPr>
      <w:r>
        <w:rPr>
          <w:rFonts w:hint="eastAsia" w:ascii="Times New Roman" w:hAnsi="Times New Roman" w:eastAsia="仿宋_GB2312" w:cs="Arial"/>
          <w:b w:val="0"/>
          <w:bCs/>
          <w:sz w:val="32"/>
          <w:szCs w:val="32"/>
        </w:rPr>
        <w:t>1、完善制度建设</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完善工作制度，制定完善预算绩效管理制度、资金管理办法等，为全年预算绩效目标的实现奠定坚实的基础。</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2、加强绩效运行监控</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按要求开展绩效运行监控，发现问题及时采取措施，确保绩效目标如期保质实现。</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3、做好绩效自评</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按要求做好预算绩效自评工作，加强对重点预算项目的自评工作，通过对评价中发现的问题进行整改，提高财政资金使用效益。</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4、规范财务资产管理</w:t>
      </w:r>
    </w:p>
    <w:p>
      <w:pPr>
        <w:spacing w:line="584" w:lineRule="exact"/>
        <w:ind w:firstLine="640" w:firstLineChars="200"/>
        <w:rPr>
          <w:rFonts w:hint="eastAsia" w:ascii="Times New Roman" w:hAnsi="Times New Roman" w:eastAsia="仿宋_GB2312"/>
          <w:b w:val="0"/>
          <w:bCs/>
          <w:sz w:val="32"/>
          <w:szCs w:val="32"/>
        </w:rPr>
      </w:pPr>
      <w:r>
        <w:rPr>
          <w:rFonts w:hint="eastAsia" w:ascii="Times New Roman" w:hAnsi="Times New Roman" w:eastAsia="仿宋_GB2312"/>
          <w:b w:val="0"/>
          <w:bCs/>
          <w:sz w:val="32"/>
          <w:szCs w:val="32"/>
        </w:rPr>
        <w:t>进一步完善财务管理制度，严格审批程序，规范审批流程，加强固定资产登记、使用和报废处置管理，做到支出合理，物尽其用。</w:t>
      </w:r>
    </w:p>
    <w:p>
      <w:pPr>
        <w:overflowPunct w:val="0"/>
        <w:adjustRightInd w:val="0"/>
        <w:snapToGrid w:val="0"/>
        <w:spacing w:afterLines="50" w:line="580" w:lineRule="exact"/>
        <w:ind w:left="420" w:leftChars="200"/>
        <w:jc w:val="left"/>
        <w:rPr>
          <w:rFonts w:ascii="楷体_GB2312" w:eastAsia="楷体_GB2312" w:cs="Times New Roman"/>
          <w:b/>
          <w:sz w:val="32"/>
          <w:szCs w:val="32"/>
        </w:rPr>
      </w:pPr>
      <w:r>
        <w:rPr>
          <w:rFonts w:hint="eastAsia" w:ascii="楷体_GB2312" w:eastAsia="楷体_GB2312" w:cs="Times New Roman"/>
          <w:b/>
          <w:sz w:val="32"/>
          <w:szCs w:val="32"/>
        </w:rPr>
        <w:t>（</w:t>
      </w:r>
      <w:r>
        <w:rPr>
          <w:rFonts w:hint="eastAsia" w:ascii="楷体_GB2312" w:eastAsia="楷体_GB2312" w:cs="Times New Roman"/>
          <w:b/>
          <w:sz w:val="32"/>
          <w:szCs w:val="32"/>
          <w:lang w:val="en-US" w:eastAsia="zh-CN"/>
        </w:rPr>
        <w:t>四</w:t>
      </w:r>
      <w:r>
        <w:rPr>
          <w:rFonts w:hint="eastAsia" w:ascii="楷体_GB2312" w:eastAsia="楷体_GB2312" w:cs="Times New Roman"/>
          <w:b/>
          <w:sz w:val="32"/>
          <w:szCs w:val="32"/>
        </w:rPr>
        <w:t>）部门整体支出绩效指标</w:t>
      </w:r>
    </w:p>
    <w:p>
      <w:pPr>
        <w:jc w:val="left"/>
        <w:outlineLvl w:val="3"/>
        <w:rPr>
          <w:rFonts w:hint="eastAsia" w:ascii="Times New Roman" w:hAnsi="Times New Roman" w:eastAsia="黑体" w:cs="Times New Roman"/>
          <w:sz w:val="32"/>
          <w:szCs w:val="32"/>
        </w:rPr>
      </w:pPr>
    </w:p>
    <w:p>
      <w:pPr>
        <w:jc w:val="left"/>
        <w:outlineLvl w:val="3"/>
        <w:rPr>
          <w:rFonts w:hint="eastAsia" w:ascii="Times New Roman" w:hAnsi="Times New Roman" w:eastAsia="黑体" w:cs="Times New Roman"/>
          <w:sz w:val="32"/>
          <w:szCs w:val="32"/>
        </w:rPr>
      </w:pPr>
    </w:p>
    <w:p>
      <w:pPr>
        <w:jc w:val="left"/>
        <w:outlineLvl w:val="3"/>
        <w:rPr>
          <w:rFonts w:hint="eastAsia" w:ascii="Times New Roman" w:hAnsi="Times New Roman" w:eastAsia="黑体" w:cs="Times New Roman"/>
          <w:sz w:val="32"/>
          <w:szCs w:val="32"/>
        </w:rPr>
      </w:pPr>
    </w:p>
    <w:p>
      <w:pPr>
        <w:jc w:val="left"/>
        <w:outlineLvl w:val="3"/>
        <w:rPr>
          <w:rFonts w:hint="eastAsia" w:ascii="Times New Roman" w:hAnsi="Times New Roman" w:eastAsia="黑体" w:cs="Times New Roman"/>
          <w:sz w:val="32"/>
          <w:szCs w:val="32"/>
        </w:rPr>
      </w:pPr>
    </w:p>
    <w:p>
      <w:pPr>
        <w:jc w:val="left"/>
        <w:outlineLvl w:val="3"/>
        <w:rPr>
          <w:rFonts w:hint="eastAsia" w:ascii="Times New Roman" w:hAnsi="Times New Roman" w:eastAsia="黑体" w:cs="Times New Roman"/>
          <w:sz w:val="32"/>
          <w:szCs w:val="32"/>
        </w:rPr>
      </w:pPr>
    </w:p>
    <w:tbl>
      <w:tblPr>
        <w:tblStyle w:val="10"/>
        <w:tblpPr w:leftFromText="180" w:rightFromText="180" w:vertAnchor="page" w:horzAnchor="page" w:tblpX="1548" w:tblpY="1422"/>
        <w:tblOverlap w:val="never"/>
        <w:tblW w:w="13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507"/>
        <w:gridCol w:w="3120"/>
        <w:gridCol w:w="3200"/>
        <w:gridCol w:w="1000"/>
        <w:gridCol w:w="787"/>
        <w:gridCol w:w="90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50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12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320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693"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9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1507" w:type="dxa"/>
            <w:vMerge w:val="continue"/>
            <w:tcBorders>
              <w:tl2br w:val="nil"/>
              <w:tr2bl w:val="nil"/>
            </w:tcBorders>
            <w:vAlign w:val="center"/>
          </w:tcPr>
          <w:p/>
        </w:tc>
        <w:tc>
          <w:tcPr>
            <w:tcW w:w="3120" w:type="dxa"/>
            <w:vMerge w:val="continue"/>
            <w:tcBorders>
              <w:tl2br w:val="nil"/>
              <w:tr2bl w:val="nil"/>
            </w:tcBorders>
            <w:vAlign w:val="center"/>
          </w:tcPr>
          <w:p/>
        </w:tc>
        <w:tc>
          <w:tcPr>
            <w:tcW w:w="3200" w:type="dxa"/>
            <w:vMerge w:val="continue"/>
            <w:tcBorders>
              <w:tl2br w:val="nil"/>
              <w:tr2bl w:val="nil"/>
            </w:tcBorders>
            <w:vAlign w:val="center"/>
          </w:tcPr>
          <w:p/>
        </w:tc>
        <w:tc>
          <w:tcPr>
            <w:tcW w:w="100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78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906"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94"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trPr>
        <w:tc>
          <w:tcPr>
            <w:tcW w:w="558" w:type="dxa"/>
            <w:vMerge w:val="restart"/>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部门产出</w:t>
            </w:r>
          </w:p>
        </w:tc>
        <w:tc>
          <w:tcPr>
            <w:tcW w:w="825"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数量</w:t>
            </w:r>
          </w:p>
        </w:tc>
        <w:tc>
          <w:tcPr>
            <w:tcW w:w="1507"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重点工作完成率</w:t>
            </w:r>
          </w:p>
        </w:tc>
        <w:tc>
          <w:tcPr>
            <w:tcW w:w="3120" w:type="dxa"/>
            <w:tcBorders>
              <w:tl2br w:val="nil"/>
              <w:tr2bl w:val="nil"/>
            </w:tcBorders>
            <w:vAlign w:val="center"/>
          </w:tcPr>
          <w:p>
            <w:pPr>
              <w:widowControl/>
              <w:adjustRightInd w:val="0"/>
              <w:snapToGrid w:val="0"/>
              <w:rPr>
                <w:rFonts w:ascii="仿宋" w:hAnsi="仿宋" w:eastAsia="仿宋"/>
                <w:szCs w:val="21"/>
              </w:rPr>
            </w:pPr>
            <w:r>
              <w:rPr>
                <w:rFonts w:eastAsia="仿宋_GB2312"/>
                <w:color w:val="000000"/>
                <w:kern w:val="0"/>
                <w:szCs w:val="21"/>
              </w:rPr>
              <w:t>实际值为</w:t>
            </w:r>
            <w:r>
              <w:rPr>
                <w:color w:val="000000"/>
                <w:kern w:val="0"/>
                <w:szCs w:val="21"/>
              </w:rPr>
              <w:t>100%</w:t>
            </w:r>
            <w:r>
              <w:rPr>
                <w:rFonts w:eastAsia="仿宋_GB2312"/>
                <w:color w:val="000000"/>
                <w:kern w:val="0"/>
                <w:szCs w:val="21"/>
              </w:rPr>
              <w:t>得满分，每降低</w:t>
            </w:r>
            <w:r>
              <w:rPr>
                <w:color w:val="000000"/>
                <w:kern w:val="0"/>
                <w:szCs w:val="21"/>
              </w:rPr>
              <w:t>1%</w:t>
            </w:r>
            <w:r>
              <w:rPr>
                <w:rFonts w:eastAsia="仿宋_GB2312"/>
                <w:color w:val="000000"/>
                <w:kern w:val="0"/>
                <w:szCs w:val="21"/>
              </w:rPr>
              <w:t>扣权重分的</w:t>
            </w:r>
            <w:r>
              <w:rPr>
                <w:color w:val="000000"/>
                <w:kern w:val="0"/>
                <w:szCs w:val="21"/>
              </w:rPr>
              <w:t>10%</w:t>
            </w:r>
            <w:r>
              <w:rPr>
                <w:rFonts w:eastAsia="仿宋_GB2312"/>
                <w:color w:val="000000"/>
                <w:kern w:val="0"/>
                <w:szCs w:val="21"/>
              </w:rPr>
              <w:t>，扣完为止。</w:t>
            </w:r>
          </w:p>
        </w:tc>
        <w:tc>
          <w:tcPr>
            <w:tcW w:w="3200"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反映本年度重点工作完成率</w:t>
            </w:r>
          </w:p>
        </w:tc>
        <w:tc>
          <w:tcPr>
            <w:tcW w:w="1000"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w:t>
            </w:r>
          </w:p>
        </w:tc>
        <w:tc>
          <w:tcPr>
            <w:tcW w:w="787"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100</w:t>
            </w:r>
          </w:p>
        </w:tc>
        <w:tc>
          <w:tcPr>
            <w:tcW w:w="906"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w:t>
            </w:r>
          </w:p>
        </w:tc>
        <w:tc>
          <w:tcPr>
            <w:tcW w:w="1294"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558" w:type="dxa"/>
            <w:vMerge w:val="continue"/>
            <w:tcBorders>
              <w:tl2br w:val="nil"/>
              <w:tr2bl w:val="nil"/>
            </w:tcBorders>
            <w:vAlign w:val="center"/>
          </w:tcPr>
          <w:p>
            <w:pPr>
              <w:rPr>
                <w:rFonts w:ascii="仿宋" w:hAnsi="仿宋" w:eastAsia="仿宋"/>
              </w:rPr>
            </w:pPr>
          </w:p>
        </w:tc>
        <w:tc>
          <w:tcPr>
            <w:tcW w:w="825"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质量</w:t>
            </w:r>
          </w:p>
        </w:tc>
        <w:tc>
          <w:tcPr>
            <w:tcW w:w="1507"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学生综合素质达标率</w:t>
            </w:r>
          </w:p>
        </w:tc>
        <w:tc>
          <w:tcPr>
            <w:tcW w:w="3120"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每降低1%扣除该项10%分数</w:t>
            </w:r>
          </w:p>
        </w:tc>
        <w:tc>
          <w:tcPr>
            <w:tcW w:w="3200"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学生综合素质达标率</w:t>
            </w:r>
          </w:p>
        </w:tc>
        <w:tc>
          <w:tcPr>
            <w:tcW w:w="1000"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w:t>
            </w:r>
          </w:p>
        </w:tc>
        <w:tc>
          <w:tcPr>
            <w:tcW w:w="787"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100</w:t>
            </w:r>
          </w:p>
        </w:tc>
        <w:tc>
          <w:tcPr>
            <w:tcW w:w="906"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w:t>
            </w:r>
          </w:p>
        </w:tc>
        <w:tc>
          <w:tcPr>
            <w:tcW w:w="1294"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trPr>
        <w:tc>
          <w:tcPr>
            <w:tcW w:w="558" w:type="dxa"/>
            <w:vMerge w:val="continue"/>
            <w:tcBorders>
              <w:tl2br w:val="nil"/>
              <w:tr2bl w:val="nil"/>
            </w:tcBorders>
            <w:vAlign w:val="center"/>
          </w:tcPr>
          <w:p>
            <w:pPr>
              <w:rPr>
                <w:rFonts w:ascii="仿宋" w:hAnsi="仿宋" w:eastAsia="仿宋"/>
              </w:rPr>
            </w:pPr>
          </w:p>
        </w:tc>
        <w:tc>
          <w:tcPr>
            <w:tcW w:w="825"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时效</w:t>
            </w:r>
          </w:p>
        </w:tc>
        <w:tc>
          <w:tcPr>
            <w:tcW w:w="1507"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项目完成</w:t>
            </w:r>
            <w:r>
              <w:rPr>
                <w:rFonts w:ascii="仿宋" w:hAnsi="仿宋" w:eastAsia="仿宋"/>
              </w:rPr>
              <w:t>及时性</w:t>
            </w:r>
          </w:p>
        </w:tc>
        <w:tc>
          <w:tcPr>
            <w:tcW w:w="3120" w:type="dxa"/>
            <w:tcBorders>
              <w:tl2br w:val="nil"/>
              <w:tr2bl w:val="nil"/>
            </w:tcBorders>
            <w:vAlign w:val="center"/>
          </w:tcPr>
          <w:p>
            <w:pPr>
              <w:widowControl/>
              <w:adjustRightInd w:val="0"/>
              <w:snapToGrid w:val="0"/>
              <w:jc w:val="left"/>
              <w:rPr>
                <w:rFonts w:ascii="仿宋" w:hAnsi="仿宋" w:eastAsia="仿宋"/>
              </w:rPr>
            </w:pPr>
            <w:r>
              <w:rPr>
                <w:rFonts w:hint="eastAsia" w:ascii="仿宋" w:hAnsi="仿宋" w:eastAsia="仿宋"/>
              </w:rPr>
              <w:t>未达到完成时限，减时效分值10%</w:t>
            </w:r>
          </w:p>
        </w:tc>
        <w:tc>
          <w:tcPr>
            <w:tcW w:w="3200" w:type="dxa"/>
            <w:tcBorders>
              <w:tl2br w:val="nil"/>
              <w:tr2bl w:val="nil"/>
            </w:tcBorders>
            <w:vAlign w:val="center"/>
          </w:tcPr>
          <w:p>
            <w:pPr>
              <w:widowControl/>
              <w:adjustRightInd w:val="0"/>
              <w:snapToGrid w:val="0"/>
              <w:jc w:val="left"/>
              <w:rPr>
                <w:rFonts w:ascii="仿宋" w:hAnsi="仿宋" w:eastAsia="仿宋"/>
              </w:rPr>
            </w:pPr>
            <w:r>
              <w:rPr>
                <w:rFonts w:hint="eastAsia" w:ascii="仿宋" w:hAnsi="仿宋" w:eastAsia="仿宋"/>
              </w:rPr>
              <w:t>反映项目</w:t>
            </w:r>
            <w:r>
              <w:rPr>
                <w:rFonts w:ascii="仿宋" w:hAnsi="仿宋" w:eastAsia="仿宋"/>
              </w:rPr>
              <w:t>完成及时性</w:t>
            </w:r>
          </w:p>
        </w:tc>
        <w:tc>
          <w:tcPr>
            <w:tcW w:w="1000" w:type="dxa"/>
            <w:tcBorders>
              <w:tl2br w:val="nil"/>
              <w:tr2bl w:val="nil"/>
            </w:tcBorders>
            <w:vAlign w:val="center"/>
          </w:tcPr>
          <w:p>
            <w:pPr>
              <w:widowControl/>
              <w:adjustRightInd w:val="0"/>
              <w:snapToGrid w:val="0"/>
              <w:jc w:val="center"/>
              <w:rPr>
                <w:rFonts w:ascii="仿宋" w:hAnsi="仿宋" w:eastAsia="仿宋"/>
              </w:rPr>
            </w:pPr>
          </w:p>
        </w:tc>
        <w:tc>
          <w:tcPr>
            <w:tcW w:w="787"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及时</w:t>
            </w:r>
          </w:p>
        </w:tc>
        <w:tc>
          <w:tcPr>
            <w:tcW w:w="906" w:type="dxa"/>
            <w:tcBorders>
              <w:tl2br w:val="nil"/>
              <w:tr2bl w:val="nil"/>
            </w:tcBorders>
            <w:vAlign w:val="center"/>
          </w:tcPr>
          <w:p>
            <w:pPr>
              <w:widowControl/>
              <w:adjustRightInd w:val="0"/>
              <w:snapToGrid w:val="0"/>
              <w:jc w:val="center"/>
              <w:rPr>
                <w:rFonts w:ascii="仿宋" w:hAnsi="仿宋" w:eastAsia="仿宋"/>
              </w:rPr>
            </w:pPr>
          </w:p>
        </w:tc>
        <w:tc>
          <w:tcPr>
            <w:tcW w:w="1294"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558" w:type="dxa"/>
            <w:vMerge w:val="continue"/>
            <w:tcBorders>
              <w:tl2br w:val="nil"/>
              <w:tr2bl w:val="nil"/>
            </w:tcBorders>
            <w:vAlign w:val="center"/>
          </w:tcPr>
          <w:p>
            <w:pPr>
              <w:rPr>
                <w:rFonts w:ascii="仿宋" w:hAnsi="仿宋" w:eastAsia="仿宋"/>
              </w:rPr>
            </w:pPr>
          </w:p>
        </w:tc>
        <w:tc>
          <w:tcPr>
            <w:tcW w:w="825"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成本</w:t>
            </w:r>
          </w:p>
        </w:tc>
        <w:tc>
          <w:tcPr>
            <w:tcW w:w="1507" w:type="dxa"/>
            <w:tcBorders>
              <w:tl2br w:val="nil"/>
              <w:tr2bl w:val="nil"/>
            </w:tcBorders>
            <w:vAlign w:val="center"/>
          </w:tcPr>
          <w:p>
            <w:pPr>
              <w:widowControl/>
              <w:adjustRightInd w:val="0"/>
              <w:snapToGrid w:val="0"/>
              <w:jc w:val="left"/>
              <w:rPr>
                <w:rFonts w:ascii="仿宋" w:hAnsi="仿宋" w:eastAsia="仿宋"/>
              </w:rPr>
            </w:pPr>
            <w:r>
              <w:rPr>
                <w:rFonts w:hint="eastAsia" w:ascii="仿宋" w:hAnsi="仿宋" w:eastAsia="仿宋"/>
              </w:rPr>
              <w:t>职业教育免学费和助学金</w:t>
            </w:r>
          </w:p>
        </w:tc>
        <w:tc>
          <w:tcPr>
            <w:tcW w:w="3120" w:type="dxa"/>
            <w:tcBorders>
              <w:tl2br w:val="nil"/>
              <w:tr2bl w:val="nil"/>
            </w:tcBorders>
            <w:vAlign w:val="center"/>
          </w:tcPr>
          <w:p>
            <w:pPr>
              <w:widowControl/>
              <w:adjustRightInd w:val="0"/>
              <w:snapToGrid w:val="0"/>
              <w:jc w:val="left"/>
              <w:rPr>
                <w:rFonts w:ascii="仿宋" w:hAnsi="仿宋" w:eastAsia="仿宋"/>
                <w:szCs w:val="21"/>
              </w:rPr>
            </w:pPr>
            <w:r>
              <w:rPr>
                <w:rFonts w:hint="eastAsia" w:eastAsia="仿宋_GB2312"/>
                <w:color w:val="000000"/>
                <w:kern w:val="0"/>
                <w:szCs w:val="21"/>
                <w:shd w:val="solid" w:color="FFFFFF" w:fill="FFFFFF"/>
              </w:rPr>
              <w:t>超出指标预算5%</w:t>
            </w:r>
            <w:r>
              <w:rPr>
                <w:rFonts w:eastAsia="仿宋_GB2312"/>
                <w:color w:val="000000"/>
                <w:kern w:val="0"/>
                <w:szCs w:val="21"/>
                <w:shd w:val="solid" w:color="FFFFFF" w:fill="FFFFFF"/>
              </w:rPr>
              <w:t>，扣权重分的</w:t>
            </w:r>
            <w:r>
              <w:rPr>
                <w:rFonts w:hint="eastAsia"/>
                <w:color w:val="000000"/>
                <w:kern w:val="0"/>
                <w:szCs w:val="21"/>
                <w:shd w:val="solid" w:color="FFFFFF" w:fill="FFFFFF"/>
              </w:rPr>
              <w:t>5</w:t>
            </w:r>
            <w:r>
              <w:rPr>
                <w:color w:val="000000"/>
                <w:kern w:val="0"/>
                <w:szCs w:val="21"/>
                <w:shd w:val="solid" w:color="FFFFFF" w:fill="FFFFFF"/>
              </w:rPr>
              <w:t>%</w:t>
            </w:r>
            <w:r>
              <w:rPr>
                <w:rFonts w:eastAsia="仿宋_GB2312"/>
                <w:color w:val="000000"/>
                <w:kern w:val="0"/>
                <w:szCs w:val="21"/>
                <w:shd w:val="solid" w:color="FFFFFF" w:fill="FFFFFF"/>
              </w:rPr>
              <w:t>，扣完为止。</w:t>
            </w:r>
          </w:p>
        </w:tc>
        <w:tc>
          <w:tcPr>
            <w:tcW w:w="3200" w:type="dxa"/>
            <w:tcBorders>
              <w:tl2br w:val="nil"/>
              <w:tr2bl w:val="nil"/>
            </w:tcBorders>
            <w:vAlign w:val="center"/>
          </w:tcPr>
          <w:p>
            <w:pPr>
              <w:widowControl/>
              <w:adjustRightInd w:val="0"/>
              <w:snapToGrid w:val="0"/>
              <w:jc w:val="left"/>
              <w:rPr>
                <w:rFonts w:ascii="仿宋" w:hAnsi="仿宋" w:eastAsia="仿宋"/>
                <w:szCs w:val="21"/>
              </w:rPr>
            </w:pPr>
            <w:r>
              <w:rPr>
                <w:rFonts w:hint="eastAsia" w:eastAsia="仿宋_GB2312"/>
                <w:color w:val="000000"/>
                <w:kern w:val="0"/>
                <w:szCs w:val="21"/>
                <w:shd w:val="solid" w:color="FFFFFF" w:fill="FFFFFF"/>
              </w:rPr>
              <w:t>职业教育助学金和免学费2000元/生/年</w:t>
            </w:r>
          </w:p>
        </w:tc>
        <w:tc>
          <w:tcPr>
            <w:tcW w:w="1000"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w:t>
            </w:r>
          </w:p>
        </w:tc>
        <w:tc>
          <w:tcPr>
            <w:tcW w:w="787"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2000</w:t>
            </w:r>
          </w:p>
        </w:tc>
        <w:tc>
          <w:tcPr>
            <w:tcW w:w="906"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元</w:t>
            </w:r>
          </w:p>
        </w:tc>
        <w:tc>
          <w:tcPr>
            <w:tcW w:w="1294"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上级文件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558" w:type="dxa"/>
            <w:vMerge w:val="restart"/>
            <w:tcBorders>
              <w:tl2br w:val="nil"/>
              <w:tr2bl w:val="nil"/>
            </w:tcBorders>
            <w:vAlign w:val="center"/>
          </w:tcPr>
          <w:p>
            <w:pPr>
              <w:adjustRightInd w:val="0"/>
              <w:snapToGrid w:val="0"/>
              <w:jc w:val="center"/>
              <w:rPr>
                <w:rFonts w:ascii="仿宋" w:hAnsi="仿宋" w:eastAsia="仿宋"/>
              </w:rPr>
            </w:pPr>
            <w:r>
              <w:rPr>
                <w:rFonts w:ascii="仿宋" w:hAnsi="仿宋" w:eastAsia="仿宋"/>
              </w:rPr>
              <w:t>部门</w:t>
            </w:r>
            <w:r>
              <w:rPr>
                <w:rFonts w:hint="eastAsia" w:ascii="仿宋" w:hAnsi="仿宋" w:eastAsia="仿宋"/>
              </w:rPr>
              <w:t>效果</w:t>
            </w:r>
          </w:p>
        </w:tc>
        <w:tc>
          <w:tcPr>
            <w:tcW w:w="825"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社会</w:t>
            </w:r>
          </w:p>
          <w:p>
            <w:pPr>
              <w:widowControl/>
              <w:adjustRightInd w:val="0"/>
              <w:snapToGrid w:val="0"/>
              <w:jc w:val="center"/>
              <w:rPr>
                <w:rFonts w:ascii="仿宋" w:hAnsi="仿宋" w:eastAsia="仿宋"/>
              </w:rPr>
            </w:pPr>
            <w:r>
              <w:rPr>
                <w:rFonts w:ascii="仿宋" w:hAnsi="仿宋" w:eastAsia="仿宋"/>
              </w:rPr>
              <w:t>效益</w:t>
            </w:r>
          </w:p>
        </w:tc>
        <w:tc>
          <w:tcPr>
            <w:tcW w:w="1507" w:type="dxa"/>
            <w:tcBorders>
              <w:tl2br w:val="nil"/>
              <w:tr2bl w:val="nil"/>
            </w:tcBorders>
            <w:vAlign w:val="center"/>
          </w:tcPr>
          <w:p>
            <w:pPr>
              <w:widowControl/>
              <w:adjustRightInd w:val="0"/>
              <w:snapToGrid w:val="0"/>
              <w:jc w:val="left"/>
              <w:rPr>
                <w:rFonts w:ascii="仿宋" w:hAnsi="仿宋" w:eastAsia="仿宋"/>
              </w:rPr>
            </w:pPr>
            <w:r>
              <w:rPr>
                <w:rFonts w:hint="eastAsia" w:ascii="仿宋" w:hAnsi="仿宋" w:eastAsia="仿宋"/>
              </w:rPr>
              <w:t>受益师生总人数</w:t>
            </w:r>
          </w:p>
        </w:tc>
        <w:tc>
          <w:tcPr>
            <w:tcW w:w="3120" w:type="dxa"/>
            <w:tcBorders>
              <w:tl2br w:val="nil"/>
              <w:tr2bl w:val="nil"/>
            </w:tcBorders>
            <w:vAlign w:val="center"/>
          </w:tcPr>
          <w:p>
            <w:pPr>
              <w:widowControl/>
              <w:adjustRightInd w:val="0"/>
              <w:snapToGrid w:val="0"/>
              <w:jc w:val="left"/>
              <w:rPr>
                <w:rFonts w:ascii="仿宋" w:hAnsi="仿宋" w:eastAsia="仿宋"/>
              </w:rPr>
            </w:pPr>
            <w:r>
              <w:rPr>
                <w:rFonts w:hint="eastAsia" w:ascii="仿宋" w:hAnsi="仿宋" w:eastAsia="仿宋"/>
              </w:rPr>
              <w:t>未达到所有学生受益，扣减10%分数</w:t>
            </w:r>
          </w:p>
        </w:tc>
        <w:tc>
          <w:tcPr>
            <w:tcW w:w="3200" w:type="dxa"/>
            <w:tcBorders>
              <w:tl2br w:val="nil"/>
              <w:tr2bl w:val="nil"/>
            </w:tcBorders>
            <w:vAlign w:val="center"/>
          </w:tcPr>
          <w:p>
            <w:pPr>
              <w:widowControl/>
              <w:adjustRightInd w:val="0"/>
              <w:snapToGrid w:val="0"/>
              <w:jc w:val="left"/>
              <w:rPr>
                <w:rFonts w:ascii="仿宋" w:hAnsi="仿宋" w:eastAsia="仿宋"/>
              </w:rPr>
            </w:pPr>
            <w:r>
              <w:rPr>
                <w:rFonts w:hint="eastAsia" w:ascii="仿宋" w:hAnsi="仿宋" w:eastAsia="仿宋"/>
              </w:rPr>
              <w:t>受益师生总人数</w:t>
            </w:r>
          </w:p>
        </w:tc>
        <w:tc>
          <w:tcPr>
            <w:tcW w:w="1000"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w:t>
            </w:r>
          </w:p>
        </w:tc>
        <w:tc>
          <w:tcPr>
            <w:tcW w:w="787"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1800</w:t>
            </w:r>
          </w:p>
        </w:tc>
        <w:tc>
          <w:tcPr>
            <w:tcW w:w="906"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人</w:t>
            </w:r>
          </w:p>
        </w:tc>
        <w:tc>
          <w:tcPr>
            <w:tcW w:w="1294"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558" w:type="dxa"/>
            <w:vMerge w:val="continue"/>
            <w:tcBorders>
              <w:tl2br w:val="nil"/>
              <w:tr2bl w:val="nil"/>
            </w:tcBorders>
            <w:vAlign w:val="center"/>
          </w:tcPr>
          <w:p>
            <w:pPr>
              <w:rPr>
                <w:rFonts w:ascii="仿宋" w:hAnsi="仿宋" w:eastAsia="仿宋"/>
              </w:rPr>
            </w:pPr>
          </w:p>
        </w:tc>
        <w:tc>
          <w:tcPr>
            <w:tcW w:w="825"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经济</w:t>
            </w:r>
          </w:p>
          <w:p>
            <w:pPr>
              <w:widowControl/>
              <w:adjustRightInd w:val="0"/>
              <w:snapToGrid w:val="0"/>
              <w:jc w:val="center"/>
              <w:rPr>
                <w:rFonts w:ascii="仿宋" w:hAnsi="仿宋" w:eastAsia="仿宋"/>
              </w:rPr>
            </w:pPr>
            <w:r>
              <w:rPr>
                <w:rFonts w:hint="eastAsia" w:ascii="仿宋" w:hAnsi="仿宋" w:eastAsia="仿宋"/>
              </w:rPr>
              <w:t>效益</w:t>
            </w:r>
          </w:p>
        </w:tc>
        <w:tc>
          <w:tcPr>
            <w:tcW w:w="1507" w:type="dxa"/>
            <w:tcBorders>
              <w:tl2br w:val="nil"/>
              <w:tr2bl w:val="nil"/>
            </w:tcBorders>
            <w:vAlign w:val="center"/>
          </w:tcPr>
          <w:p>
            <w:pPr>
              <w:widowControl/>
              <w:adjustRightInd w:val="0"/>
              <w:snapToGrid w:val="0"/>
              <w:rPr>
                <w:rFonts w:ascii="仿宋" w:hAnsi="仿宋" w:eastAsia="仿宋"/>
              </w:rPr>
            </w:pPr>
          </w:p>
        </w:tc>
        <w:tc>
          <w:tcPr>
            <w:tcW w:w="3120" w:type="dxa"/>
            <w:tcBorders>
              <w:tl2br w:val="nil"/>
              <w:tr2bl w:val="nil"/>
            </w:tcBorders>
            <w:vAlign w:val="center"/>
          </w:tcPr>
          <w:p>
            <w:pPr>
              <w:widowControl/>
              <w:adjustRightInd w:val="0"/>
              <w:snapToGrid w:val="0"/>
              <w:rPr>
                <w:rFonts w:ascii="仿宋" w:hAnsi="仿宋" w:eastAsia="仿宋"/>
              </w:rPr>
            </w:pPr>
          </w:p>
        </w:tc>
        <w:tc>
          <w:tcPr>
            <w:tcW w:w="3200" w:type="dxa"/>
            <w:tcBorders>
              <w:tl2br w:val="nil"/>
              <w:tr2bl w:val="nil"/>
            </w:tcBorders>
            <w:vAlign w:val="center"/>
          </w:tcPr>
          <w:p>
            <w:pPr>
              <w:widowControl/>
              <w:adjustRightInd w:val="0"/>
              <w:snapToGrid w:val="0"/>
              <w:rPr>
                <w:rFonts w:ascii="仿宋" w:hAnsi="仿宋" w:eastAsia="仿宋"/>
              </w:rPr>
            </w:pPr>
          </w:p>
        </w:tc>
        <w:tc>
          <w:tcPr>
            <w:tcW w:w="1000" w:type="dxa"/>
            <w:tcBorders>
              <w:tl2br w:val="nil"/>
              <w:tr2bl w:val="nil"/>
            </w:tcBorders>
            <w:vAlign w:val="center"/>
          </w:tcPr>
          <w:p>
            <w:pPr>
              <w:widowControl/>
              <w:adjustRightInd w:val="0"/>
              <w:snapToGrid w:val="0"/>
              <w:rPr>
                <w:rFonts w:ascii="仿宋" w:hAnsi="仿宋" w:eastAsia="仿宋"/>
              </w:rPr>
            </w:pPr>
          </w:p>
        </w:tc>
        <w:tc>
          <w:tcPr>
            <w:tcW w:w="787" w:type="dxa"/>
            <w:tcBorders>
              <w:tl2br w:val="nil"/>
              <w:tr2bl w:val="nil"/>
            </w:tcBorders>
            <w:vAlign w:val="center"/>
          </w:tcPr>
          <w:p>
            <w:pPr>
              <w:widowControl/>
              <w:adjustRightInd w:val="0"/>
              <w:snapToGrid w:val="0"/>
              <w:rPr>
                <w:rFonts w:ascii="仿宋" w:hAnsi="仿宋" w:eastAsia="仿宋"/>
              </w:rPr>
            </w:pPr>
          </w:p>
        </w:tc>
        <w:tc>
          <w:tcPr>
            <w:tcW w:w="906" w:type="dxa"/>
            <w:tcBorders>
              <w:tl2br w:val="nil"/>
              <w:tr2bl w:val="nil"/>
            </w:tcBorders>
            <w:vAlign w:val="center"/>
          </w:tcPr>
          <w:p>
            <w:pPr>
              <w:widowControl/>
              <w:adjustRightInd w:val="0"/>
              <w:snapToGrid w:val="0"/>
              <w:rPr>
                <w:rFonts w:ascii="仿宋" w:hAnsi="仿宋" w:eastAsia="仿宋"/>
              </w:rPr>
            </w:pPr>
          </w:p>
        </w:tc>
        <w:tc>
          <w:tcPr>
            <w:tcW w:w="1294" w:type="dxa"/>
            <w:tcBorders>
              <w:tl2br w:val="nil"/>
              <w:tr2bl w:val="nil"/>
            </w:tcBorders>
            <w:vAlign w:val="center"/>
          </w:tcPr>
          <w:p>
            <w:pPr>
              <w:widowControl/>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生态</w:t>
            </w:r>
          </w:p>
          <w:p>
            <w:pPr>
              <w:widowControl/>
              <w:adjustRightInd w:val="0"/>
              <w:snapToGrid w:val="0"/>
              <w:jc w:val="center"/>
              <w:rPr>
                <w:rFonts w:ascii="仿宋" w:hAnsi="仿宋" w:eastAsia="仿宋"/>
              </w:rPr>
            </w:pPr>
            <w:r>
              <w:rPr>
                <w:rFonts w:hint="eastAsia" w:ascii="仿宋" w:hAnsi="仿宋" w:eastAsia="仿宋"/>
              </w:rPr>
              <w:t>效益</w:t>
            </w:r>
          </w:p>
        </w:tc>
        <w:tc>
          <w:tcPr>
            <w:tcW w:w="1507" w:type="dxa"/>
            <w:tcBorders>
              <w:tl2br w:val="nil"/>
              <w:tr2bl w:val="nil"/>
            </w:tcBorders>
            <w:vAlign w:val="center"/>
          </w:tcPr>
          <w:p>
            <w:pPr>
              <w:widowControl/>
              <w:adjustRightInd w:val="0"/>
              <w:snapToGrid w:val="0"/>
              <w:rPr>
                <w:rFonts w:ascii="仿宋" w:hAnsi="仿宋" w:eastAsia="仿宋"/>
              </w:rPr>
            </w:pPr>
          </w:p>
        </w:tc>
        <w:tc>
          <w:tcPr>
            <w:tcW w:w="3120" w:type="dxa"/>
            <w:tcBorders>
              <w:tl2br w:val="nil"/>
              <w:tr2bl w:val="nil"/>
            </w:tcBorders>
            <w:vAlign w:val="center"/>
          </w:tcPr>
          <w:p>
            <w:pPr>
              <w:widowControl/>
              <w:adjustRightInd w:val="0"/>
              <w:snapToGrid w:val="0"/>
              <w:rPr>
                <w:rFonts w:ascii="方正书宋_GBK" w:eastAsia="方正书宋_GBK"/>
              </w:rPr>
            </w:pPr>
          </w:p>
        </w:tc>
        <w:tc>
          <w:tcPr>
            <w:tcW w:w="3200" w:type="dxa"/>
            <w:tcBorders>
              <w:tl2br w:val="nil"/>
              <w:tr2bl w:val="nil"/>
            </w:tcBorders>
            <w:vAlign w:val="center"/>
          </w:tcPr>
          <w:p>
            <w:pPr>
              <w:widowControl/>
              <w:adjustRightInd w:val="0"/>
              <w:snapToGrid w:val="0"/>
              <w:rPr>
                <w:rFonts w:ascii="方正书宋_GBK" w:eastAsia="方正书宋_GBK"/>
              </w:rPr>
            </w:pPr>
          </w:p>
        </w:tc>
        <w:tc>
          <w:tcPr>
            <w:tcW w:w="1000" w:type="dxa"/>
            <w:tcBorders>
              <w:tl2br w:val="nil"/>
              <w:tr2bl w:val="nil"/>
            </w:tcBorders>
            <w:vAlign w:val="center"/>
          </w:tcPr>
          <w:p>
            <w:pPr>
              <w:widowControl/>
              <w:adjustRightInd w:val="0"/>
              <w:snapToGrid w:val="0"/>
              <w:rPr>
                <w:rFonts w:ascii="方正书宋_GBK" w:eastAsia="方正书宋_GBK"/>
              </w:rPr>
            </w:pPr>
          </w:p>
        </w:tc>
        <w:tc>
          <w:tcPr>
            <w:tcW w:w="787" w:type="dxa"/>
            <w:tcBorders>
              <w:tl2br w:val="nil"/>
              <w:tr2bl w:val="nil"/>
            </w:tcBorders>
            <w:vAlign w:val="center"/>
          </w:tcPr>
          <w:p>
            <w:pPr>
              <w:widowControl/>
              <w:adjustRightInd w:val="0"/>
              <w:snapToGrid w:val="0"/>
              <w:rPr>
                <w:rFonts w:ascii="方正书宋_GBK" w:eastAsia="方正书宋_GBK"/>
              </w:rPr>
            </w:pPr>
          </w:p>
        </w:tc>
        <w:tc>
          <w:tcPr>
            <w:tcW w:w="906" w:type="dxa"/>
            <w:tcBorders>
              <w:tl2br w:val="nil"/>
              <w:tr2bl w:val="nil"/>
            </w:tcBorders>
            <w:vAlign w:val="center"/>
          </w:tcPr>
          <w:p>
            <w:pPr>
              <w:widowControl/>
              <w:adjustRightInd w:val="0"/>
              <w:snapToGrid w:val="0"/>
              <w:rPr>
                <w:rFonts w:ascii="方正书宋_GBK" w:eastAsia="方正书宋_GBK"/>
              </w:rPr>
            </w:pPr>
          </w:p>
        </w:tc>
        <w:tc>
          <w:tcPr>
            <w:tcW w:w="1294"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仿宋" w:hAnsi="仿宋" w:eastAsia="仿宋"/>
              </w:rPr>
            </w:pPr>
            <w:r>
              <w:rPr>
                <w:rFonts w:hint="eastAsia" w:ascii="仿宋" w:hAnsi="仿宋" w:eastAsia="仿宋"/>
              </w:rPr>
              <w:t>可持续影响</w:t>
            </w:r>
          </w:p>
        </w:tc>
        <w:tc>
          <w:tcPr>
            <w:tcW w:w="1507" w:type="dxa"/>
            <w:tcBorders>
              <w:tl2br w:val="nil"/>
              <w:tr2bl w:val="nil"/>
            </w:tcBorders>
            <w:noWrap/>
            <w:vAlign w:val="center"/>
          </w:tcPr>
          <w:p>
            <w:pPr>
              <w:widowControl/>
              <w:adjustRightInd w:val="0"/>
              <w:snapToGrid w:val="0"/>
              <w:rPr>
                <w:rFonts w:ascii="仿宋" w:hAnsi="仿宋" w:eastAsia="仿宋"/>
              </w:rPr>
            </w:pPr>
            <w:r>
              <w:rPr>
                <w:rFonts w:hint="eastAsia" w:ascii="仿宋" w:hAnsi="仿宋" w:eastAsia="仿宋"/>
              </w:rPr>
              <w:t>提高人口综合素质</w:t>
            </w:r>
          </w:p>
        </w:tc>
        <w:tc>
          <w:tcPr>
            <w:tcW w:w="3120" w:type="dxa"/>
            <w:tcBorders>
              <w:tl2br w:val="nil"/>
              <w:tr2bl w:val="nil"/>
            </w:tcBorders>
            <w:noWrap/>
            <w:vAlign w:val="center"/>
          </w:tcPr>
          <w:p>
            <w:pPr>
              <w:widowControl/>
              <w:adjustRightInd w:val="0"/>
              <w:snapToGrid w:val="0"/>
              <w:rPr>
                <w:rFonts w:ascii="仿宋" w:hAnsi="仿宋" w:eastAsia="仿宋"/>
              </w:rPr>
            </w:pPr>
            <w:r>
              <w:rPr>
                <w:rFonts w:hint="eastAsia" w:ascii="仿宋" w:hAnsi="仿宋" w:eastAsia="仿宋"/>
              </w:rPr>
              <w:t>学生综合素质评价合格率达到98%每降低1%，扣减10%分数</w:t>
            </w:r>
          </w:p>
        </w:tc>
        <w:tc>
          <w:tcPr>
            <w:tcW w:w="3200" w:type="dxa"/>
            <w:tcBorders>
              <w:tl2br w:val="nil"/>
              <w:tr2bl w:val="nil"/>
            </w:tcBorders>
            <w:noWrap/>
            <w:vAlign w:val="center"/>
          </w:tcPr>
          <w:p>
            <w:pPr>
              <w:widowControl/>
              <w:adjustRightInd w:val="0"/>
              <w:snapToGrid w:val="0"/>
              <w:rPr>
                <w:rFonts w:ascii="仿宋" w:hAnsi="仿宋" w:eastAsia="仿宋"/>
              </w:rPr>
            </w:pPr>
            <w:r>
              <w:rPr>
                <w:rFonts w:hint="eastAsia" w:ascii="仿宋" w:hAnsi="仿宋" w:eastAsia="仿宋"/>
              </w:rPr>
              <w:t>提高人口素质</w:t>
            </w:r>
          </w:p>
        </w:tc>
        <w:tc>
          <w:tcPr>
            <w:tcW w:w="1000"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文字描述</w:t>
            </w:r>
          </w:p>
        </w:tc>
        <w:tc>
          <w:tcPr>
            <w:tcW w:w="787"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提高</w:t>
            </w:r>
          </w:p>
        </w:tc>
        <w:tc>
          <w:tcPr>
            <w:tcW w:w="906" w:type="dxa"/>
            <w:tcBorders>
              <w:tl2br w:val="nil"/>
              <w:tr2bl w:val="nil"/>
            </w:tcBorders>
            <w:vAlign w:val="center"/>
          </w:tcPr>
          <w:p>
            <w:pPr>
              <w:widowControl/>
              <w:adjustRightInd w:val="0"/>
              <w:snapToGrid w:val="0"/>
              <w:jc w:val="center"/>
              <w:rPr>
                <w:rFonts w:ascii="仿宋" w:hAnsi="仿宋" w:eastAsia="仿宋"/>
              </w:rPr>
            </w:pPr>
          </w:p>
        </w:tc>
        <w:tc>
          <w:tcPr>
            <w:tcW w:w="1294"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满意度</w:t>
            </w:r>
          </w:p>
        </w:tc>
        <w:tc>
          <w:tcPr>
            <w:tcW w:w="1507" w:type="dxa"/>
            <w:tcBorders>
              <w:tl2br w:val="nil"/>
              <w:tr2bl w:val="nil"/>
            </w:tcBorders>
            <w:noWrap/>
            <w:vAlign w:val="center"/>
          </w:tcPr>
          <w:p>
            <w:pPr>
              <w:widowControl/>
              <w:adjustRightInd w:val="0"/>
              <w:snapToGrid w:val="0"/>
              <w:jc w:val="left"/>
              <w:rPr>
                <w:rFonts w:ascii="仿宋" w:hAnsi="仿宋" w:eastAsia="仿宋"/>
              </w:rPr>
            </w:pPr>
            <w:r>
              <w:rPr>
                <w:rFonts w:ascii="仿宋" w:hAnsi="仿宋" w:eastAsia="仿宋"/>
              </w:rPr>
              <w:t>师生满意度</w:t>
            </w:r>
          </w:p>
        </w:tc>
        <w:tc>
          <w:tcPr>
            <w:tcW w:w="3120" w:type="dxa"/>
            <w:tcBorders>
              <w:tl2br w:val="nil"/>
              <w:tr2bl w:val="nil"/>
            </w:tcBorders>
            <w:noWrap/>
            <w:vAlign w:val="center"/>
          </w:tcPr>
          <w:p>
            <w:pPr>
              <w:widowControl/>
              <w:adjustRightInd w:val="0"/>
              <w:snapToGrid w:val="0"/>
              <w:jc w:val="left"/>
              <w:rPr>
                <w:rFonts w:ascii="仿宋" w:hAnsi="仿宋" w:eastAsia="仿宋"/>
              </w:rPr>
            </w:pPr>
            <w:r>
              <w:rPr>
                <w:rFonts w:hint="eastAsia" w:ascii="仿宋" w:hAnsi="仿宋" w:eastAsia="仿宋"/>
              </w:rPr>
              <w:t>每降低5%满意度，减满意度分值10%</w:t>
            </w:r>
          </w:p>
        </w:tc>
        <w:tc>
          <w:tcPr>
            <w:tcW w:w="3200" w:type="dxa"/>
            <w:tcBorders>
              <w:tl2br w:val="nil"/>
              <w:tr2bl w:val="nil"/>
            </w:tcBorders>
            <w:noWrap/>
            <w:vAlign w:val="center"/>
          </w:tcPr>
          <w:p>
            <w:pPr>
              <w:widowControl/>
              <w:adjustRightInd w:val="0"/>
              <w:snapToGrid w:val="0"/>
              <w:jc w:val="left"/>
              <w:rPr>
                <w:rFonts w:ascii="仿宋" w:hAnsi="仿宋" w:eastAsia="仿宋"/>
              </w:rPr>
            </w:pPr>
            <w:r>
              <w:rPr>
                <w:rFonts w:ascii="仿宋" w:hAnsi="仿宋" w:eastAsia="仿宋"/>
              </w:rPr>
              <w:t>教师和学生对项目满意度</w:t>
            </w:r>
          </w:p>
        </w:tc>
        <w:tc>
          <w:tcPr>
            <w:tcW w:w="1000"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w:t>
            </w:r>
          </w:p>
        </w:tc>
        <w:tc>
          <w:tcPr>
            <w:tcW w:w="787"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95</w:t>
            </w:r>
          </w:p>
        </w:tc>
        <w:tc>
          <w:tcPr>
            <w:tcW w:w="906"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w:t>
            </w:r>
          </w:p>
        </w:tc>
        <w:tc>
          <w:tcPr>
            <w:tcW w:w="1294"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问卷调查</w:t>
            </w:r>
          </w:p>
        </w:tc>
      </w:tr>
    </w:tbl>
    <w:p>
      <w:pPr>
        <w:jc w:val="left"/>
        <w:outlineLvl w:val="3"/>
        <w:rPr>
          <w:rFonts w:hint="eastAsia" w:ascii="Times New Roman" w:hAnsi="Times New Roman" w:eastAsia="黑体" w:cs="Times New Roman"/>
          <w:sz w:val="32"/>
          <w:szCs w:val="32"/>
        </w:rPr>
      </w:pPr>
    </w:p>
    <w:p>
      <w:pPr>
        <w:jc w:val="left"/>
        <w:outlineLvl w:val="3"/>
        <w:rPr>
          <w:rFonts w:hint="eastAsia" w:ascii="Times New Roman" w:hAnsi="Times New Roman" w:eastAsia="黑体" w:cs="Times New Roman"/>
          <w:sz w:val="32"/>
          <w:szCs w:val="32"/>
        </w:rPr>
      </w:pPr>
    </w:p>
    <w:p>
      <w:pPr>
        <w:ind w:firstLine="640" w:firstLineChars="200"/>
        <w:jc w:val="left"/>
        <w:outlineLvl w:val="3"/>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bookmarkStart w:id="0" w:name="_Toc67152601"/>
    </w:p>
    <w:p>
      <w:pPr>
        <w:ind w:firstLine="560" w:firstLineChars="200"/>
        <w:jc w:val="left"/>
        <w:outlineLvl w:val="3"/>
        <w:rPr>
          <w:rFonts w:ascii="Times New Roman" w:hAnsi="宋体"/>
          <w:b/>
          <w:sz w:val="28"/>
        </w:rPr>
      </w:pPr>
      <w:r>
        <w:rPr>
          <w:rFonts w:hint="eastAsia" w:ascii="方正仿宋_GBK" w:eastAsia="方正仿宋_GBK"/>
          <w:b w:val="0"/>
          <w:bCs/>
          <w:sz w:val="28"/>
        </w:rPr>
        <w:t>1.中央学生资助补助经费(中职免学费)绩效目标表</w:t>
      </w:r>
      <w:bookmarkEnd w:id="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65、中央学生资助补助经费(中职免学费)绩效目标表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保证学校教学工作正常开展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促进中职教育发展</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为学生提供良好的学习环境，保证学校的教学质量</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免学费学生人数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符合条件的免学费学生人数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1816</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免学费学生覆盖率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免学费学生数量</w:t>
            </w:r>
            <w:r>
              <w:rPr>
                <w:rFonts w:ascii="方正书宋_GBK" w:eastAsia="方正书宋_GBK"/>
              </w:rPr>
              <w:t>/</w:t>
            </w:r>
            <w:r>
              <w:rPr>
                <w:rFonts w:hint="eastAsia" w:ascii="方正书宋_GBK" w:eastAsia="方正书宋_GBK"/>
              </w:rPr>
              <w:t>占符合条件免学费学生数量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项目完成及时性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项目计划完成时间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中职免学费补助标准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中职免学费补助标准</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2300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60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入学率和巩固率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提高中职学校的入学率和巩固率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提高学生素质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促进学生德智体美劳全面发展</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促进</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学生、家长满意度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学生、家长对学校的满意度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 w:name="_Toc67152602"/>
      <w:r>
        <w:rPr>
          <w:rFonts w:hint="eastAsia" w:ascii="方正仿宋_GBK" w:eastAsia="方正仿宋_GBK"/>
          <w:b w:val="0"/>
          <w:bCs/>
          <w:sz w:val="28"/>
        </w:rPr>
        <w:t>2.市级学生资助补助资金(中职免学费)绩效目标表</w:t>
      </w:r>
      <w:bookmarkEnd w:id="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66、市级学生资助补助资金(中职免学费)绩效目标表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保证学校教学工作正常开展。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促进中职教育发展。</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为学生提供良好的学习环境，保证学校的教学质量。</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免学费学生人数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符合条件的免学费学生人数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1819</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免学费学生覆盖率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免学费学生数量</w:t>
            </w:r>
            <w:r>
              <w:rPr>
                <w:rFonts w:ascii="方正书宋_GBK" w:eastAsia="方正书宋_GBK"/>
              </w:rPr>
              <w:t>/</w:t>
            </w:r>
            <w:r>
              <w:rPr>
                <w:rFonts w:hint="eastAsia" w:ascii="方正书宋_GBK" w:eastAsia="方正书宋_GBK"/>
              </w:rPr>
              <w:t>占符合条件免学费学生数量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项目完成及时性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项目计划完成时间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中等职业免学费补助标准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中等职业免学费补助标准</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2300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廊财教</w:t>
            </w:r>
            <w:r>
              <w:rPr>
                <w:rFonts w:ascii="方正书宋_GBK" w:eastAsia="方正书宋_GBK"/>
              </w:rPr>
              <w:t>[2020]73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入学率和巩固率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提高中职学校的入学率和功率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提高学生素质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促进学生德智体美劳全面发展</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促进</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学生、家长满意度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学生、家长对学校的满意度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 w:name="_Toc67152603"/>
      <w:r>
        <w:rPr>
          <w:rFonts w:hint="eastAsia" w:ascii="方正仿宋_GBK" w:eastAsia="方正仿宋_GBK"/>
          <w:b w:val="0"/>
          <w:bCs/>
          <w:sz w:val="28"/>
        </w:rPr>
        <w:t>3.中等职业教育国家助学金区级配套资金绩效目标表</w:t>
      </w:r>
      <w:bookmarkEnd w:id="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67、中等职业教育国家助学金区级配套资金绩效目标表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帮助家庭困难学生减轻经济负担和生活压力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保证家庭困难学生顺利完成学业</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促进中职教育发展</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受助学生人数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受助家庭困难学生人数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104</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受助贫困生覆盖率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发放助学金贫困生数量</w:t>
            </w:r>
            <w:r>
              <w:rPr>
                <w:rFonts w:ascii="方正书宋_GBK" w:eastAsia="方正书宋_GBK"/>
              </w:rPr>
              <w:t>/</w:t>
            </w:r>
            <w:r>
              <w:rPr>
                <w:rFonts w:hint="eastAsia" w:ascii="方正书宋_GBK" w:eastAsia="方正书宋_GBK"/>
              </w:rPr>
              <w:t>占总贫困生数量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考察助学金发放的及时性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中等职业助学金发放标准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中等职业助学金发放标准</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2000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冀财教【</w:t>
            </w:r>
            <w:r>
              <w:rPr>
                <w:rFonts w:ascii="方正书宋_GBK" w:eastAsia="方正书宋_GBK"/>
              </w:rPr>
              <w:t>2019</w:t>
            </w:r>
            <w:r>
              <w:rPr>
                <w:rFonts w:hint="eastAsia" w:ascii="方正书宋_GBK" w:eastAsia="方正书宋_GBK"/>
              </w:rPr>
              <w:t>】</w:t>
            </w:r>
            <w:r>
              <w:rPr>
                <w:rFonts w:ascii="方正书宋_GBK" w:eastAsia="方正书宋_GBK"/>
              </w:rPr>
              <w:t>66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减轻家庭困难学生减轻经济负担</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减轻家庭困难学生减轻经济负担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减轻</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建立监督机制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建立监督检查制度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建立</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学生、家长满意度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受助学生、家长对补助的满意度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 w:name="_Toc67152604"/>
      <w:r>
        <w:rPr>
          <w:rFonts w:hint="eastAsia" w:ascii="方正仿宋_GBK" w:eastAsia="方正仿宋_GBK" w:cs="Arial"/>
          <w:b w:val="0"/>
          <w:bCs/>
          <w:sz w:val="28"/>
        </w:rPr>
        <w:t>4.中等职业教育免学费区级配套资金绩效目标表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68、中等职业教育免学费区级配套资金绩效目标表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保证学校教学工作正常开展</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促进中职教育发展</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为学生提供良好的学习环境，保证学校的教学质量</w:t>
            </w:r>
            <w:r>
              <w:rPr>
                <w:rFonts w:ascii="方正书宋_GBK" w:eastAsia="方正书宋_GBK"/>
              </w:rPr>
              <w:t>.</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免学费学生人数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符合条件的免学费学生人数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1819</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免学费学生覆盖率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免学费学生数量</w:t>
            </w:r>
            <w:r>
              <w:rPr>
                <w:rFonts w:ascii="方正书宋_GBK" w:eastAsia="方正书宋_GBK"/>
              </w:rPr>
              <w:t>/</w:t>
            </w:r>
            <w:r>
              <w:rPr>
                <w:rFonts w:hint="eastAsia" w:ascii="方正书宋_GBK" w:eastAsia="方正书宋_GBK"/>
              </w:rPr>
              <w:t>占符合条件免学费学生数量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项目完成及时性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项目计划完成时间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中等职业免学费补助标准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中等职业免学费补助标准</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2300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冀财教【</w:t>
            </w:r>
            <w:r>
              <w:rPr>
                <w:rFonts w:ascii="方正书宋_GBK" w:eastAsia="方正书宋_GBK"/>
              </w:rPr>
              <w:t>2019</w:t>
            </w:r>
            <w:r>
              <w:rPr>
                <w:rFonts w:hint="eastAsia" w:ascii="方正书宋_GBK" w:eastAsia="方正书宋_GBK"/>
              </w:rPr>
              <w:t>】</w:t>
            </w:r>
            <w:r>
              <w:rPr>
                <w:rFonts w:ascii="方正书宋_GBK" w:eastAsia="方正书宋_GBK"/>
              </w:rPr>
              <w:t>66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入学率和巩固率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提高中职学校的入学率和巩固率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提高学生素质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促进在校生德智体美劳全面发展</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促进</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学生、家长满意度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学生、家长对学校满意度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 w:name="_Toc67152605"/>
      <w:r>
        <w:rPr>
          <w:rFonts w:hint="eastAsia" w:ascii="方正仿宋_GBK" w:eastAsia="方正仿宋_GBK" w:cs="Arial"/>
          <w:b w:val="0"/>
          <w:bCs/>
          <w:sz w:val="28"/>
        </w:rPr>
        <w:t>5.省级现代职业教育发展专项资金(中职助学金)绩效目标表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69、省级现代职业教育发展专项资金(中职助学金)绩效目标表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保证学校教学工作正常开展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促进中职教育发展</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为学生提供良好的学习环境</w:t>
            </w:r>
            <w:r>
              <w:rPr>
                <w:rFonts w:ascii="方正书宋_GBK" w:eastAsia="方正书宋_GBK"/>
              </w:rPr>
              <w:t>,</w:t>
            </w:r>
            <w:r>
              <w:rPr>
                <w:rFonts w:hint="eastAsia" w:ascii="方正书宋_GBK" w:eastAsia="方正书宋_GBK"/>
              </w:rPr>
              <w:t>保证学校的教学质量</w:t>
            </w:r>
            <w:r>
              <w:rPr>
                <w:rFonts w:ascii="方正书宋_GBK" w:eastAsia="方正书宋_GBK"/>
              </w:rPr>
              <w:t>.</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发放助学金学生人数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符合条件的助学金补助人数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97</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助学金学生覆盖率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享受助学金学生数量</w:t>
            </w:r>
            <w:r>
              <w:rPr>
                <w:rFonts w:ascii="方正书宋_GBK" w:eastAsia="方正书宋_GBK"/>
              </w:rPr>
              <w:t>/</w:t>
            </w:r>
            <w:r>
              <w:rPr>
                <w:rFonts w:hint="eastAsia" w:ascii="方正书宋_GBK" w:eastAsia="方正书宋_GBK"/>
              </w:rPr>
              <w:t>符合条件的享受助学金学生数量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项目完成及时性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项目计划完成时间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助学金补助标准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中等职业助学金补助标准</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2000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廊财教</w:t>
            </w:r>
            <w:r>
              <w:rPr>
                <w:rFonts w:ascii="方正书宋_GBK" w:eastAsia="方正书宋_GBK"/>
              </w:rPr>
              <w:t>[2020]69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减轻家庭困难学生经济负担</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减轻经济困难家庭学生经济负担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减轻</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建立监督机制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建立监督检查机制</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建立</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学生家长满意度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受助学生对学校的满意度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 w:name="_Toc67152606"/>
      <w:r>
        <w:rPr>
          <w:rFonts w:hint="eastAsia" w:ascii="方正仿宋_GBK" w:eastAsia="方正仿宋_GBK" w:cs="Arial"/>
          <w:b w:val="0"/>
          <w:bCs/>
          <w:sz w:val="28"/>
        </w:rPr>
        <w:t>6.市级学生资助补助资金(中职助学金)绩效目标表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70、市级学生资助补助资金(中职助学金)绩效目标表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帮助家庭困难学生减轻经济负担和生活压力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保证家庭困难学生顺利完成学业</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促进中职教育发展</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受助学生人数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受助家庭困难学生人数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97</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受助贫困生覆盖率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发放助学金贫困生数量</w:t>
            </w:r>
            <w:r>
              <w:rPr>
                <w:rFonts w:ascii="方正书宋_GBK" w:eastAsia="方正书宋_GBK"/>
              </w:rPr>
              <w:t>/</w:t>
            </w:r>
            <w:r>
              <w:rPr>
                <w:rFonts w:hint="eastAsia" w:ascii="方正书宋_GBK" w:eastAsia="方正书宋_GBK"/>
              </w:rPr>
              <w:t>占总贫困生数量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考察助学金发放的及时性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中等职业助学金发放标准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中等职业助学金发放标准</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2000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73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减轻家庭困难学生经济负担</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减轻家庭困难学生经济负担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减轻</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建立监督机制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建立监督检查制度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建立</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受助学生、家长对补助的满意度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受助学生、家长对补助的满意度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6" w:name="_Toc67152607"/>
      <w:r>
        <w:rPr>
          <w:rFonts w:hint="eastAsia" w:ascii="方正仿宋_GBK" w:eastAsia="方正仿宋_GBK" w:cs="Arial"/>
          <w:b w:val="0"/>
          <w:bCs/>
          <w:sz w:val="28"/>
        </w:rPr>
        <w:t>7.中央学生资助补助经费(中职助学金)绩效目标表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71、中央学生资助补助经费(中职助学金)绩效目标表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帮助家庭困难学生减轻经济负担和生活压力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保证家庭困难学生顺利完成学业</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促进中职教育发展</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受助学生人数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受助家庭困难学生人数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97</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受助贫困生覆盖率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发放助学金贫困生数量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考察助学金发放及时性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助学金发放标准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助学金发放标准</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2000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廊财教</w:t>
            </w:r>
            <w:r>
              <w:rPr>
                <w:rFonts w:ascii="方正书宋_GBK" w:eastAsia="方正书宋_GBK"/>
              </w:rPr>
              <w:t>[2020]60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减轻家庭困难学生家庭经济负担</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减轻家庭困难学生家庭经济负担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减轻</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建立监督机制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建立监督检查制度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建立</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学生家长满意度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受助学生家长对补助的满意度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7" w:name="_Toc67152608"/>
      <w:r>
        <w:rPr>
          <w:rFonts w:hint="eastAsia" w:ascii="方正仿宋_GBK" w:eastAsia="方正仿宋_GBK" w:cs="Arial"/>
          <w:b w:val="0"/>
          <w:bCs/>
          <w:sz w:val="28"/>
        </w:rPr>
        <w:t>8.省级现代职业教育发展专项资金(中职免学费)绩效目标表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72、省级现代职业教育发展专项资金(中职免学费)绩效目标表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保证学校教学工作正常开展。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促进中职教育发展。</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为学生提供良好的学习环境，保证学校的教学质量。</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免学费学生人数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符合条件的免学费学生人数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1816</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免学费学生覆盖率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免学费学生数量</w:t>
            </w:r>
            <w:r>
              <w:rPr>
                <w:rFonts w:ascii="方正书宋_GBK" w:eastAsia="方正书宋_GBK"/>
              </w:rPr>
              <w:t>/</w:t>
            </w:r>
            <w:r>
              <w:rPr>
                <w:rFonts w:hint="eastAsia" w:ascii="方正书宋_GBK" w:eastAsia="方正书宋_GBK"/>
              </w:rPr>
              <w:t>占符合条件免学费学生数量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项目完成及时性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项目完成及时性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中等职业免学费补助标准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中等职业免学费补助标准</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2300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69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入学率和巩固率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提高中职学校的入学率和巩固率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提高学生素质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促进学生德智体美劳全面发展</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促进</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学生、家长满意度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学生、家长对学校的满意度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584" w:lineRule="exact"/>
        <w:ind w:firstLine="640" w:firstLineChars="200"/>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8"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w:t>
      </w:r>
    </w:p>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9" w:name="_Toc64920910"/>
      <w:r>
        <w:rPr>
          <w:rFonts w:hint="eastAsia" w:ascii="方正小标宋_GBK" w:eastAsia="方正小标宋_GBK" w:cs="Times New Roman"/>
          <w:sz w:val="32"/>
        </w:rPr>
        <w:t>部门政府采购预算</w:t>
      </w:r>
      <w:bookmarkEnd w:id="9"/>
    </w:p>
    <w:tbl>
      <w:tblPr>
        <w:tblStyle w:val="10"/>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方正小标宋_GBK" w:eastAsia="方正书宋_GBK" w:cs="Times New Roman"/>
                <w:sz w:val="24"/>
                <w:lang w:val="en-US" w:eastAsia="zh-CN"/>
              </w:rPr>
            </w:pPr>
            <w:r>
              <w:rPr>
                <w:rFonts w:hint="eastAsia" w:ascii="方正书宋_GBK" w:eastAsia="方正书宋_GBK" w:cs="Times New Roman"/>
                <w:sz w:val="24"/>
                <w:lang w:val="en-US" w:eastAsia="zh-CN"/>
              </w:rPr>
              <w:t>[430020]</w:t>
            </w:r>
            <w:r>
              <w:rPr>
                <w:rFonts w:hint="eastAsia" w:ascii="方正书宋_GBK" w:eastAsia="方正书宋_GBK" w:cs="Times New Roman"/>
                <w:sz w:val="24"/>
              </w:rPr>
              <w:t>廊坊市</w:t>
            </w:r>
            <w:r>
              <w:rPr>
                <w:rFonts w:hint="eastAsia" w:ascii="方正书宋_GBK" w:eastAsia="方正书宋_GBK" w:cs="Times New Roman"/>
                <w:sz w:val="24"/>
                <w:lang w:val="en-US" w:eastAsia="zh-CN"/>
              </w:rPr>
              <w:t>第四职业中学</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bookmarkEnd w:id="8"/>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第四职业中学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423.4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10"/>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val="en-US" w:eastAsia="zh-CN"/>
              </w:rPr>
              <w:t>第四职业中学</w:t>
            </w:r>
            <w:r>
              <w:rPr>
                <w:rFonts w:hint="eastAsia" w:ascii="Times New Roman" w:hAnsi="Times New Roman" w:eastAsia="仿宋_GB2312" w:cs="Times New Roman"/>
                <w:b/>
                <w:bCs/>
                <w:kern w:val="0"/>
                <w:sz w:val="32"/>
                <w:szCs w:val="32"/>
              </w:rPr>
              <w:t>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val="en-US" w:eastAsia="zh-CN"/>
              </w:rPr>
              <w:t>第四职业中学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423.4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3777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383.40</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4"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SimSun-ExtB"/>
    <w:panose1 w:val="00000000000000000000"/>
    <w:charset w:val="86"/>
    <w:family w:val="script"/>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10</w:t>
    </w:r>
    <w:r>
      <w:rPr>
        <w:lang w:val="zh-CN"/>
      </w:rPr>
      <w:fldChar w:fldCharType="end"/>
    </w:r>
    <w:r>
      <w:rPr>
        <w:rFonts w:hint="eastAsia"/>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16</w:t>
    </w:r>
    <w:r>
      <w:rPr>
        <w:lang w:val="zh-CN"/>
      </w:rPr>
      <w:fldChar w:fldCharType="end"/>
    </w:r>
    <w:r>
      <w:rPr>
        <w:rFonts w:hint="eastAsia"/>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E2343"/>
    <w:rsid w:val="001600CD"/>
    <w:rsid w:val="00301F9F"/>
    <w:rsid w:val="00332FA9"/>
    <w:rsid w:val="00356683"/>
    <w:rsid w:val="003D2288"/>
    <w:rsid w:val="004345DE"/>
    <w:rsid w:val="004A54AA"/>
    <w:rsid w:val="00564CFD"/>
    <w:rsid w:val="005B0ED5"/>
    <w:rsid w:val="00746106"/>
    <w:rsid w:val="00761D02"/>
    <w:rsid w:val="0078287B"/>
    <w:rsid w:val="00807A76"/>
    <w:rsid w:val="008215EA"/>
    <w:rsid w:val="008F0EB4"/>
    <w:rsid w:val="0094057C"/>
    <w:rsid w:val="009F75A5"/>
    <w:rsid w:val="00A218C6"/>
    <w:rsid w:val="00A36214"/>
    <w:rsid w:val="00B17B32"/>
    <w:rsid w:val="00B71468"/>
    <w:rsid w:val="00B80935"/>
    <w:rsid w:val="00BC2A50"/>
    <w:rsid w:val="00BE1CB6"/>
    <w:rsid w:val="00D347CC"/>
    <w:rsid w:val="00E27CE3"/>
    <w:rsid w:val="00E70E4D"/>
    <w:rsid w:val="00EA0EB4"/>
    <w:rsid w:val="00FC279B"/>
    <w:rsid w:val="00FE621C"/>
    <w:rsid w:val="07840506"/>
    <w:rsid w:val="09562EE8"/>
    <w:rsid w:val="0A0645B8"/>
    <w:rsid w:val="0D4C2C3A"/>
    <w:rsid w:val="217C53D9"/>
    <w:rsid w:val="27517B00"/>
    <w:rsid w:val="2BB83EE5"/>
    <w:rsid w:val="38D94AEA"/>
    <w:rsid w:val="46193830"/>
    <w:rsid w:val="46CD09A9"/>
    <w:rsid w:val="47F0438A"/>
    <w:rsid w:val="4E4A653A"/>
    <w:rsid w:val="51454355"/>
    <w:rsid w:val="5ED726A8"/>
    <w:rsid w:val="74482026"/>
    <w:rsid w:val="7ABA6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39" w:semiHidden="0" w:name="toc 2"/>
    <w:lsdException w:uiPriority="39" w:name="toc 3"/>
    <w:lsdException w:qFormat="1" w:uiPriority="39" w:semiHidden="0"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5"/>
    <w:basedOn w:val="1"/>
    <w:next w:val="1"/>
    <w:unhideWhenUsed/>
    <w:qFormat/>
    <w:uiPriority w:val="39"/>
    <w:pPr>
      <w:ind w:left="1680" w:leftChars="800"/>
    </w:pPr>
    <w:rPr>
      <w:rFonts w:cs="Times New Roman"/>
    </w:rPr>
  </w:style>
  <w:style w:type="paragraph" w:styleId="3">
    <w:name w:val="Balloon Text"/>
    <w:basedOn w:val="1"/>
    <w:uiPriority w:val="0"/>
    <w:rPr>
      <w:sz w:val="18"/>
      <w:szCs w:val="18"/>
    </w:rPr>
  </w:style>
  <w:style w:type="paragraph" w:styleId="4">
    <w:name w:val="footer"/>
    <w:basedOn w:val="1"/>
    <w:link w:val="17"/>
    <w:uiPriority w:val="99"/>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link w:val="16"/>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uiPriority w:val="0"/>
    <w:rPr>
      <w:rFonts w:ascii="Times New Roman" w:hAnsi="Times New Roman" w:cs="Times New Roman"/>
      <w:szCs w:val="24"/>
    </w:rPr>
  </w:style>
  <w:style w:type="paragraph" w:styleId="7">
    <w:name w:val="toc 4"/>
    <w:basedOn w:val="1"/>
    <w:next w:val="1"/>
    <w:unhideWhenUsed/>
    <w:qFormat/>
    <w:uiPriority w:val="39"/>
    <w:pPr>
      <w:ind w:left="1260" w:leftChars="600"/>
    </w:pPr>
    <w:rPr>
      <w:rFonts w:cs="Times New Roman"/>
    </w:rPr>
  </w:style>
  <w:style w:type="paragraph" w:styleId="8">
    <w:name w:val="footnote text"/>
    <w:basedOn w:val="1"/>
    <w:uiPriority w:val="0"/>
    <w:pPr>
      <w:snapToGrid w:val="0"/>
      <w:jc w:val="left"/>
    </w:pPr>
    <w:rPr>
      <w:rFonts w:cs="Times New Roman"/>
      <w:sz w:val="18"/>
      <w:szCs w:val="18"/>
    </w:rPr>
  </w:style>
  <w:style w:type="paragraph" w:styleId="9">
    <w:name w:val="toc 2"/>
    <w:basedOn w:val="1"/>
    <w:next w:val="1"/>
    <w:uiPriority w:val="39"/>
    <w:pPr>
      <w:ind w:left="200" w:leftChars="200"/>
    </w:pPr>
    <w:rPr>
      <w:rFonts w:ascii="Times New Roman" w:hAnsi="Times New Roman" w:cs="Times New Roman"/>
      <w:szCs w:val="24"/>
    </w:rPr>
  </w:style>
  <w:style w:type="character" w:styleId="12">
    <w:name w:val="page number"/>
    <w:basedOn w:val="11"/>
    <w:semiHidden/>
    <w:unhideWhenUsed/>
    <w:qFormat/>
    <w:uiPriority w:val="99"/>
  </w:style>
  <w:style w:type="character" w:styleId="13">
    <w:name w:val="Hyperlink"/>
    <w:basedOn w:val="11"/>
    <w:unhideWhenUsed/>
    <w:qFormat/>
    <w:uiPriority w:val="99"/>
    <w:rPr>
      <w:color w:val="0000FF"/>
      <w:u w:val="single"/>
    </w:rPr>
  </w:style>
  <w:style w:type="character" w:styleId="14">
    <w:name w:val="footnote reference"/>
    <w:qFormat/>
    <w:uiPriority w:val="0"/>
    <w:rPr>
      <w:vertAlign w:val="superscript"/>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
    <w:name w:val="页眉 Char"/>
    <w:basedOn w:val="11"/>
    <w:link w:val="5"/>
    <w:qFormat/>
    <w:uiPriority w:val="99"/>
    <w:rPr>
      <w:kern w:val="2"/>
      <w:sz w:val="18"/>
      <w:szCs w:val="18"/>
    </w:rPr>
  </w:style>
  <w:style w:type="character" w:customStyle="1" w:styleId="17">
    <w:name w:val="页脚 Char"/>
    <w:basedOn w:val="11"/>
    <w:link w:val="4"/>
    <w:qFormat/>
    <w:uiPriority w:val="99"/>
    <w:rPr>
      <w:kern w:val="2"/>
      <w:sz w:val="18"/>
      <w:szCs w:val="18"/>
    </w:rPr>
  </w:style>
  <w:style w:type="paragraph" w:styleId="18">
    <w:name w:val="No Spacing"/>
    <w:qFormat/>
    <w:uiPriority w:val="1"/>
    <w:pPr>
      <w:widowControl w:val="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EC0B66-2DE3-4CED-A230-4BB3DC0F5C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991</Words>
  <Characters>5653</Characters>
  <Lines>47</Lines>
  <Paragraphs>13</Paragraphs>
  <TotalTime>7</TotalTime>
  <ScaleCrop>false</ScaleCrop>
  <LinksUpToDate>false</LinksUpToDate>
  <CharactersWithSpaces>6631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XCK</cp:lastModifiedBy>
  <cp:lastPrinted>2018-01-30T06:12:00Z</cp:lastPrinted>
  <dcterms:modified xsi:type="dcterms:W3CDTF">2023-06-02T02:59:45Z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6B10A6702D18415B91613EB93BE6AFBE</vt:lpwstr>
  </property>
</Properties>
</file>