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cs="Times New Roman"/>
          <w:sz w:val="44"/>
          <w:szCs w:val="44"/>
        </w:rPr>
      </w:pPr>
      <w:bookmarkStart w:id="2" w:name="_GoBack"/>
      <w:bookmarkEnd w:id="2"/>
    </w:p>
    <w:p>
      <w:pPr>
        <w:spacing w:line="584" w:lineRule="exact"/>
        <w:ind w:firstLine="880" w:firstLineChars="200"/>
        <w:jc w:val="center"/>
        <w:rPr>
          <w:rFonts w:ascii="Times New Roman" w:hAnsi="Times New Roman" w:cs="Times New Roman"/>
          <w:sz w:val="44"/>
          <w:szCs w:val="44"/>
        </w:rPr>
      </w:pPr>
    </w:p>
    <w:p>
      <w:pPr>
        <w:spacing w:line="584" w:lineRule="exact"/>
        <w:jc w:val="right"/>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廊坊市广阳区新开路街道办事处</w:t>
      </w:r>
      <w:r>
        <w:rPr>
          <w:rFonts w:ascii="Times New Roman" w:hAnsi="Times New Roman" w:eastAsia="方正小标宋简体" w:cs="Times New Roman"/>
          <w:sz w:val="44"/>
          <w:szCs w:val="44"/>
        </w:rPr>
        <w:t>2021</w:t>
      </w:r>
      <w:r>
        <w:rPr>
          <w:rFonts w:hint="eastAsia" w:ascii="Times New Roman" w:hAnsi="Times New Roman" w:eastAsia="方正小标宋简体" w:cs="Times New Roman"/>
          <w:sz w:val="44"/>
          <w:szCs w:val="44"/>
        </w:rPr>
        <w:t>年部门预算信息公开情况说明</w:t>
      </w:r>
    </w:p>
    <w:p>
      <w:pPr>
        <w:spacing w:line="584" w:lineRule="exact"/>
        <w:ind w:firstLine="880" w:firstLineChars="200"/>
        <w:jc w:val="center"/>
        <w:rPr>
          <w:rFonts w:ascii="Times New Roman" w:hAnsi="Times New Roman" w:cs="Times New Roman"/>
          <w:sz w:val="44"/>
          <w:szCs w:val="44"/>
        </w:rPr>
      </w:pP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按照《中华人民共和国预算法》、《中华人民共和国预算法实施条例》、《地方预决算公开操作规程》和《河北省省级预算公开办法》规定，现将廊坊市广阳区新开路街道办事处2021年部门预算公开如下：</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部门职责：</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根据《廊坊市广阳区新开路路街道办事处职能配置、内设机构和人员编制规定》， 廊坊市广阳区新开路街道办事处的主要职责是：</w:t>
      </w:r>
    </w:p>
    <w:p>
      <w:pPr>
        <w:spacing w:line="584" w:lineRule="exact"/>
        <w:ind w:firstLine="643" w:firstLineChars="200"/>
        <w:rPr>
          <w:rFonts w:ascii="Times New Roman" w:hAnsi="Times New Roman" w:cs="Times New Roman"/>
          <w:sz w:val="32"/>
          <w:szCs w:val="32"/>
        </w:rPr>
      </w:pPr>
      <w:r>
        <w:rPr>
          <w:rFonts w:hint="eastAsia" w:ascii="楷体" w:hAnsi="楷体" w:eastAsia="楷体" w:cs="楷体"/>
          <w:b/>
          <w:bCs/>
          <w:sz w:val="32"/>
          <w:szCs w:val="32"/>
        </w:rPr>
        <w:t>一、党政综合办公室：</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1.负责监督检查和指导所属单位和行政村的档案工作。</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2.做好信访工作，畅通信访渠道、处理来信、接待来访。</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3.负责辖区内的统计工作。履行统计职责，广泛引导、动员和组织社会力量积极参与并认真配合做好国家规定的周期性普查工作。</w:t>
      </w:r>
    </w:p>
    <w:p>
      <w:pPr>
        <w:spacing w:line="584"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二、党建工作办公室</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1.宣传执行党的路线、方针、政策，宣传和执行党中央、上级党组织和本级党组织的决议，团结、组织党内外的干部和群众，努力完成本单位所担负的任务。</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2. 维护和执行党的纪律，监督党员干部和其他任何工作人员严格遵守国家法律法规。</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3. 负责乡镇和街道党（工）委自身建设和基层党组织建设，以及其他隶属乡镇和街道党（工）委的党组织建设。</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4. 负责下级党的基层组织选举工作、对下级党组织的成立或撤销作出决定。</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5. 负责非公有制企业和社会组织党建工作、扩大新兴领域党建有效覆盖</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6. 加强党员队伍建设，对党员进行教育、管理、监督和服务，做好经常性的发展党员工作。加强流动党员管理。</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7. 做好人才服务工作，发现、培养、推荐党员和群众中的优秀人才。</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8. 落实意识形态工作责任制，组织党员群众学习习近平新时代中国特色社会主义思想，培育和践行社会主义核心价值观，加强精神文明建设和文化建设</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9. 落实统一战线工作任务要求，做好民族事务工作。</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10. 领导辖区内人大工作，以及工会、共青团、妇联等工作。</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11. 根据委托授权负责本辖区内的宗教事务管理工作。</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12. 依照法定权限，做好本辖区的征兵、民兵、预备役、国防教育、国民经济动员、人民防空、国防交通、国防设施保护等工作</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13. 负责联系街道辖区内的人民代表大会代表，组织代表开展活动，反映代表和群众的建议、批评和意见，办理常务委员会交办的监督、选举以及其他工作，并向常务委员会报告工作。</w:t>
      </w:r>
    </w:p>
    <w:p>
      <w:pPr>
        <w:spacing w:line="584"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三、应急管理办公室</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1. 负责辖区内的食品安全隐患排查、信息报告、协助执法和宣传教育等工作、做好本行政区域内小作坊、小餐饮、小摊点的监督管理工作。</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2. 加强本辖区生产经营单位安全生产状况的监督检查、协助上级有关部门依法履行安全生产监督管理职责。</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3. 负责本辖区的消防工作、开展消防宣传、防火巡查、隐患查改。指导村（居）民委员会开展群众性的消防工作。</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4. 负责辖区防汛抗洪、抗旱等相关工作。</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5. 负责辖区防灾减灾等相关工作。</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6. 依法做好本辖区的突发事件应对工作，制定本级突发事件应急预案，组织开展应急演练。</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7. 负责辖区应急管理工作，建立健全应急联动机制，严格落实应急管理责任，加强基层综合应急队伍建设和应急保障能力建设。</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8. 负责本辖区内自然灾害救助工作，做好自然灾害风险排查、隐患治理、救助准备、信息报告、先期处置、应急救助、灾后救助和救助款物管理等工作。</w:t>
      </w:r>
    </w:p>
    <w:p>
      <w:pPr>
        <w:spacing w:line="584"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四、自然资源和生态环境办公室</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1. 动员和组织社会力量参与土地调查工作。</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2. 按照职责分工负责辖区市容、村容和环境卫生、农村生活污水管理责任。</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3. 按照职责分工负责本辖区河湖的水资源保护、水域岸线管理、水污染防治、水环境治理等工作，协助上级人民政府及其有关部门做好地下水相关管理和监督工作。</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4. 根据本地区的实际，组织开展大气污染防治工作。</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5. 落实属地监管责任，做好禁止露天焚烧秸秆工作。</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6．根据本地区的实际，组织开展扬尘污染防治工作。</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7. 按照职责分工做好“散乱污”企业综合整治工作。</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8. 按照职责分工和相关预案开展突发环境事件应急处置工作，按照有关规定向上级报告。</w:t>
      </w:r>
    </w:p>
    <w:p>
      <w:pPr>
        <w:spacing w:line="584" w:lineRule="exact"/>
        <w:ind w:firstLine="643" w:firstLineChars="200"/>
        <w:rPr>
          <w:rFonts w:ascii="Times New Roman" w:hAnsi="Times New Roman" w:cs="Times New Roman"/>
          <w:sz w:val="32"/>
          <w:szCs w:val="32"/>
        </w:rPr>
      </w:pPr>
      <w:r>
        <w:rPr>
          <w:rFonts w:hint="eastAsia" w:ascii="楷体" w:hAnsi="楷体" w:eastAsia="楷体" w:cs="楷体"/>
          <w:b/>
          <w:bCs/>
          <w:sz w:val="32"/>
          <w:szCs w:val="32"/>
        </w:rPr>
        <w:t>五、综合行政执法队</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1.根据法律法规和省政府授权，承担综合行政执法工作。</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2.协助有关部门查处传销行为。</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3.加大信用信息归集应用力度，落实守信联合激励和失信联合惩戒制度、推进信用分级分类监管。</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4.制定本辖区社会治安综合治理规划、检查、推动社会治安综合治理措施的落实，协调和督促有关部门开展法制宣传教育工作、调解各类纠纷。</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5.组织群众开展各种形式的治安防范活动和军民、警民联防活动；指导、帮助村（居）民委员会做好社会治安综合治理工作。</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6.组织协调辖区社会治安防控体系建设及普法工作，开展基层平安创建活动及各种形式的治安防范活动。加强群防群治组织建设，动员、组织人民群众维护社会治安和社会秩序，做好防范邪教工作。</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7.承担民间纠纷调解相关工作。</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8.协调有关部门做好未成年人的保护工作。</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9.承担企业劳动争议调解相关工作。</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10.组织相关单位开展社区矫正工作和对户籍或居住地在本辖区的刑满释放人员做好接收建档和安置帮教工作，做好重点帮教对象的衔接工作。</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11.负责社区戒毒、社区康复工作。</w:t>
      </w:r>
    </w:p>
    <w:p>
      <w:pPr>
        <w:spacing w:line="584"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六、行政综合服务中心</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1.负责指导居民委员会的换届选举工作。</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2.指导村（居）民委员会建立健全各项自治制度，并予以备案。</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3.按权限负责基层社区社会组织的分类指导和业务指导。</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4.负责加强本辖区健康教育工作及其专业人才培养、建立健康知识和技能核心信息发布制度、普及健康科学知识、向公众提供科学、准确的健康信息。</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5.负责本辖区健康中国建设，健全实施健康中国行动领导推进工作机制，逐项抓好任务落实。</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6.根据法律法规和省政府授权，承担行政审批服务工作。</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7.开展就业政策宣传、就业援助等就业服务工作。</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8.负责辖区内人口与计划生育工作。</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9.组织开展全民健身活动，建立健全全民健身工作协调机制。</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10.负责本辖区爱国卫生日常工作。</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11.按权限开展社会救助工作。</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12.按权限做好残疾人保障工作。</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13.负责组织开展预防精神障碍发生、促进精神障碍患者康复等工作。</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14.按照职责分工负责做好辖区城乡居民基本养老保险工作。</w:t>
      </w:r>
    </w:p>
    <w:p>
      <w:pPr>
        <w:spacing w:line="584"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七、社区建设和物业监督管理办公室</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1.组织实施居家养老服务工作，建设居家养老服务设施，落实政府购买服务、经费补贴等扶持政策措施、组织、指导社会各界参与居家养老和空巢、留守老年人关爱服务。</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2.负责指导辖区内业主大会的成立和业主委员会的选举工作。</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3.按权限负责社区工作者的日常管理工作。</w:t>
      </w:r>
    </w:p>
    <w:p>
      <w:pPr>
        <w:spacing w:line="584"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八、综合文化服务站</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1.组织开展本辖区科普活动，宣传科学、文明的生产和生活方式。</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2.负责本辖区综合文化站、新时代文明实践中心（所、站）建设和日常管理、实施免费开放。</w:t>
      </w:r>
    </w:p>
    <w:p>
      <w:pPr>
        <w:spacing w:line="584"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九、退役军人服务站</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1.负责拥军优属、退役军人服务等工作</w:t>
      </w:r>
    </w:p>
    <w:p>
      <w:pPr>
        <w:spacing w:line="584" w:lineRule="exact"/>
        <w:ind w:firstLine="640" w:firstLineChars="200"/>
        <w:rPr>
          <w:rFonts w:ascii="Times New Roman" w:hAnsi="Times New Roman" w:cs="Times New Roman"/>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机构设置：</w:t>
      </w:r>
    </w:p>
    <w:p>
      <w:pPr>
        <w:spacing w:line="584" w:lineRule="exact"/>
        <w:jc w:val="center"/>
        <w:outlineLvl w:val="0"/>
        <w:rPr>
          <w:rFonts w:ascii="Times New Roman" w:hAnsi="Times New Roman" w:cs="Times New Roman"/>
          <w:b/>
          <w:sz w:val="32"/>
          <w:szCs w:val="24"/>
        </w:rPr>
      </w:pPr>
      <w:r>
        <w:rPr>
          <w:rFonts w:hint="eastAsia" w:ascii="宋体" w:hAnsi="宋体" w:cs="宋体"/>
          <w:b/>
          <w:sz w:val="32"/>
          <w:szCs w:val="24"/>
        </w:rPr>
        <w:t>部门机构设置情况</w:t>
      </w:r>
    </w:p>
    <w:tbl>
      <w:tblPr>
        <w:tblStyle w:val="8"/>
        <w:tblW w:w="11174" w:type="dxa"/>
        <w:tblInd w:w="8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39"/>
        <w:gridCol w:w="980"/>
        <w:gridCol w:w="1102"/>
        <w:gridCol w:w="52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tblHeader/>
        </w:trPr>
        <w:tc>
          <w:tcPr>
            <w:tcW w:w="3839" w:type="dxa"/>
            <w:vMerge w:val="restart"/>
            <w:vAlign w:val="center"/>
          </w:tcPr>
          <w:p>
            <w:pPr>
              <w:spacing w:line="584" w:lineRule="exact"/>
              <w:jc w:val="center"/>
              <w:rPr>
                <w:rFonts w:ascii="Times New Roman" w:hAnsi="Times New Roman" w:cs="Times New Roman"/>
                <w:b/>
                <w:szCs w:val="24"/>
              </w:rPr>
            </w:pPr>
            <w:r>
              <w:rPr>
                <w:rFonts w:hint="eastAsia" w:ascii="宋体" w:hAnsi="宋体" w:cs="宋体"/>
                <w:b/>
                <w:szCs w:val="24"/>
              </w:rPr>
              <w:t>单位名称</w:t>
            </w:r>
          </w:p>
        </w:tc>
        <w:tc>
          <w:tcPr>
            <w:tcW w:w="980" w:type="dxa"/>
            <w:vMerge w:val="restart"/>
            <w:vAlign w:val="center"/>
          </w:tcPr>
          <w:p>
            <w:pPr>
              <w:spacing w:line="584" w:lineRule="exact"/>
              <w:jc w:val="center"/>
              <w:rPr>
                <w:rFonts w:ascii="Times New Roman" w:hAnsi="Times New Roman" w:cs="Times New Roman"/>
                <w:b/>
                <w:szCs w:val="24"/>
              </w:rPr>
            </w:pPr>
            <w:r>
              <w:rPr>
                <w:rFonts w:hint="eastAsia" w:ascii="宋体" w:hAnsi="宋体" w:cs="宋体"/>
                <w:b/>
                <w:szCs w:val="24"/>
              </w:rPr>
              <w:t>单位性质</w:t>
            </w:r>
          </w:p>
        </w:tc>
        <w:tc>
          <w:tcPr>
            <w:tcW w:w="1102" w:type="dxa"/>
            <w:vMerge w:val="restart"/>
            <w:vAlign w:val="center"/>
          </w:tcPr>
          <w:p>
            <w:pPr>
              <w:spacing w:line="584" w:lineRule="exact"/>
              <w:jc w:val="center"/>
              <w:rPr>
                <w:rFonts w:ascii="Times New Roman" w:hAnsi="Times New Roman" w:cs="Times New Roman"/>
                <w:b/>
                <w:szCs w:val="24"/>
              </w:rPr>
            </w:pPr>
            <w:r>
              <w:rPr>
                <w:rFonts w:hint="eastAsia" w:ascii="宋体" w:hAnsi="宋体" w:cs="宋体"/>
                <w:b/>
                <w:szCs w:val="24"/>
              </w:rPr>
              <w:t>单位规格</w:t>
            </w:r>
          </w:p>
        </w:tc>
        <w:tc>
          <w:tcPr>
            <w:tcW w:w="5253" w:type="dxa"/>
            <w:vMerge w:val="restart"/>
            <w:vAlign w:val="center"/>
          </w:tcPr>
          <w:p>
            <w:pPr>
              <w:spacing w:line="584" w:lineRule="exact"/>
              <w:jc w:val="center"/>
              <w:rPr>
                <w:rFonts w:ascii="Times New Roman" w:hAnsi="Times New Roman" w:cs="Times New Roman"/>
                <w:b/>
                <w:szCs w:val="24"/>
              </w:rPr>
            </w:pPr>
            <w:r>
              <w:rPr>
                <w:rFonts w:hint="eastAsia" w:ascii="宋体" w:hAnsi="宋体" w:cs="宋体"/>
                <w:b/>
                <w:szCs w:val="24"/>
              </w:rPr>
              <w:t>经费保障形式</w:t>
            </w:r>
          </w:p>
          <w:p>
            <w:pPr>
              <w:spacing w:line="584" w:lineRule="exact"/>
              <w:jc w:val="center"/>
              <w:rPr>
                <w:rFonts w:ascii="Times New Roman" w:hAnsi="Times New Roman"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tblHeader/>
        </w:trPr>
        <w:tc>
          <w:tcPr>
            <w:tcW w:w="3839" w:type="dxa"/>
            <w:vMerge w:val="continue"/>
            <w:vAlign w:val="center"/>
          </w:tcPr>
          <w:p/>
        </w:tc>
        <w:tc>
          <w:tcPr>
            <w:tcW w:w="980" w:type="dxa"/>
            <w:vMerge w:val="continue"/>
            <w:vAlign w:val="center"/>
          </w:tcPr>
          <w:p/>
        </w:tc>
        <w:tc>
          <w:tcPr>
            <w:tcW w:w="1102" w:type="dxa"/>
            <w:vMerge w:val="continue"/>
            <w:vAlign w:val="center"/>
          </w:tcPr>
          <w:p/>
        </w:tc>
        <w:tc>
          <w:tcPr>
            <w:tcW w:w="5253" w:type="dxa"/>
            <w:vMerge w:val="continue"/>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2" w:hRule="atLeast"/>
        </w:trPr>
        <w:tc>
          <w:tcPr>
            <w:tcW w:w="3839" w:type="dxa"/>
            <w:vAlign w:val="center"/>
          </w:tcPr>
          <w:p>
            <w:pPr>
              <w:spacing w:line="584" w:lineRule="exact"/>
              <w:jc w:val="center"/>
              <w:rPr>
                <w:rFonts w:ascii="Times New Roman" w:hAnsi="Times New Roman" w:cs="Times New Roman"/>
                <w:b/>
              </w:rPr>
            </w:pPr>
            <w:r>
              <w:rPr>
                <w:rFonts w:hint="eastAsia" w:ascii="宋体" w:hAnsi="宋体" w:cs="宋体"/>
                <w:b/>
              </w:rPr>
              <w:t>廊坊市广阳区新开路街道办事处</w:t>
            </w:r>
          </w:p>
        </w:tc>
        <w:tc>
          <w:tcPr>
            <w:tcW w:w="980" w:type="dxa"/>
            <w:vAlign w:val="center"/>
          </w:tcPr>
          <w:p>
            <w:pPr>
              <w:spacing w:line="584" w:lineRule="exact"/>
              <w:jc w:val="center"/>
              <w:rPr>
                <w:rFonts w:ascii="Times New Roman" w:hAnsi="Times New Roman" w:cs="Times New Roman"/>
                <w:b/>
              </w:rPr>
            </w:pPr>
            <w:r>
              <w:rPr>
                <w:rFonts w:hint="eastAsia" w:ascii="宋体" w:hAnsi="宋体" w:cs="宋体"/>
                <w:b/>
              </w:rPr>
              <w:t>行政</w:t>
            </w:r>
          </w:p>
        </w:tc>
        <w:tc>
          <w:tcPr>
            <w:tcW w:w="1102" w:type="dxa"/>
            <w:vAlign w:val="center"/>
          </w:tcPr>
          <w:p>
            <w:pPr>
              <w:spacing w:line="584" w:lineRule="exact"/>
              <w:jc w:val="center"/>
              <w:rPr>
                <w:rFonts w:ascii="Times New Roman" w:hAnsi="Times New Roman" w:cs="Times New Roman"/>
                <w:b/>
              </w:rPr>
            </w:pPr>
            <w:r>
              <w:rPr>
                <w:rFonts w:hint="eastAsia" w:ascii="宋体" w:hAnsi="宋体" w:cs="宋体"/>
                <w:b/>
              </w:rPr>
              <w:t>正科级</w:t>
            </w:r>
          </w:p>
        </w:tc>
        <w:tc>
          <w:tcPr>
            <w:tcW w:w="5253" w:type="dxa"/>
            <w:vAlign w:val="center"/>
          </w:tcPr>
          <w:p>
            <w:pPr>
              <w:spacing w:line="584" w:lineRule="exact"/>
              <w:jc w:val="center"/>
              <w:rPr>
                <w:rFonts w:ascii="Times New Roman" w:hAnsi="Times New Roman" w:cs="Times New Roman"/>
                <w:b/>
              </w:rPr>
            </w:pPr>
            <w:r>
              <w:rPr>
                <w:rFonts w:hint="eastAsia" w:ascii="宋体" w:hAnsi="宋体" w:cs="宋体"/>
                <w:b/>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2" w:hRule="atLeast"/>
        </w:trPr>
        <w:tc>
          <w:tcPr>
            <w:tcW w:w="3839" w:type="dxa"/>
            <w:vAlign w:val="center"/>
          </w:tcPr>
          <w:p>
            <w:pPr>
              <w:spacing w:line="584" w:lineRule="exact"/>
              <w:jc w:val="left"/>
              <w:rPr>
                <w:rFonts w:ascii="Times New Roman" w:hAnsi="Times New Roman" w:cs="Times New Roman"/>
              </w:rPr>
            </w:pPr>
          </w:p>
        </w:tc>
        <w:tc>
          <w:tcPr>
            <w:tcW w:w="980" w:type="dxa"/>
            <w:vAlign w:val="center"/>
          </w:tcPr>
          <w:p>
            <w:pPr>
              <w:spacing w:line="584" w:lineRule="exact"/>
              <w:jc w:val="center"/>
              <w:rPr>
                <w:rFonts w:ascii="Times New Roman" w:hAnsi="Times New Roman" w:cs="Times New Roman"/>
              </w:rPr>
            </w:pPr>
          </w:p>
        </w:tc>
        <w:tc>
          <w:tcPr>
            <w:tcW w:w="1102" w:type="dxa"/>
            <w:vAlign w:val="center"/>
          </w:tcPr>
          <w:p>
            <w:pPr>
              <w:spacing w:line="584" w:lineRule="exact"/>
              <w:jc w:val="center"/>
              <w:rPr>
                <w:rFonts w:ascii="Times New Roman" w:hAnsi="Times New Roman" w:cs="Times New Roman"/>
              </w:rPr>
            </w:pPr>
          </w:p>
        </w:tc>
        <w:tc>
          <w:tcPr>
            <w:tcW w:w="5253" w:type="dxa"/>
            <w:vAlign w:val="center"/>
          </w:tcPr>
          <w:p>
            <w:pPr>
              <w:spacing w:line="584" w:lineRule="exact"/>
              <w:jc w:val="center"/>
              <w:rPr>
                <w:rFonts w:ascii="Times New Roman" w:hAnsi="Times New Roman" w:cs="Times New Roman"/>
              </w:rPr>
            </w:pP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二、部门预算安排的总体情况</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按照预算管理有关规定，目前我区部门预算的编制实行综合预算制度，即全部收入和支出都反映在预算中。廊坊市广阳区新开路街道办事处机关的收支包含在部门预算中。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、收入说明</w:t>
      </w:r>
    </w:p>
    <w:p>
      <w:pPr>
        <w:spacing w:line="584" w:lineRule="exact"/>
        <w:ind w:firstLine="640"/>
        <w:rPr>
          <w:rFonts w:ascii="仿宋" w:hAnsi="仿宋" w:eastAsia="仿宋" w:cs="仿宋"/>
          <w:sz w:val="32"/>
          <w:szCs w:val="32"/>
        </w:rPr>
      </w:pPr>
      <w:r>
        <w:rPr>
          <w:rFonts w:hint="eastAsia" w:ascii="仿宋" w:hAnsi="仿宋" w:eastAsia="仿宋" w:cs="仿宋"/>
          <w:sz w:val="32"/>
          <w:szCs w:val="32"/>
        </w:rPr>
        <w:t>反映本部门当年全部收入。2021年预算收入2752.33万元，其中：一般公共预算收入2752.33万元，基金预算收入0万元，财政专户核拨收入0万元，其他来源收入0万元，上年结转0万元。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、支出说明</w:t>
      </w:r>
    </w:p>
    <w:p>
      <w:pPr>
        <w:spacing w:line="584" w:lineRule="exact"/>
        <w:ind w:firstLine="640"/>
        <w:rPr>
          <w:rFonts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廊坊市广阳区新开路街道办事处2021年度部门预算中支出预算的总体情况。2021年支出预算2752.33元，其中基本支出1726.19万元，包括人员类项目经费1604.93万元和运转类公用项目经费121.26万元；运转类其他及特定目标类项目支出1026.14万元，包括本级支出，主要为社区人员经费。</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rPr>
        <w:t>、比上年增减情况</w:t>
      </w:r>
    </w:p>
    <w:p>
      <w:pPr>
        <w:spacing w:line="584" w:lineRule="exact"/>
        <w:ind w:firstLine="640"/>
        <w:rPr>
          <w:rFonts w:ascii="仿宋" w:hAnsi="仿宋" w:eastAsia="仿宋" w:cs="仿宋"/>
          <w:sz w:val="32"/>
          <w:szCs w:val="32"/>
        </w:rPr>
      </w:pPr>
      <w:r>
        <w:rPr>
          <w:rFonts w:hint="eastAsia" w:ascii="仿宋" w:hAnsi="仿宋" w:eastAsia="仿宋" w:cs="仿宋"/>
          <w:sz w:val="32"/>
          <w:szCs w:val="32"/>
        </w:rPr>
        <w:t>2021年预算收支安排2752.33万元，较2020年预算增加794.19万元，其中：基本支出减少2.17万元，主要为人员支出；项目支出增加796.36万元，主要为社区招聘人员项目支出。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仿宋" w:hAnsi="仿宋" w:eastAsia="仿宋" w:cs="仿宋"/>
          <w:sz w:val="32"/>
          <w:szCs w:val="32"/>
        </w:rPr>
      </w:pPr>
      <w:r>
        <w:rPr>
          <w:rFonts w:hint="eastAsia" w:ascii="仿宋" w:hAnsi="仿宋" w:eastAsia="仿宋" w:cs="仿宋"/>
          <w:sz w:val="32"/>
          <w:szCs w:val="32"/>
        </w:rPr>
        <w:t>2021年，我单位机关运行经费共计安排121.26万元，主要用于新开路街道办事出办公区的日常维修、办公用房水电费、办公用房取暖费、办公用房物业管理费等日常运行支出。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仿宋" w:hAnsi="仿宋" w:eastAsia="仿宋" w:cs="仿宋"/>
          <w:sz w:val="32"/>
          <w:szCs w:val="32"/>
        </w:rPr>
      </w:pPr>
      <w:r>
        <w:rPr>
          <w:rFonts w:hint="eastAsia" w:ascii="仿宋" w:hAnsi="仿宋" w:eastAsia="仿宋" w:cs="仿宋"/>
          <w:sz w:val="32"/>
          <w:szCs w:val="32"/>
        </w:rPr>
        <w:t>2021年，我单位财政拨款“三公”经费预算安排4.38万元。其中，因公出国（境）费0万元；公务用车购置及运维费4.38万元（其中：公务用车购置费为0万元，公务用车运维费4.38万元)；公务接待费0万元。与2020年相比持平，无增减变化。</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新时代，新征程。2021年，新开路街道将抓住新机场兴建的宝贵历史机遇，创新思维方式，汇聚兴街富民力量，实现跨越大发展。力争将新开路街道建设成为开放、包容、宜居的生态新区。</w:t>
      </w:r>
    </w:p>
    <w:p>
      <w:pPr>
        <w:spacing w:line="584"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一、加快项目建设，促进经济发展</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一是要加大宣传力度，扩大舆论环境，提高区域知名度。二是对在建楼宇项目要突出重点，落实责任，盯目标、盯进度、盯节点、盯成效，统筹推进项目建设，力争项目早建成、早投入、早见效。逐渐形成以和平路为中轴线，各具特色的商务楼群为核心商圈的发展模式。三是要尽快介入，全面掌握楼宇信息，引导开发商进行楼宇功能定位。确立不同楼宇的业态定位，发展产业集群，使楼宇经济朝产业化、特色化、专业化的方向发展。</w:t>
      </w:r>
    </w:p>
    <w:p>
      <w:pPr>
        <w:spacing w:line="584"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二、推进污染防治，确保质量达标</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坚持防管结合、标本兼治。加大露天焚烧综合整治力度，倡导低碳文明的祭祀风尚力争不着火、不冒烟；巩固重点领域防控。保持对涉VOCs排放企业、“散乱污”企业和餐饮经营场所的高频度、全天候巡查监控态势，确保不出现反弹现象；进一步完善抑尘措施。强化重污染天气应急期间监管，督导各项应急措施落实到位，有效实现“削峰降速”。</w:t>
      </w:r>
    </w:p>
    <w:p>
      <w:pPr>
        <w:spacing w:line="584"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三、提升服务水平，建设幸福街区</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一方面，全面落实就业创业政策，减少辖区失业人员比例；加大对居民养老、城镇居民医疗保险的宣传力度，增强居民参保意识；认真做好低保、低收入家庭救助工作，解决基层最低生活保障家庭的学生救助；另一方面，坚持问题导向、群众观点、法治思维、末端思维，围绕继续抓好全国文明城市创建，进一步加强数字化、信息化、模块化管理体系建设，持续提升社区服务功能，全面建设幸福和谐街道。</w:t>
      </w:r>
    </w:p>
    <w:p>
      <w:pPr>
        <w:tabs>
          <w:tab w:val="left" w:pos="5425"/>
        </w:tabs>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r>
        <w:rPr>
          <w:rFonts w:ascii="楷体_GB2312" w:eastAsia="楷体_GB2312" w:cs="Times New Roman"/>
          <w:b/>
          <w:sz w:val="32"/>
          <w:szCs w:val="32"/>
        </w:rPr>
        <w:tab/>
      </w:r>
    </w:p>
    <w:p>
      <w:pPr>
        <w:spacing w:line="584"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一、发展楼宇经济</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楼宇经济是街道城市经济发展的主抓手、主阵地，借助广阳腾讯成绩经济招商营商会客大厅设置在我辖区梅花易品大厦的东风，我们将通过设置楼宇信息员、楼宇企业服务中心等载体，着力引进总部企业、规上服务业、创意设计类等企业，不断优化楼宇企业业态结构，力争培育新的税收增长点，全力打造楼宇经济可持续发展新高地。</w:t>
      </w:r>
    </w:p>
    <w:p>
      <w:pPr>
        <w:spacing w:line="584" w:lineRule="exact"/>
        <w:ind w:firstLine="321" w:firstLineChars="100"/>
        <w:rPr>
          <w:rFonts w:ascii="仿宋" w:hAnsi="仿宋" w:eastAsia="仿宋" w:cs="仿宋"/>
          <w:b/>
          <w:bCs/>
          <w:sz w:val="32"/>
          <w:szCs w:val="32"/>
        </w:rPr>
      </w:pPr>
      <w:r>
        <w:rPr>
          <w:rFonts w:hint="eastAsia" w:ascii="仿宋" w:hAnsi="仿宋" w:eastAsia="仿宋" w:cs="仿宋"/>
          <w:b/>
          <w:bCs/>
          <w:sz w:val="32"/>
          <w:szCs w:val="32"/>
        </w:rPr>
        <w:t>二、常抓疫情防控</w:t>
      </w:r>
    </w:p>
    <w:p>
      <w:pPr>
        <w:spacing w:line="584" w:lineRule="exact"/>
        <w:ind w:firstLine="320" w:firstLineChars="100"/>
        <w:rPr>
          <w:rFonts w:ascii="仿宋" w:hAnsi="仿宋" w:eastAsia="仿宋" w:cs="仿宋"/>
          <w:sz w:val="32"/>
          <w:szCs w:val="32"/>
        </w:rPr>
      </w:pPr>
      <w:r>
        <w:rPr>
          <w:rFonts w:hint="eastAsia" w:ascii="仿宋" w:hAnsi="仿宋" w:eastAsia="仿宋" w:cs="仿宋"/>
          <w:sz w:val="32"/>
          <w:szCs w:val="32"/>
        </w:rPr>
        <w:t>落实冬季疫情防控工作措施，常态化排查登记中高风险地区返雅人员，做好居家医疗观察和核酸检测。强化商场、酒店、学校、农贸市场、餐馆等重点区域的日常消毒和防控措施落实。</w:t>
      </w:r>
    </w:p>
    <w:p>
      <w:pPr>
        <w:spacing w:line="584" w:lineRule="exact"/>
        <w:ind w:firstLine="321" w:firstLineChars="100"/>
        <w:rPr>
          <w:rFonts w:ascii="仿宋" w:hAnsi="仿宋" w:eastAsia="仿宋" w:cs="仿宋"/>
          <w:b/>
          <w:bCs/>
          <w:sz w:val="32"/>
          <w:szCs w:val="32"/>
        </w:rPr>
      </w:pPr>
      <w:r>
        <w:rPr>
          <w:rFonts w:hint="eastAsia" w:ascii="仿宋" w:hAnsi="仿宋" w:eastAsia="仿宋" w:cs="仿宋"/>
          <w:b/>
          <w:bCs/>
          <w:sz w:val="32"/>
          <w:szCs w:val="32"/>
        </w:rPr>
        <w:t>三、持续打好生态保卫战</w:t>
      </w:r>
    </w:p>
    <w:p>
      <w:pPr>
        <w:spacing w:line="584" w:lineRule="exact"/>
        <w:ind w:firstLine="320" w:firstLineChars="100"/>
        <w:rPr>
          <w:rFonts w:ascii="仿宋" w:hAnsi="仿宋" w:eastAsia="仿宋" w:cs="仿宋"/>
          <w:sz w:val="32"/>
          <w:szCs w:val="32"/>
        </w:rPr>
      </w:pPr>
      <w:r>
        <w:rPr>
          <w:rFonts w:hint="eastAsia" w:ascii="仿宋" w:hAnsi="仿宋" w:eastAsia="仿宋" w:cs="仿宋"/>
          <w:sz w:val="32"/>
          <w:szCs w:val="32"/>
        </w:rPr>
        <w:t>加强网格化日常巡查，守牢生态底线。对重点行业、重点企业进行定期和不定期走访，建立巡查台账，对群众反映的环保问题及时调查处复。</w:t>
      </w:r>
    </w:p>
    <w:p>
      <w:pPr>
        <w:spacing w:line="584" w:lineRule="exact"/>
        <w:ind w:firstLine="321" w:firstLineChars="100"/>
        <w:rPr>
          <w:rFonts w:ascii="仿宋" w:hAnsi="仿宋" w:eastAsia="仿宋" w:cs="仿宋"/>
          <w:b/>
          <w:bCs/>
          <w:sz w:val="32"/>
          <w:szCs w:val="32"/>
        </w:rPr>
      </w:pPr>
      <w:r>
        <w:rPr>
          <w:rFonts w:hint="eastAsia" w:ascii="仿宋" w:hAnsi="仿宋" w:eastAsia="仿宋" w:cs="仿宋"/>
          <w:b/>
          <w:bCs/>
          <w:sz w:val="32"/>
          <w:szCs w:val="32"/>
        </w:rPr>
        <w:t>四、维护社会稳定</w:t>
      </w:r>
    </w:p>
    <w:p>
      <w:pPr>
        <w:spacing w:line="584" w:lineRule="exact"/>
        <w:ind w:firstLine="320" w:firstLineChars="100"/>
        <w:rPr>
          <w:rFonts w:ascii="仿宋" w:hAnsi="仿宋" w:eastAsia="仿宋" w:cs="仿宋"/>
          <w:sz w:val="32"/>
          <w:szCs w:val="32"/>
        </w:rPr>
      </w:pPr>
      <w:r>
        <w:rPr>
          <w:rFonts w:hint="eastAsia" w:ascii="仿宋" w:hAnsi="仿宋" w:eastAsia="仿宋" w:cs="仿宋"/>
          <w:sz w:val="32"/>
          <w:szCs w:val="32"/>
        </w:rPr>
        <w:t>持续深化扫黑除恶专项斗争和人民调解，落实安全生产责任制，加强对企业、老旧小区、餐馆等重点区域消防、食品安全督查整治。加强应急救援处置能力建设,提高防灾减灾救灾能力。</w:t>
      </w:r>
    </w:p>
    <w:p>
      <w:pPr>
        <w:spacing w:line="584" w:lineRule="exact"/>
        <w:ind w:firstLine="321" w:firstLineChars="100"/>
        <w:rPr>
          <w:rFonts w:ascii="仿宋" w:hAnsi="仿宋" w:eastAsia="仿宋" w:cs="仿宋"/>
          <w:b/>
          <w:bCs/>
          <w:sz w:val="32"/>
          <w:szCs w:val="32"/>
        </w:rPr>
      </w:pPr>
      <w:r>
        <w:rPr>
          <w:rFonts w:hint="eastAsia" w:ascii="仿宋" w:hAnsi="仿宋" w:eastAsia="仿宋" w:cs="仿宋"/>
          <w:b/>
          <w:bCs/>
          <w:sz w:val="32"/>
          <w:szCs w:val="32"/>
        </w:rPr>
        <w:t>五、提升城市管理水平</w:t>
      </w:r>
    </w:p>
    <w:p>
      <w:pPr>
        <w:spacing w:line="584" w:lineRule="exact"/>
        <w:ind w:firstLine="320" w:firstLineChars="100"/>
        <w:rPr>
          <w:rFonts w:ascii="仿宋" w:hAnsi="仿宋" w:eastAsia="仿宋" w:cs="仿宋"/>
          <w:sz w:val="32"/>
          <w:szCs w:val="32"/>
        </w:rPr>
      </w:pPr>
      <w:r>
        <w:rPr>
          <w:rFonts w:hint="eastAsia" w:ascii="仿宋" w:hAnsi="仿宋" w:eastAsia="仿宋" w:cs="仿宋"/>
          <w:sz w:val="32"/>
          <w:szCs w:val="32"/>
        </w:rPr>
        <w:t>持续开展综合执法，巩固做好文明城市创建工作，重点抓违规占道经营，规范乱停乱放，加大市容环境清理力度，改善背街小巷、卫生死角脏、乱、差等顽固问题。</w:t>
      </w:r>
    </w:p>
    <w:p>
      <w:pPr>
        <w:spacing w:line="584" w:lineRule="exact"/>
        <w:ind w:firstLine="321" w:firstLineChars="1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overflowPunct w:val="0"/>
        <w:adjustRightInd w:val="0"/>
        <w:snapToGrid w:val="0"/>
        <w:spacing w:after="156" w:afterLines="50"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2020年，是全面建成小康社会、实施“十三五”规划的收官之年。新开路街道在区委、区政府的正确领导下，紧盯目标、狠抓落实，围绕中心、尽职担当，积极应对克服新冠疫情不利影响，统筹做好疫情防控和经济社会发展各项工作，积极完成全年疫情防控、经济发展、机场征迁、民生保障、信访稳定、文明创建等重点工作任务，现将全年工作情况汇报如下：</w:t>
      </w:r>
    </w:p>
    <w:p>
      <w:pPr>
        <w:overflowPunct w:val="0"/>
        <w:adjustRightInd w:val="0"/>
        <w:snapToGrid w:val="0"/>
        <w:spacing w:after="156" w:afterLines="50" w:line="58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一、精准施策，狠抓疫情防控</w:t>
      </w:r>
    </w:p>
    <w:p>
      <w:pPr>
        <w:overflowPunct w:val="0"/>
        <w:adjustRightInd w:val="0"/>
        <w:snapToGrid w:val="0"/>
        <w:spacing w:after="156" w:afterLines="50"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年初新冠疫情发生以来，新开路街道坚决贯彻区委、区政府决策部署，坚持把疫情防控作为当前压倒一切的头等大事，严格落实防控举措，强化组织领导，狠抓关口卡控，严格重点人员管控。实行“三包一”包联机制，确保责任落实、不留空白。建立“五位一体”防控队伍，积极动员单元长、楼门长等居民代表发挥先锋模范作用，进一步深化“熟人小区”建设；针对辖区的重点场所进行全面排查和清理消毒，确保排查和防控不留死角。疫情发生以来，我们已排查中、高风险地区返廊人员共计778人，密切接触者共计121人，已解除居家观察人员共计758人，其中境外返廊人员共计252人，在外集中隔离10人，集中转居家观察19人。累计排查管控本地发热人员共计240，未解除居家观察人员7人，全部落实严格管控。</w:t>
      </w:r>
    </w:p>
    <w:p>
      <w:pPr>
        <w:overflowPunct w:val="0"/>
        <w:adjustRightInd w:val="0"/>
        <w:snapToGrid w:val="0"/>
        <w:spacing w:after="156" w:afterLines="50" w:line="58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二、聚焦经济，激发发展活力</w:t>
      </w:r>
    </w:p>
    <w:p>
      <w:pPr>
        <w:overflowPunct w:val="0"/>
        <w:adjustRightInd w:val="0"/>
        <w:snapToGrid w:val="0"/>
        <w:spacing w:after="156" w:afterLines="50"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是主要指标稳中有增。目前，我辖区共有民营企业及个体经济共1408家，个体经济782家。现价总产值42644万元，同比增长1.15%；出口产品交货值2739万元；固定资产投资695万元，同比增长2.34%，经济形势总体利好；二是项目建设不断加快。目前街道积极运作在建项目8个，分别为：美好梧桐树写字楼项目、世锦名城小区二期项目、紫悦府项目、金福小区项目、瑞晟嘉园小区项目、俪景嘉园小区项目、北华航天工业学院实习实训中心项目、中国人保金融大厦项目。8个在建项目总投资22.5亿元，目前累计完成投资13.9亿元。项目工程资金到位，工期稳步推进；三是发展潜力后劲十足。目前，我街道新建成的梅花一品大厦写字楼和格林郡府商业楼都已经投入使用，王寨56000平米集中商业综合楼正在建设当中，未来王寨小区拆迁完成后也势必出现新的楼宇，经济增长的后劲充足。</w:t>
      </w:r>
    </w:p>
    <w:p>
      <w:pPr>
        <w:overflowPunct w:val="0"/>
        <w:adjustRightInd w:val="0"/>
        <w:snapToGrid w:val="0"/>
        <w:spacing w:after="156" w:afterLines="50" w:line="58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三、助力创城，建设宜居家园</w:t>
      </w:r>
    </w:p>
    <w:p>
      <w:pPr>
        <w:overflowPunct w:val="0"/>
        <w:adjustRightInd w:val="0"/>
        <w:snapToGrid w:val="0"/>
        <w:spacing w:after="156" w:afterLines="50"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街道紧紧围绕文明城市创建的总体目标，以市民综合素质良好、基础设施维护升级、环境整洁优美、宣传教育深入为主要内容，抓重点，出实招，重特色，不断将文明创建工作引向深入。一是持续打造标杆。以创城促提升，着眼解决老旧小区改造提升这一当务之急，重点打造建宏小区、东小区、春阳路背街里巷。街道联合综合执法、派出所等相关单位开展了集中清违工作，共拆扒各类违章建筑72处，清理各类违建垃圾8000余方。同时，对照创建标准，利用十天高质量的完成创城标杆打造任务，以点带面促近全域提升；二是提供安全保障。将疫情防控工作与推进老旧小区规范化管理共同推进，为辖区无物业小区安装道闸门禁，有效提升了小区管理力度和安全系数；三是优化人居环境。针对我辖区内的15条背街小巷的修缮工作，街道迅速出击抓落实。创城期间，街道共完成小区墙体粉刷万余平方米、道路修整6000平方米、拆除小区及楼道内的违建违搭建筑500余平方米，新增设晨晚练活动点30余个，同时小区电动车充电桩，标准停车位施划等基础设施建设陆续进行；四是发挥群策群力。依靠社区楼门长充分做好群众工作，入户走访交朋友，线上线下多维宣传，激发每个人对社区建设的主动性、积极性。街道共有楼长351名，单元长893名，党小组52个，党小组长、楼长、单元长共计951，各社区积极发挥五级治理体系作用，常态开展创城宣传，劝导辖区居民不文明行为，扩大创城工作知晓率，开展日常巡查等相关工作。</w:t>
      </w:r>
    </w:p>
    <w:p>
      <w:pPr>
        <w:overflowPunct w:val="0"/>
        <w:adjustRightInd w:val="0"/>
        <w:snapToGrid w:val="0"/>
        <w:spacing w:after="156" w:afterLines="50" w:line="58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四、保障民生，提升生活指数</w:t>
      </w:r>
    </w:p>
    <w:p>
      <w:pPr>
        <w:overflowPunct w:val="0"/>
        <w:adjustRightInd w:val="0"/>
        <w:snapToGrid w:val="0"/>
        <w:spacing w:after="156" w:afterLines="50"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为提升人民群众的幸福指数，街道扎实做好民生保障工作，积极落实各项民生政策，群众获得感显著提升。在就业困难人员认定方面，今年共认定各类就业困难人员42人，接待咨询1500余人次，对认定为就业困难人员的进行入户跟踪随访并填写跟踪服务卡；在公益性岗位工作方面，申报并发放岗补53.2万元，申报并上缴工伤1.54万元、失业0.55万元，</w:t>
      </w:r>
      <w:r>
        <w:rPr>
          <w:rFonts w:hint="eastAsia" w:ascii="仿宋" w:hAnsi="仿宋" w:eastAsia="仿宋" w:cs="仿宋"/>
          <w:sz w:val="32"/>
          <w:szCs w:val="32"/>
          <w:lang w:eastAsia="zh-CN"/>
        </w:rPr>
        <w:t>截至目前</w:t>
      </w:r>
      <w:r>
        <w:rPr>
          <w:rFonts w:hint="eastAsia" w:ascii="仿宋" w:hAnsi="仿宋" w:eastAsia="仿宋" w:cs="仿宋"/>
          <w:sz w:val="32"/>
          <w:szCs w:val="32"/>
        </w:rPr>
        <w:t>，新增公益性岗位9人；在就业困难人员社保补贴发放工作上，截止到2020年11月，我保障所已发放市本级公益性岗位人员33人的保险补贴333698.24元。广阳区公益性岗位人员8人的保险补贴60345.75元；灵活就业200人的保险补贴1701473.66元;初次创业22人的保险补贴195587.24元。安次区灵活就业8人的保险补贴68322.66元；初次创业1人的保险补贴12141.84元。共为272人发放2019年保险补贴2371569.39元；在老龄工作方面，我们今年共为266名老人申请了高龄补贴。为96名去世老人办理了注销申请。解决11起80周岁高龄补贴发放不成功事件；拥军优抚方面，2020年度为采集信息的54明转制人员发放光荣牌，为我辖区退役军人办理发放优待证12人，帮扶符合条件的优抚对象办理医疗救助3人。此外在退役军人管理服务等方面严格按照政策为居民提供优质服务，切实保障民生需求。</w:t>
      </w:r>
    </w:p>
    <w:p>
      <w:pPr>
        <w:overflowPunct w:val="0"/>
        <w:adjustRightInd w:val="0"/>
        <w:snapToGrid w:val="0"/>
        <w:spacing w:after="156" w:afterLines="50" w:line="58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五、污染防治，建设生态文明</w:t>
      </w:r>
    </w:p>
    <w:p>
      <w:pPr>
        <w:overflowPunct w:val="0"/>
        <w:adjustRightInd w:val="0"/>
        <w:snapToGrid w:val="0"/>
        <w:spacing w:after="156" w:afterLines="50"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一是摸清底数，挂图作战。街道制作、印制污染源分布图，把辖区内13家重污染天气应急管控企业、10个在建工地、32家散乱污企业以及中大型餐饮企业全部标注其中，明确任务，多措并举开展大气治理工作。    二是落实责任网格化监管。完善街道干部包联居委会制度，对散乱污企业、涉VOCs企业、饭店油烟、工地扬尘等污染源进行全面管控，保障辖区监测点各项指数持续稳定改善；三是重点工作，长效监管。扬尘污染管控情况：辖区工地共计13个，其中在建工地10个，均已落实“六个百分百”、“八个标准”要求并已安装自动监测设备。餐饮行业监管情况：对273家大小餐饮企业建立餐饮企业管理台账，每月对全部饭店进行一轮高效巡查，监督企业使用并定期清洗油烟净化设备。散乱污企业整治工作：辖区散乱污企业共有32家，其中取缔类6家，整改提升类26家，均已治理完成。重污染天气应对工作：辖区应急企业共计13家，在建工地10个，街道第一时间根据要求启动相应级别应急管控措施，责任到人，措施严格落实到位。臭氧污染防控工作：辖区涉VOCs企业共计10家，其中汽车喷漆类6家、印刷类2家、机械加工类2家。我街道上午10时至下午4时禁止喷漆和焊接作业，发现问题第一时间进行处置。</w:t>
      </w:r>
    </w:p>
    <w:p>
      <w:pPr>
        <w:overflowPunct w:val="0"/>
        <w:adjustRightInd w:val="0"/>
        <w:snapToGrid w:val="0"/>
        <w:spacing w:after="156" w:afterLines="50" w:line="58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六、全员管控，筑牢安全防线</w:t>
      </w:r>
    </w:p>
    <w:p>
      <w:pPr>
        <w:overflowPunct w:val="0"/>
        <w:adjustRightInd w:val="0"/>
        <w:snapToGrid w:val="0"/>
        <w:spacing w:after="156" w:afterLines="50"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是强化领导，监管责任体系更加健全。年初，结合实际制定了两级责任体系，明确了9个责任片区负责人，由各主管副职作为片区安全生产第一责任人，街道机关全员分包居委会，居委会与辖区企业门店签订安全生产责任书，落实“安全生产全覆盖”，街道16个居委会与844家门店企业的安全生产责任书和消防安全责任书已经全部签订完成；二是强化检查，整改落实更加到位；紧扣“五大时段”（两节、两会、清明节、劳动节、汛期）节点，进一步加强社会面安全生产监管检查工作，严防发生重大安全生产事故。2020年，我街道共召开安全生产会议18次，共组织安全生产大排查78人次，共检查辖区企业门店1249余家次，检查共发现安全生产隐患38个，已全部整改完成，并且做到了检查有记录、问题有措施、处理有结果。</w:t>
      </w:r>
    </w:p>
    <w:p>
      <w:pPr>
        <w:overflowPunct w:val="0"/>
        <w:adjustRightInd w:val="0"/>
        <w:snapToGrid w:val="0"/>
        <w:spacing w:after="156" w:afterLines="50" w:line="58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七、围绕中心，积极履职尽责</w:t>
      </w:r>
    </w:p>
    <w:p>
      <w:pPr>
        <w:overflowPunct w:val="0"/>
        <w:adjustRightInd w:val="0"/>
        <w:snapToGrid w:val="0"/>
        <w:spacing w:after="156" w:afterLines="50" w:line="580" w:lineRule="exact"/>
        <w:ind w:firstLine="640" w:firstLineChars="200"/>
        <w:jc w:val="left"/>
        <w:rPr>
          <w:rFonts w:ascii="楷体_GB2312" w:eastAsia="楷体_GB2312" w:cs="Times New Roman"/>
          <w:b/>
          <w:sz w:val="32"/>
          <w:szCs w:val="32"/>
        </w:rPr>
      </w:pPr>
      <w:r>
        <w:rPr>
          <w:rFonts w:hint="eastAsia" w:ascii="仿宋" w:hAnsi="仿宋" w:eastAsia="仿宋" w:cs="仿宋"/>
          <w:sz w:val="32"/>
          <w:szCs w:val="32"/>
        </w:rPr>
        <w:t>今年以来，街道围绕中心、服务大局，积极推进各项重点工作。一是人口普查。经过前期摸底走访，完成常住人口98255人，其中华航学生常住人口12260人，九中学生常住人口936人，十五中学生常住人口2768人。户籍人口61461人，出生人口280人，死亡人口169人。目前录入填写工作正在进行中；二是机场征迁。街道选派有拆迁经验的骨干力量组成征迁队伍，全力服务潘村、南寺垡、古庄、火头营四个村庄机场征迁工作。街居干部发扬了勇于担当、甘于奉献的工作精神，放弃了节假日、休息日，奋战在征迁工作的最前沿、第一线，较好的完成了征迁任务；三是亮点频出。我街道武装部应要求组织应急分队12人，基地化封闭式训练14天，取得了综合排名第一名的好成绩；在2020年度省级乡镇（街道）妇联组织区域化建设“擂台赛”中，我街道妇联荣获“擂台赛”优胜单位；在今年第三季度的十面流动红旗竞比工作中，我街道勇夺6面红旗，在广阳五个街道中排名第一。</w:t>
      </w:r>
    </w:p>
    <w:p>
      <w:pPr>
        <w:overflowPunct w:val="0"/>
        <w:adjustRightInd w:val="0"/>
        <w:snapToGrid w:val="0"/>
        <w:spacing w:after="156" w:afterLines="50" w:line="580" w:lineRule="exact"/>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pPr w:leftFromText="180" w:rightFromText="180" w:vertAnchor="text" w:horzAnchor="page" w:tblpX="2092" w:tblpY="759"/>
        <w:tblOverlap w:val="never"/>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632"/>
        <w:gridCol w:w="934"/>
        <w:gridCol w:w="1398"/>
        <w:gridCol w:w="2079"/>
        <w:gridCol w:w="1680"/>
        <w:gridCol w:w="615"/>
        <w:gridCol w:w="552"/>
        <w:gridCol w:w="649"/>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3" w:hRule="atLeast"/>
          <w:tblHeader/>
        </w:trPr>
        <w:tc>
          <w:tcPr>
            <w:tcW w:w="632"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一级指标</w:t>
            </w:r>
          </w:p>
        </w:tc>
        <w:tc>
          <w:tcPr>
            <w:tcW w:w="934"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二级</w:t>
            </w:r>
          </w:p>
          <w:p>
            <w:pPr>
              <w:widowControl/>
              <w:adjustRightInd w:val="0"/>
              <w:snapToGrid w:val="0"/>
              <w:jc w:val="center"/>
              <w:rPr>
                <w:rFonts w:ascii="方正书宋_GBK" w:eastAsia="方正书宋_GBK"/>
                <w:b/>
              </w:rPr>
            </w:pPr>
            <w:r>
              <w:rPr>
                <w:rFonts w:hint="eastAsia" w:ascii="方正书宋_GBK" w:eastAsia="方正书宋_GBK"/>
                <w:b/>
              </w:rPr>
              <w:t>指标</w:t>
            </w:r>
          </w:p>
        </w:tc>
        <w:tc>
          <w:tcPr>
            <w:tcW w:w="1398"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三级</w:t>
            </w:r>
          </w:p>
          <w:p>
            <w:pPr>
              <w:widowControl/>
              <w:adjustRightInd w:val="0"/>
              <w:snapToGrid w:val="0"/>
              <w:jc w:val="center"/>
              <w:rPr>
                <w:rFonts w:ascii="方正书宋_GBK" w:eastAsia="方正书宋_GBK"/>
                <w:b/>
              </w:rPr>
            </w:pPr>
            <w:r>
              <w:rPr>
                <w:rFonts w:hint="eastAsia" w:ascii="方正书宋_GBK" w:eastAsia="方正书宋_GBK"/>
                <w:b/>
              </w:rPr>
              <w:t>指标</w:t>
            </w:r>
          </w:p>
        </w:tc>
        <w:tc>
          <w:tcPr>
            <w:tcW w:w="2079"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评（扣）分标准</w:t>
            </w:r>
          </w:p>
        </w:tc>
        <w:tc>
          <w:tcPr>
            <w:tcW w:w="1680"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绩效指标</w:t>
            </w:r>
          </w:p>
          <w:p>
            <w:pPr>
              <w:widowControl/>
              <w:adjustRightInd w:val="0"/>
              <w:snapToGrid w:val="0"/>
              <w:jc w:val="center"/>
              <w:rPr>
                <w:rFonts w:ascii="方正书宋_GBK" w:eastAsia="方正书宋_GBK"/>
                <w:b/>
              </w:rPr>
            </w:pPr>
            <w:r>
              <w:rPr>
                <w:rFonts w:hint="eastAsia" w:ascii="方正书宋_GBK" w:eastAsia="方正书宋_GBK"/>
                <w:b/>
              </w:rPr>
              <w:t>描述</w:t>
            </w:r>
          </w:p>
        </w:tc>
        <w:tc>
          <w:tcPr>
            <w:tcW w:w="1816" w:type="dxa"/>
            <w:gridSpan w:val="3"/>
            <w:vAlign w:val="center"/>
          </w:tcPr>
          <w:p>
            <w:pPr>
              <w:widowControl/>
              <w:adjustRightInd w:val="0"/>
              <w:snapToGrid w:val="0"/>
              <w:jc w:val="center"/>
              <w:rPr>
                <w:rFonts w:ascii="方正书宋_GBK" w:eastAsia="方正书宋_GBK"/>
                <w:b/>
              </w:rPr>
            </w:pPr>
            <w:r>
              <w:rPr>
                <w:rFonts w:hint="eastAsia" w:ascii="方正书宋_GBK" w:eastAsia="方正书宋_GBK"/>
                <w:b/>
              </w:rPr>
              <w:t>指标值</w:t>
            </w:r>
          </w:p>
        </w:tc>
        <w:tc>
          <w:tcPr>
            <w:tcW w:w="1446"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指标值</w:t>
            </w:r>
          </w:p>
          <w:p>
            <w:pPr>
              <w:widowControl/>
              <w:adjustRightInd w:val="0"/>
              <w:snapToGrid w:val="0"/>
              <w:jc w:val="center"/>
              <w:rPr>
                <w:rFonts w:ascii="方正书宋_GBK" w:eastAsia="方正书宋_GBK"/>
                <w:b/>
              </w:rPr>
            </w:pPr>
            <w:r>
              <w:rPr>
                <w:rFonts w:hint="eastAsia"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29" w:hRule="atLeast"/>
          <w:tblHeader/>
        </w:trPr>
        <w:tc>
          <w:tcPr>
            <w:tcW w:w="632" w:type="dxa"/>
            <w:vMerge w:val="continue"/>
            <w:vAlign w:val="center"/>
          </w:tcPr>
          <w:p/>
        </w:tc>
        <w:tc>
          <w:tcPr>
            <w:tcW w:w="934" w:type="dxa"/>
            <w:vMerge w:val="continue"/>
            <w:vAlign w:val="center"/>
          </w:tcPr>
          <w:p/>
        </w:tc>
        <w:tc>
          <w:tcPr>
            <w:tcW w:w="1398" w:type="dxa"/>
            <w:vMerge w:val="continue"/>
            <w:vAlign w:val="center"/>
          </w:tcPr>
          <w:p/>
        </w:tc>
        <w:tc>
          <w:tcPr>
            <w:tcW w:w="2079" w:type="dxa"/>
            <w:vMerge w:val="continue"/>
            <w:vAlign w:val="center"/>
          </w:tcPr>
          <w:p/>
        </w:tc>
        <w:tc>
          <w:tcPr>
            <w:tcW w:w="1680" w:type="dxa"/>
            <w:vMerge w:val="continue"/>
            <w:vAlign w:val="center"/>
          </w:tcPr>
          <w:p/>
        </w:tc>
        <w:tc>
          <w:tcPr>
            <w:tcW w:w="615" w:type="dxa"/>
            <w:vAlign w:val="center"/>
          </w:tcPr>
          <w:p>
            <w:pPr>
              <w:widowControl/>
              <w:adjustRightInd w:val="0"/>
              <w:snapToGrid w:val="0"/>
              <w:jc w:val="center"/>
              <w:rPr>
                <w:rFonts w:ascii="方正书宋_GBK" w:eastAsia="方正书宋_GBK"/>
                <w:b/>
              </w:rPr>
            </w:pPr>
            <w:r>
              <w:rPr>
                <w:rFonts w:hint="eastAsia" w:ascii="方正书宋_GBK" w:eastAsia="方正书宋_GBK"/>
                <w:b/>
              </w:rPr>
              <w:t>符号</w:t>
            </w:r>
          </w:p>
        </w:tc>
        <w:tc>
          <w:tcPr>
            <w:tcW w:w="552" w:type="dxa"/>
            <w:vAlign w:val="center"/>
          </w:tcPr>
          <w:p>
            <w:pPr>
              <w:widowControl/>
              <w:adjustRightInd w:val="0"/>
              <w:snapToGrid w:val="0"/>
              <w:jc w:val="center"/>
              <w:rPr>
                <w:rFonts w:ascii="方正书宋_GBK" w:eastAsia="方正书宋_GBK"/>
                <w:b/>
              </w:rPr>
            </w:pPr>
            <w:r>
              <w:rPr>
                <w:rFonts w:hint="eastAsia" w:ascii="方正书宋_GBK" w:eastAsia="方正书宋_GBK"/>
                <w:b/>
              </w:rPr>
              <w:t>值</w:t>
            </w:r>
          </w:p>
        </w:tc>
        <w:tc>
          <w:tcPr>
            <w:tcW w:w="649" w:type="dxa"/>
            <w:vAlign w:val="center"/>
          </w:tcPr>
          <w:p>
            <w:pPr>
              <w:widowControl/>
              <w:adjustRightInd w:val="0"/>
              <w:snapToGrid w:val="0"/>
              <w:jc w:val="center"/>
              <w:rPr>
                <w:rFonts w:ascii="方正书宋_GBK" w:eastAsia="方正书宋_GBK"/>
                <w:b/>
              </w:rPr>
            </w:pPr>
            <w:r>
              <w:rPr>
                <w:rFonts w:hint="eastAsia" w:ascii="方正书宋_GBK" w:eastAsia="方正书宋_GBK"/>
                <w:b/>
              </w:rPr>
              <w:t>单位</w:t>
            </w:r>
          </w:p>
        </w:tc>
        <w:tc>
          <w:tcPr>
            <w:tcW w:w="1446"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88" w:hRule="atLeast"/>
        </w:trPr>
        <w:tc>
          <w:tcPr>
            <w:tcW w:w="632" w:type="dxa"/>
            <w:vMerge w:val="restart"/>
            <w:vAlign w:val="center"/>
          </w:tcPr>
          <w:p>
            <w:pPr>
              <w:widowControl/>
              <w:adjustRightInd w:val="0"/>
              <w:snapToGrid w:val="0"/>
              <w:jc w:val="center"/>
              <w:rPr>
                <w:rFonts w:ascii="方正书宋_GBK" w:eastAsia="方正书宋_GBK"/>
              </w:rPr>
            </w:pPr>
            <w:r>
              <w:rPr>
                <w:rFonts w:hint="eastAsia" w:ascii="方正书宋_GBK" w:eastAsia="方正书宋_GBK"/>
              </w:rPr>
              <w:t>部门产出</w:t>
            </w:r>
          </w:p>
        </w:tc>
        <w:tc>
          <w:tcPr>
            <w:tcW w:w="934" w:type="dxa"/>
            <w:vAlign w:val="center"/>
          </w:tcPr>
          <w:p>
            <w:pPr>
              <w:widowControl/>
              <w:adjustRightInd w:val="0"/>
              <w:snapToGrid w:val="0"/>
              <w:jc w:val="center"/>
              <w:rPr>
                <w:rFonts w:ascii="方正书宋_GBK" w:eastAsia="方正书宋_GBK"/>
              </w:rPr>
            </w:pPr>
            <w:r>
              <w:rPr>
                <w:rFonts w:hint="eastAsia" w:ascii="方正书宋_GBK" w:eastAsia="方正书宋_GBK"/>
              </w:rPr>
              <w:t>数量</w:t>
            </w:r>
          </w:p>
        </w:tc>
        <w:tc>
          <w:tcPr>
            <w:tcW w:w="1398" w:type="dxa"/>
            <w:vAlign w:val="center"/>
          </w:tcPr>
          <w:p>
            <w:pPr>
              <w:widowControl/>
              <w:adjustRightInd w:val="0"/>
              <w:snapToGrid w:val="0"/>
              <w:rPr>
                <w:rFonts w:ascii="方正书宋_GBK" w:eastAsia="方正书宋_GBK"/>
              </w:rPr>
            </w:pPr>
            <w:r>
              <w:rPr>
                <w:rFonts w:hint="eastAsia" w:ascii="方正书宋_GBK" w:eastAsia="方正书宋_GBK"/>
              </w:rPr>
              <w:t>考核人数</w:t>
            </w:r>
          </w:p>
        </w:tc>
        <w:tc>
          <w:tcPr>
            <w:tcW w:w="2079" w:type="dxa"/>
            <w:vAlign w:val="center"/>
          </w:tcPr>
          <w:p>
            <w:pPr>
              <w:widowControl/>
              <w:adjustRightInd w:val="0"/>
              <w:snapToGrid w:val="0"/>
              <w:rPr>
                <w:rFonts w:ascii="方正书宋_GBK" w:eastAsia="方正书宋_GBK"/>
              </w:rPr>
            </w:pPr>
            <w:r>
              <w:rPr>
                <w:rFonts w:hint="eastAsia" w:ascii="方正书宋_GBK" w:eastAsia="方正书宋_GBK"/>
              </w:rPr>
              <w:t>按考核结果</w:t>
            </w:r>
          </w:p>
        </w:tc>
        <w:tc>
          <w:tcPr>
            <w:tcW w:w="1680" w:type="dxa"/>
            <w:vAlign w:val="center"/>
          </w:tcPr>
          <w:p>
            <w:pPr>
              <w:widowControl/>
              <w:adjustRightInd w:val="0"/>
              <w:snapToGrid w:val="0"/>
              <w:rPr>
                <w:rFonts w:ascii="方正书宋_GBK" w:eastAsia="方正书宋_GBK"/>
              </w:rPr>
            </w:pPr>
            <w:r>
              <w:rPr>
                <w:rFonts w:hint="eastAsia" w:ascii="方正书宋_GBK" w:eastAsia="方正书宋_GBK"/>
              </w:rPr>
              <w:t>按计划应参加年终考核人数</w:t>
            </w:r>
          </w:p>
        </w:tc>
        <w:tc>
          <w:tcPr>
            <w:tcW w:w="615" w:type="dxa"/>
            <w:vAlign w:val="center"/>
          </w:tcPr>
          <w:p>
            <w:pPr>
              <w:widowControl/>
              <w:tabs>
                <w:tab w:val="left" w:pos="257"/>
              </w:tabs>
              <w:adjustRightInd w:val="0"/>
              <w:snapToGrid w:val="0"/>
              <w:jc w:val="left"/>
              <w:rPr>
                <w:rFonts w:ascii="方正书宋_GBK" w:eastAsia="方正书宋_GBK"/>
              </w:rPr>
            </w:pPr>
            <w:r>
              <w:rPr>
                <w:rFonts w:ascii="方正书宋_GBK" w:eastAsia="方正书宋_GBK"/>
              </w:rPr>
              <w:tab/>
            </w:r>
            <w:r>
              <w:rPr>
                <w:rFonts w:hint="eastAsia" w:ascii="方正书宋_GBK" w:eastAsia="方正书宋_GBK"/>
              </w:rPr>
              <w:t>≥</w:t>
            </w:r>
          </w:p>
        </w:tc>
        <w:tc>
          <w:tcPr>
            <w:tcW w:w="552" w:type="dxa"/>
            <w:vAlign w:val="center"/>
          </w:tcPr>
          <w:p>
            <w:pPr>
              <w:widowControl/>
              <w:adjustRightInd w:val="0"/>
              <w:snapToGrid w:val="0"/>
              <w:jc w:val="center"/>
              <w:rPr>
                <w:rFonts w:ascii="方正书宋_GBK" w:eastAsia="方正书宋_GBK"/>
              </w:rPr>
            </w:pPr>
            <w:r>
              <w:rPr>
                <w:rFonts w:ascii="方正书宋_GBK" w:eastAsia="方正书宋_GBK"/>
              </w:rPr>
              <w:t>95</w:t>
            </w:r>
          </w:p>
        </w:tc>
        <w:tc>
          <w:tcPr>
            <w:tcW w:w="649" w:type="dxa"/>
            <w:vAlign w:val="center"/>
          </w:tcPr>
          <w:p>
            <w:pPr>
              <w:widowControl/>
              <w:adjustRightInd w:val="0"/>
              <w:snapToGrid w:val="0"/>
              <w:jc w:val="center"/>
              <w:rPr>
                <w:rFonts w:ascii="方正书宋_GBK" w:eastAsia="方正书宋_GBK"/>
              </w:rPr>
            </w:pPr>
            <w:r>
              <w:rPr>
                <w:rFonts w:ascii="方正书宋_GBK" w:eastAsia="方正书宋_GBK"/>
              </w:rPr>
              <w:t>%</w:t>
            </w:r>
          </w:p>
        </w:tc>
        <w:tc>
          <w:tcPr>
            <w:tcW w:w="1446" w:type="dxa"/>
            <w:vAlign w:val="center"/>
          </w:tcPr>
          <w:p>
            <w:pPr>
              <w:widowControl/>
              <w:adjustRightInd w:val="0"/>
              <w:snapToGrid w:val="0"/>
              <w:rPr>
                <w:rFonts w:ascii="方正书宋_GBK" w:eastAsia="方正书宋_GBK"/>
              </w:rPr>
            </w:pPr>
            <w:r>
              <w:rPr>
                <w:rFonts w:hint="eastAsia" w:ascii="方正书宋_GBK" w:eastAsia="方正书宋_GBK"/>
              </w:rPr>
              <w:t>考核合格率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7" w:hRule="atLeast"/>
        </w:trPr>
        <w:tc>
          <w:tcPr>
            <w:tcW w:w="632" w:type="dxa"/>
            <w:vMerge w:val="continue"/>
            <w:vAlign w:val="center"/>
          </w:tcPr>
          <w:p/>
        </w:tc>
        <w:tc>
          <w:tcPr>
            <w:tcW w:w="934" w:type="dxa"/>
            <w:vAlign w:val="center"/>
          </w:tcPr>
          <w:p>
            <w:pPr>
              <w:widowControl/>
              <w:adjustRightInd w:val="0"/>
              <w:snapToGrid w:val="0"/>
              <w:jc w:val="center"/>
              <w:rPr>
                <w:rFonts w:ascii="方正书宋_GBK" w:eastAsia="方正书宋_GBK"/>
              </w:rPr>
            </w:pPr>
            <w:r>
              <w:rPr>
                <w:rFonts w:hint="eastAsia" w:ascii="方正书宋_GBK" w:eastAsia="方正书宋_GBK"/>
              </w:rPr>
              <w:t>质量</w:t>
            </w:r>
          </w:p>
        </w:tc>
        <w:tc>
          <w:tcPr>
            <w:tcW w:w="1398" w:type="dxa"/>
            <w:vAlign w:val="center"/>
          </w:tcPr>
          <w:p>
            <w:pPr>
              <w:widowControl/>
              <w:adjustRightInd w:val="0"/>
              <w:snapToGrid w:val="0"/>
              <w:rPr>
                <w:rFonts w:ascii="方正书宋_GBK" w:eastAsia="方正书宋_GBK"/>
              </w:rPr>
            </w:pPr>
            <w:r>
              <w:rPr>
                <w:rFonts w:hint="eastAsia" w:ascii="方正书宋_GBK" w:eastAsia="方正书宋_GBK"/>
              </w:rPr>
              <w:t>到位率</w:t>
            </w:r>
          </w:p>
        </w:tc>
        <w:tc>
          <w:tcPr>
            <w:tcW w:w="2079" w:type="dxa"/>
            <w:vAlign w:val="center"/>
          </w:tcPr>
          <w:p>
            <w:pPr>
              <w:widowControl/>
              <w:adjustRightInd w:val="0"/>
              <w:snapToGrid w:val="0"/>
              <w:rPr>
                <w:rFonts w:ascii="方正书宋_GBK" w:eastAsia="方正书宋_GBK"/>
              </w:rPr>
            </w:pPr>
            <w:r>
              <w:rPr>
                <w:rFonts w:hint="eastAsia" w:ascii="方正书宋_GBK" w:eastAsia="方正书宋_GBK"/>
              </w:rPr>
              <w:t>按资金使用</w:t>
            </w:r>
            <w:r>
              <w:rPr>
                <w:rFonts w:ascii="方正书宋_GBK" w:eastAsia="方正书宋_GBK"/>
              </w:rPr>
              <w:t>/</w:t>
            </w:r>
            <w:r>
              <w:rPr>
                <w:rFonts w:hint="eastAsia" w:ascii="方正书宋_GBK" w:eastAsia="方正书宋_GBK"/>
              </w:rPr>
              <w:t>发放情况</w:t>
            </w:r>
          </w:p>
        </w:tc>
        <w:tc>
          <w:tcPr>
            <w:tcW w:w="1680" w:type="dxa"/>
            <w:vAlign w:val="center"/>
          </w:tcPr>
          <w:p>
            <w:pPr>
              <w:widowControl/>
              <w:adjustRightInd w:val="0"/>
              <w:snapToGrid w:val="0"/>
              <w:jc w:val="center"/>
              <w:rPr>
                <w:rFonts w:ascii="方正书宋_GBK" w:eastAsia="方正书宋_GBK"/>
              </w:rPr>
            </w:pPr>
            <w:r>
              <w:rPr>
                <w:rFonts w:hint="eastAsia" w:ascii="方正书宋_GBK" w:eastAsia="方正书宋_GBK"/>
              </w:rPr>
              <w:t>社会保险补贴资金实际发放资金应发放资金总额</w:t>
            </w:r>
          </w:p>
        </w:tc>
        <w:tc>
          <w:tcPr>
            <w:tcW w:w="615" w:type="dxa"/>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552" w:type="dxa"/>
            <w:vAlign w:val="center"/>
          </w:tcPr>
          <w:p>
            <w:pPr>
              <w:widowControl/>
              <w:adjustRightInd w:val="0"/>
              <w:snapToGrid w:val="0"/>
              <w:jc w:val="center"/>
              <w:rPr>
                <w:rFonts w:ascii="方正书宋_GBK" w:eastAsia="方正书宋_GBK"/>
              </w:rPr>
            </w:pPr>
            <w:r>
              <w:rPr>
                <w:rFonts w:ascii="方正书宋_GBK" w:eastAsia="方正书宋_GBK"/>
              </w:rPr>
              <w:t>95</w:t>
            </w:r>
          </w:p>
        </w:tc>
        <w:tc>
          <w:tcPr>
            <w:tcW w:w="649" w:type="dxa"/>
            <w:vAlign w:val="center"/>
          </w:tcPr>
          <w:p>
            <w:pPr>
              <w:widowControl/>
              <w:adjustRightInd w:val="0"/>
              <w:snapToGrid w:val="0"/>
              <w:jc w:val="center"/>
              <w:rPr>
                <w:rFonts w:ascii="方正书宋_GBK" w:eastAsia="方正书宋_GBK"/>
              </w:rPr>
            </w:pPr>
            <w:r>
              <w:rPr>
                <w:rFonts w:ascii="方正书宋_GBK" w:eastAsia="方正书宋_GBK"/>
              </w:rPr>
              <w:t>%</w:t>
            </w:r>
          </w:p>
        </w:tc>
        <w:tc>
          <w:tcPr>
            <w:tcW w:w="1446" w:type="dxa"/>
            <w:vAlign w:val="center"/>
          </w:tcPr>
          <w:p>
            <w:pPr>
              <w:widowControl/>
              <w:adjustRightInd w:val="0"/>
              <w:snapToGrid w:val="0"/>
              <w:rPr>
                <w:rFonts w:ascii="方正书宋_GBK" w:eastAsia="方正书宋_GBK"/>
              </w:rPr>
            </w:pPr>
            <w:r>
              <w:rPr>
                <w:rFonts w:hint="eastAsia" w:ascii="方正书宋_GBK" w:eastAsia="方正书宋_GBK"/>
              </w:rPr>
              <w:t>资金发放情况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3" w:hRule="atLeast"/>
        </w:trPr>
        <w:tc>
          <w:tcPr>
            <w:tcW w:w="632" w:type="dxa"/>
            <w:vMerge w:val="continue"/>
            <w:vAlign w:val="center"/>
          </w:tcPr>
          <w:p>
            <w:r>
              <w:rPr>
                <w:rFonts w:hint="eastAsia"/>
              </w:rPr>
              <w:t>≥</w:t>
            </w:r>
          </w:p>
        </w:tc>
        <w:tc>
          <w:tcPr>
            <w:tcW w:w="934" w:type="dxa"/>
            <w:vAlign w:val="center"/>
          </w:tcPr>
          <w:p>
            <w:pPr>
              <w:widowControl/>
              <w:adjustRightInd w:val="0"/>
              <w:snapToGrid w:val="0"/>
              <w:jc w:val="center"/>
              <w:rPr>
                <w:rFonts w:ascii="方正书宋_GBK" w:eastAsia="方正书宋_GBK"/>
              </w:rPr>
            </w:pPr>
            <w:r>
              <w:rPr>
                <w:rFonts w:hint="eastAsia" w:ascii="方正书宋_GBK" w:eastAsia="方正书宋_GBK"/>
              </w:rPr>
              <w:t>时效</w:t>
            </w:r>
          </w:p>
        </w:tc>
        <w:tc>
          <w:tcPr>
            <w:tcW w:w="1398" w:type="dxa"/>
            <w:vAlign w:val="center"/>
          </w:tcPr>
          <w:p>
            <w:pPr>
              <w:widowControl/>
              <w:adjustRightInd w:val="0"/>
              <w:snapToGrid w:val="0"/>
              <w:rPr>
                <w:rFonts w:ascii="方正书宋_GBK" w:eastAsia="方正书宋_GBK"/>
              </w:rPr>
            </w:pPr>
            <w:r>
              <w:rPr>
                <w:rFonts w:hint="eastAsia" w:ascii="方正书宋_GBK" w:eastAsia="方正书宋_GBK"/>
              </w:rPr>
              <w:t>经费保障率（</w:t>
            </w:r>
            <w:r>
              <w:rPr>
                <w:rFonts w:ascii="方正书宋_GBK" w:eastAsia="方正书宋_GBK"/>
              </w:rPr>
              <w:t>%</w:t>
            </w:r>
            <w:r>
              <w:rPr>
                <w:rFonts w:hint="eastAsia" w:ascii="方正书宋_GBK" w:eastAsia="方正书宋_GBK"/>
              </w:rPr>
              <w:t>））</w:t>
            </w:r>
          </w:p>
        </w:tc>
        <w:tc>
          <w:tcPr>
            <w:tcW w:w="2079" w:type="dxa"/>
            <w:vAlign w:val="center"/>
          </w:tcPr>
          <w:p>
            <w:pPr>
              <w:widowControl/>
              <w:adjustRightInd w:val="0"/>
              <w:snapToGrid w:val="0"/>
              <w:rPr>
                <w:rFonts w:ascii="方正书宋_GBK" w:eastAsia="方正书宋_GBK"/>
              </w:rPr>
            </w:pPr>
            <w:r>
              <w:rPr>
                <w:rFonts w:hint="eastAsia" w:ascii="方正书宋_GBK" w:eastAsia="方正书宋_GBK"/>
              </w:rPr>
              <w:t>补贴按时发放</w:t>
            </w:r>
          </w:p>
        </w:tc>
        <w:tc>
          <w:tcPr>
            <w:tcW w:w="1680" w:type="dxa"/>
            <w:vAlign w:val="center"/>
          </w:tcPr>
          <w:p>
            <w:pPr>
              <w:widowControl/>
              <w:adjustRightInd w:val="0"/>
              <w:snapToGrid w:val="0"/>
              <w:rPr>
                <w:rFonts w:ascii="方正书宋_GBK" w:eastAsia="方正书宋_GBK"/>
              </w:rPr>
            </w:pPr>
            <w:r>
              <w:rPr>
                <w:rFonts w:hint="eastAsia" w:ascii="方正书宋_GBK" w:eastAsia="方正书宋_GBK"/>
              </w:rPr>
              <w:t>社会保险补贴资金按要求实际进度支付</w:t>
            </w:r>
          </w:p>
        </w:tc>
        <w:tc>
          <w:tcPr>
            <w:tcW w:w="615" w:type="dxa"/>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552" w:type="dxa"/>
            <w:vAlign w:val="center"/>
          </w:tcPr>
          <w:p>
            <w:pPr>
              <w:widowControl/>
              <w:adjustRightInd w:val="0"/>
              <w:snapToGrid w:val="0"/>
              <w:jc w:val="center"/>
              <w:rPr>
                <w:rFonts w:ascii="方正书宋_GBK" w:eastAsia="方正书宋_GBK"/>
              </w:rPr>
            </w:pPr>
          </w:p>
        </w:tc>
        <w:tc>
          <w:tcPr>
            <w:tcW w:w="649" w:type="dxa"/>
            <w:vAlign w:val="center"/>
          </w:tcPr>
          <w:p>
            <w:pPr>
              <w:widowControl/>
              <w:adjustRightInd w:val="0"/>
              <w:snapToGrid w:val="0"/>
              <w:jc w:val="center"/>
              <w:rPr>
                <w:rFonts w:ascii="方正书宋_GBK" w:eastAsia="方正书宋_GBK"/>
              </w:rPr>
            </w:pPr>
            <w:r>
              <w:rPr>
                <w:rFonts w:hint="eastAsia" w:ascii="方正书宋_GBK" w:eastAsia="方正书宋_GBK"/>
              </w:rPr>
              <w:t>按时发放</w:t>
            </w:r>
          </w:p>
        </w:tc>
        <w:tc>
          <w:tcPr>
            <w:tcW w:w="1446" w:type="dxa"/>
            <w:vAlign w:val="center"/>
          </w:tcPr>
          <w:p>
            <w:pPr>
              <w:widowControl/>
              <w:adjustRightInd w:val="0"/>
              <w:snapToGrid w:val="0"/>
              <w:rPr>
                <w:rFonts w:ascii="方正书宋_GBK" w:eastAsia="方正书宋_GBK"/>
              </w:rPr>
            </w:pPr>
            <w:r>
              <w:rPr>
                <w:rFonts w:hint="eastAsia" w:ascii="方正书宋_GBK" w:eastAsia="方正书宋_GBK"/>
              </w:rPr>
              <w:t>补贴按时发放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7" w:hRule="atLeast"/>
        </w:trPr>
        <w:tc>
          <w:tcPr>
            <w:tcW w:w="632" w:type="dxa"/>
            <w:vMerge w:val="continue"/>
            <w:vAlign w:val="center"/>
          </w:tcPr>
          <w:p/>
        </w:tc>
        <w:tc>
          <w:tcPr>
            <w:tcW w:w="934" w:type="dxa"/>
            <w:vAlign w:val="center"/>
          </w:tcPr>
          <w:p>
            <w:pPr>
              <w:widowControl/>
              <w:adjustRightInd w:val="0"/>
              <w:snapToGrid w:val="0"/>
              <w:jc w:val="center"/>
              <w:rPr>
                <w:rFonts w:ascii="方正书宋_GBK" w:eastAsia="方正书宋_GBK"/>
              </w:rPr>
            </w:pPr>
            <w:r>
              <w:rPr>
                <w:rFonts w:hint="eastAsia" w:ascii="方正书宋_GBK" w:eastAsia="方正书宋_GBK"/>
              </w:rPr>
              <w:t>成本</w:t>
            </w:r>
          </w:p>
        </w:tc>
        <w:tc>
          <w:tcPr>
            <w:tcW w:w="1398" w:type="dxa"/>
            <w:vAlign w:val="center"/>
          </w:tcPr>
          <w:p>
            <w:pPr>
              <w:widowControl/>
              <w:adjustRightInd w:val="0"/>
              <w:snapToGrid w:val="0"/>
              <w:rPr>
                <w:rFonts w:ascii="方正书宋_GBK" w:eastAsia="方正书宋_GBK"/>
              </w:rPr>
            </w:pPr>
          </w:p>
        </w:tc>
        <w:tc>
          <w:tcPr>
            <w:tcW w:w="2079" w:type="dxa"/>
            <w:vAlign w:val="center"/>
          </w:tcPr>
          <w:p>
            <w:pPr>
              <w:widowControl/>
              <w:adjustRightInd w:val="0"/>
              <w:snapToGrid w:val="0"/>
              <w:rPr>
                <w:rFonts w:ascii="方正书宋_GBK" w:eastAsia="方正书宋_GBK"/>
              </w:rPr>
            </w:pPr>
          </w:p>
        </w:tc>
        <w:tc>
          <w:tcPr>
            <w:tcW w:w="1680" w:type="dxa"/>
            <w:vAlign w:val="center"/>
          </w:tcPr>
          <w:p>
            <w:pPr>
              <w:widowControl/>
              <w:adjustRightInd w:val="0"/>
              <w:snapToGrid w:val="0"/>
              <w:rPr>
                <w:rFonts w:ascii="方正书宋_GBK" w:eastAsia="方正书宋_GBK"/>
              </w:rPr>
            </w:pPr>
          </w:p>
        </w:tc>
        <w:tc>
          <w:tcPr>
            <w:tcW w:w="615" w:type="dxa"/>
            <w:vAlign w:val="center"/>
          </w:tcPr>
          <w:p>
            <w:pPr>
              <w:widowControl/>
              <w:adjustRightInd w:val="0"/>
              <w:snapToGrid w:val="0"/>
              <w:jc w:val="center"/>
              <w:rPr>
                <w:rFonts w:ascii="方正书宋_GBK" w:eastAsia="方正书宋_GBK"/>
              </w:rPr>
            </w:pPr>
          </w:p>
        </w:tc>
        <w:tc>
          <w:tcPr>
            <w:tcW w:w="552" w:type="dxa"/>
            <w:vAlign w:val="center"/>
          </w:tcPr>
          <w:p>
            <w:pPr>
              <w:widowControl/>
              <w:adjustRightInd w:val="0"/>
              <w:snapToGrid w:val="0"/>
              <w:jc w:val="center"/>
              <w:rPr>
                <w:rFonts w:ascii="方正书宋_GBK" w:eastAsia="方正书宋_GBK"/>
              </w:rPr>
            </w:pPr>
          </w:p>
        </w:tc>
        <w:tc>
          <w:tcPr>
            <w:tcW w:w="649" w:type="dxa"/>
            <w:vAlign w:val="center"/>
          </w:tcPr>
          <w:p>
            <w:pPr>
              <w:widowControl/>
              <w:adjustRightInd w:val="0"/>
              <w:snapToGrid w:val="0"/>
              <w:jc w:val="center"/>
              <w:rPr>
                <w:rFonts w:ascii="方正书宋_GBK" w:eastAsia="方正书宋_GBK"/>
              </w:rPr>
            </w:pPr>
          </w:p>
        </w:tc>
        <w:tc>
          <w:tcPr>
            <w:tcW w:w="1446" w:type="dxa"/>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7" w:hRule="atLeast"/>
        </w:trPr>
        <w:tc>
          <w:tcPr>
            <w:tcW w:w="632" w:type="dxa"/>
            <w:vMerge w:val="restart"/>
            <w:vAlign w:val="center"/>
          </w:tcPr>
          <w:p>
            <w:pPr>
              <w:adjustRightInd w:val="0"/>
              <w:snapToGrid w:val="0"/>
              <w:jc w:val="center"/>
              <w:rPr>
                <w:rFonts w:ascii="方正书宋_GBK" w:eastAsia="方正书宋_GBK"/>
              </w:rPr>
            </w:pPr>
            <w:r>
              <w:rPr>
                <w:rFonts w:hint="eastAsia" w:ascii="方正书宋_GBK" w:eastAsia="方正书宋_GBK"/>
              </w:rPr>
              <w:t>部门效果</w:t>
            </w:r>
          </w:p>
        </w:tc>
        <w:tc>
          <w:tcPr>
            <w:tcW w:w="934" w:type="dxa"/>
            <w:vAlign w:val="center"/>
          </w:tcPr>
          <w:p>
            <w:pPr>
              <w:widowControl/>
              <w:adjustRightInd w:val="0"/>
              <w:snapToGrid w:val="0"/>
              <w:jc w:val="center"/>
              <w:rPr>
                <w:rFonts w:ascii="方正书宋_GBK" w:eastAsia="方正书宋_GBK"/>
              </w:rPr>
            </w:pPr>
            <w:r>
              <w:rPr>
                <w:rFonts w:hint="eastAsia" w:ascii="方正书宋_GBK" w:eastAsia="方正书宋_GBK"/>
              </w:rPr>
              <w:t>社会</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1398" w:type="dxa"/>
            <w:vAlign w:val="center"/>
          </w:tcPr>
          <w:p>
            <w:pPr>
              <w:widowControl/>
              <w:adjustRightInd w:val="0"/>
              <w:snapToGrid w:val="0"/>
              <w:rPr>
                <w:rFonts w:ascii="方正书宋_GBK" w:eastAsia="方正书宋_GBK"/>
              </w:rPr>
            </w:pPr>
            <w:r>
              <w:rPr>
                <w:rFonts w:hint="eastAsia" w:ascii="方正书宋_GBK" w:eastAsia="方正书宋_GBK"/>
              </w:rPr>
              <w:t>思想政治工作稳步提升</w:t>
            </w:r>
          </w:p>
        </w:tc>
        <w:tc>
          <w:tcPr>
            <w:tcW w:w="2079" w:type="dxa"/>
            <w:vAlign w:val="center"/>
          </w:tcPr>
          <w:p>
            <w:pPr>
              <w:widowControl/>
              <w:adjustRightInd w:val="0"/>
              <w:snapToGrid w:val="0"/>
              <w:rPr>
                <w:rFonts w:ascii="方正书宋_GBK" w:eastAsia="方正书宋_GBK"/>
              </w:rPr>
            </w:pPr>
            <w:r>
              <w:rPr>
                <w:rFonts w:hint="eastAsia" w:ascii="方正书宋_GBK" w:eastAsia="方正书宋_GBK"/>
              </w:rPr>
              <w:t>历史水平</w:t>
            </w:r>
          </w:p>
        </w:tc>
        <w:tc>
          <w:tcPr>
            <w:tcW w:w="1680" w:type="dxa"/>
            <w:vAlign w:val="center"/>
          </w:tcPr>
          <w:p>
            <w:pPr>
              <w:widowControl/>
              <w:adjustRightInd w:val="0"/>
              <w:snapToGrid w:val="0"/>
              <w:rPr>
                <w:rFonts w:ascii="方正书宋_GBK" w:eastAsia="方正书宋_GBK"/>
              </w:rPr>
            </w:pPr>
          </w:p>
          <w:p>
            <w:pPr>
              <w:ind w:firstLine="394"/>
              <w:jc w:val="left"/>
            </w:pPr>
            <w:r>
              <w:rPr>
                <w:rFonts w:hint="eastAsia"/>
              </w:rPr>
              <w:t>抓工作实效，创新突破</w:t>
            </w:r>
          </w:p>
        </w:tc>
        <w:tc>
          <w:tcPr>
            <w:tcW w:w="615" w:type="dxa"/>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552" w:type="dxa"/>
            <w:vAlign w:val="center"/>
          </w:tcPr>
          <w:p>
            <w:pPr>
              <w:widowControl/>
              <w:adjustRightInd w:val="0"/>
              <w:snapToGrid w:val="0"/>
              <w:jc w:val="center"/>
              <w:rPr>
                <w:rFonts w:ascii="方正书宋_GBK" w:eastAsia="方正书宋_GBK"/>
              </w:rPr>
            </w:pPr>
          </w:p>
        </w:tc>
        <w:tc>
          <w:tcPr>
            <w:tcW w:w="649" w:type="dxa"/>
            <w:vAlign w:val="center"/>
          </w:tcPr>
          <w:p>
            <w:pPr>
              <w:widowControl/>
              <w:adjustRightInd w:val="0"/>
              <w:snapToGrid w:val="0"/>
              <w:jc w:val="center"/>
              <w:rPr>
                <w:rFonts w:ascii="方正书宋_GBK" w:eastAsia="方正书宋_GBK"/>
              </w:rPr>
            </w:pPr>
          </w:p>
        </w:tc>
        <w:tc>
          <w:tcPr>
            <w:tcW w:w="1446" w:type="dxa"/>
            <w:vAlign w:val="center"/>
          </w:tcPr>
          <w:p>
            <w:pPr>
              <w:widowControl/>
              <w:adjustRightInd w:val="0"/>
              <w:snapToGrid w:val="0"/>
              <w:rPr>
                <w:rFonts w:ascii="方正书宋_GBK" w:eastAsia="方正书宋_GBK"/>
              </w:rPr>
            </w:pPr>
            <w:r>
              <w:rPr>
                <w:rFonts w:hint="eastAsia" w:ascii="方正书宋_GBK" w:eastAsia="方正书宋_GBK"/>
              </w:rPr>
              <w:t>街区干部思想政治稳步提升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7" w:hRule="atLeast"/>
        </w:trPr>
        <w:tc>
          <w:tcPr>
            <w:tcW w:w="632" w:type="dxa"/>
            <w:vMerge w:val="continue"/>
            <w:vAlign w:val="center"/>
          </w:tcPr>
          <w:p/>
        </w:tc>
        <w:tc>
          <w:tcPr>
            <w:tcW w:w="934" w:type="dxa"/>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1398" w:type="dxa"/>
            <w:vAlign w:val="center"/>
          </w:tcPr>
          <w:p>
            <w:pPr>
              <w:widowControl/>
              <w:adjustRightInd w:val="0"/>
              <w:snapToGrid w:val="0"/>
              <w:rPr>
                <w:rFonts w:ascii="方正书宋_GBK" w:eastAsia="方正书宋_GBK"/>
              </w:rPr>
            </w:pPr>
          </w:p>
        </w:tc>
        <w:tc>
          <w:tcPr>
            <w:tcW w:w="2079" w:type="dxa"/>
            <w:vAlign w:val="center"/>
          </w:tcPr>
          <w:p>
            <w:pPr>
              <w:widowControl/>
              <w:adjustRightInd w:val="0"/>
              <w:snapToGrid w:val="0"/>
              <w:rPr>
                <w:rFonts w:ascii="方正书宋_GBK" w:eastAsia="方正书宋_GBK"/>
              </w:rPr>
            </w:pPr>
          </w:p>
        </w:tc>
        <w:tc>
          <w:tcPr>
            <w:tcW w:w="1680" w:type="dxa"/>
            <w:vAlign w:val="center"/>
          </w:tcPr>
          <w:p>
            <w:pPr>
              <w:widowControl/>
              <w:adjustRightInd w:val="0"/>
              <w:snapToGrid w:val="0"/>
              <w:rPr>
                <w:rFonts w:ascii="方正书宋_GBK" w:eastAsia="方正书宋_GBK"/>
              </w:rPr>
            </w:pPr>
          </w:p>
        </w:tc>
        <w:tc>
          <w:tcPr>
            <w:tcW w:w="615" w:type="dxa"/>
            <w:vAlign w:val="center"/>
          </w:tcPr>
          <w:p>
            <w:pPr>
              <w:widowControl/>
              <w:adjustRightInd w:val="0"/>
              <w:snapToGrid w:val="0"/>
              <w:rPr>
                <w:rFonts w:ascii="方正书宋_GBK" w:eastAsia="方正书宋_GBK"/>
              </w:rPr>
            </w:pPr>
          </w:p>
        </w:tc>
        <w:tc>
          <w:tcPr>
            <w:tcW w:w="552" w:type="dxa"/>
            <w:vAlign w:val="center"/>
          </w:tcPr>
          <w:p>
            <w:pPr>
              <w:widowControl/>
              <w:adjustRightInd w:val="0"/>
              <w:snapToGrid w:val="0"/>
              <w:rPr>
                <w:rFonts w:ascii="方正书宋_GBK" w:eastAsia="方正书宋_GBK"/>
              </w:rPr>
            </w:pPr>
          </w:p>
        </w:tc>
        <w:tc>
          <w:tcPr>
            <w:tcW w:w="649" w:type="dxa"/>
            <w:vAlign w:val="center"/>
          </w:tcPr>
          <w:p>
            <w:pPr>
              <w:widowControl/>
              <w:adjustRightInd w:val="0"/>
              <w:snapToGrid w:val="0"/>
              <w:rPr>
                <w:rFonts w:ascii="方正书宋_GBK" w:eastAsia="方正书宋_GBK"/>
              </w:rPr>
            </w:pPr>
          </w:p>
        </w:tc>
        <w:tc>
          <w:tcPr>
            <w:tcW w:w="1446" w:type="dxa"/>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7" w:hRule="atLeast"/>
        </w:trPr>
        <w:tc>
          <w:tcPr>
            <w:tcW w:w="632" w:type="dxa"/>
            <w:vMerge w:val="continue"/>
            <w:vAlign w:val="center"/>
          </w:tcPr>
          <w:p/>
        </w:tc>
        <w:tc>
          <w:tcPr>
            <w:tcW w:w="934" w:type="dxa"/>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1398" w:type="dxa"/>
            <w:vAlign w:val="center"/>
          </w:tcPr>
          <w:p>
            <w:pPr>
              <w:widowControl/>
              <w:adjustRightInd w:val="0"/>
              <w:snapToGrid w:val="0"/>
              <w:rPr>
                <w:rFonts w:ascii="方正书宋_GBK" w:eastAsia="方正书宋_GBK"/>
              </w:rPr>
            </w:pPr>
          </w:p>
        </w:tc>
        <w:tc>
          <w:tcPr>
            <w:tcW w:w="2079" w:type="dxa"/>
            <w:vAlign w:val="center"/>
          </w:tcPr>
          <w:p>
            <w:pPr>
              <w:widowControl/>
              <w:adjustRightInd w:val="0"/>
              <w:snapToGrid w:val="0"/>
              <w:rPr>
                <w:rFonts w:ascii="方正书宋_GBK" w:eastAsia="方正书宋_GBK"/>
              </w:rPr>
            </w:pPr>
          </w:p>
        </w:tc>
        <w:tc>
          <w:tcPr>
            <w:tcW w:w="1680" w:type="dxa"/>
            <w:vAlign w:val="center"/>
          </w:tcPr>
          <w:p>
            <w:pPr>
              <w:widowControl/>
              <w:adjustRightInd w:val="0"/>
              <w:snapToGrid w:val="0"/>
              <w:rPr>
                <w:rFonts w:ascii="方正书宋_GBK" w:eastAsia="方正书宋_GBK"/>
              </w:rPr>
            </w:pPr>
          </w:p>
        </w:tc>
        <w:tc>
          <w:tcPr>
            <w:tcW w:w="615" w:type="dxa"/>
            <w:vAlign w:val="center"/>
          </w:tcPr>
          <w:p>
            <w:pPr>
              <w:widowControl/>
              <w:adjustRightInd w:val="0"/>
              <w:snapToGrid w:val="0"/>
              <w:rPr>
                <w:rFonts w:ascii="方正书宋_GBK" w:eastAsia="方正书宋_GBK"/>
              </w:rPr>
            </w:pPr>
          </w:p>
        </w:tc>
        <w:tc>
          <w:tcPr>
            <w:tcW w:w="552" w:type="dxa"/>
            <w:vAlign w:val="center"/>
          </w:tcPr>
          <w:p>
            <w:pPr>
              <w:widowControl/>
              <w:adjustRightInd w:val="0"/>
              <w:snapToGrid w:val="0"/>
              <w:rPr>
                <w:rFonts w:ascii="方正书宋_GBK" w:eastAsia="方正书宋_GBK"/>
              </w:rPr>
            </w:pPr>
          </w:p>
        </w:tc>
        <w:tc>
          <w:tcPr>
            <w:tcW w:w="649" w:type="dxa"/>
            <w:vAlign w:val="center"/>
          </w:tcPr>
          <w:p>
            <w:pPr>
              <w:widowControl/>
              <w:adjustRightInd w:val="0"/>
              <w:snapToGrid w:val="0"/>
              <w:rPr>
                <w:rFonts w:ascii="方正书宋_GBK" w:eastAsia="方正书宋_GBK"/>
              </w:rPr>
            </w:pPr>
          </w:p>
        </w:tc>
        <w:tc>
          <w:tcPr>
            <w:tcW w:w="1446" w:type="dxa"/>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62" w:hRule="atLeast"/>
        </w:trPr>
        <w:tc>
          <w:tcPr>
            <w:tcW w:w="632" w:type="dxa"/>
            <w:vMerge w:val="continue"/>
            <w:vAlign w:val="center"/>
          </w:tcPr>
          <w:p/>
        </w:tc>
        <w:tc>
          <w:tcPr>
            <w:tcW w:w="934" w:type="dxa"/>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1398" w:type="dxa"/>
            <w:vAlign w:val="center"/>
          </w:tcPr>
          <w:p>
            <w:pPr>
              <w:widowControl/>
              <w:adjustRightInd w:val="0"/>
              <w:snapToGrid w:val="0"/>
              <w:rPr>
                <w:rFonts w:ascii="方正书宋_GBK" w:eastAsia="方正书宋_GBK"/>
              </w:rPr>
            </w:pPr>
          </w:p>
        </w:tc>
        <w:tc>
          <w:tcPr>
            <w:tcW w:w="2079" w:type="dxa"/>
            <w:vAlign w:val="center"/>
          </w:tcPr>
          <w:p>
            <w:pPr>
              <w:widowControl/>
              <w:adjustRightInd w:val="0"/>
              <w:snapToGrid w:val="0"/>
              <w:rPr>
                <w:rFonts w:ascii="方正书宋_GBK" w:eastAsia="方正书宋_GBK"/>
              </w:rPr>
            </w:pPr>
          </w:p>
        </w:tc>
        <w:tc>
          <w:tcPr>
            <w:tcW w:w="1680" w:type="dxa"/>
            <w:vAlign w:val="center"/>
          </w:tcPr>
          <w:p>
            <w:pPr>
              <w:widowControl/>
              <w:adjustRightInd w:val="0"/>
              <w:snapToGrid w:val="0"/>
              <w:rPr>
                <w:rFonts w:ascii="方正书宋_GBK" w:eastAsia="方正书宋_GBK"/>
              </w:rPr>
            </w:pPr>
          </w:p>
        </w:tc>
        <w:tc>
          <w:tcPr>
            <w:tcW w:w="615" w:type="dxa"/>
            <w:vAlign w:val="center"/>
          </w:tcPr>
          <w:p>
            <w:pPr>
              <w:widowControl/>
              <w:adjustRightInd w:val="0"/>
              <w:snapToGrid w:val="0"/>
              <w:jc w:val="center"/>
              <w:rPr>
                <w:rFonts w:ascii="方正书宋_GBK" w:eastAsia="方正书宋_GBK"/>
              </w:rPr>
            </w:pPr>
          </w:p>
        </w:tc>
        <w:tc>
          <w:tcPr>
            <w:tcW w:w="552" w:type="dxa"/>
            <w:vAlign w:val="center"/>
          </w:tcPr>
          <w:p>
            <w:pPr>
              <w:widowControl/>
              <w:adjustRightInd w:val="0"/>
              <w:snapToGrid w:val="0"/>
              <w:jc w:val="center"/>
              <w:rPr>
                <w:rFonts w:ascii="方正书宋_GBK" w:eastAsia="方正书宋_GBK"/>
              </w:rPr>
            </w:pPr>
          </w:p>
        </w:tc>
        <w:tc>
          <w:tcPr>
            <w:tcW w:w="649" w:type="dxa"/>
            <w:vAlign w:val="center"/>
          </w:tcPr>
          <w:p>
            <w:pPr>
              <w:widowControl/>
              <w:adjustRightInd w:val="0"/>
              <w:snapToGrid w:val="0"/>
              <w:jc w:val="center"/>
              <w:rPr>
                <w:rFonts w:ascii="方正书宋_GBK" w:eastAsia="方正书宋_GBK"/>
              </w:rPr>
            </w:pPr>
          </w:p>
        </w:tc>
        <w:tc>
          <w:tcPr>
            <w:tcW w:w="1446" w:type="dxa"/>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8" w:hRule="atLeast"/>
        </w:trPr>
        <w:tc>
          <w:tcPr>
            <w:tcW w:w="632" w:type="dxa"/>
            <w:vMerge w:val="continue"/>
            <w:vAlign w:val="center"/>
          </w:tcPr>
          <w:p/>
        </w:tc>
        <w:tc>
          <w:tcPr>
            <w:tcW w:w="934" w:type="dxa"/>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398" w:type="dxa"/>
            <w:vAlign w:val="center"/>
          </w:tcPr>
          <w:p>
            <w:pPr>
              <w:widowControl/>
              <w:adjustRightInd w:val="0"/>
              <w:snapToGrid w:val="0"/>
              <w:rPr>
                <w:rFonts w:ascii="方正书宋_GBK" w:eastAsia="方正书宋_GBK"/>
              </w:rPr>
            </w:pPr>
            <w:r>
              <w:rPr>
                <w:rFonts w:hint="eastAsia" w:ascii="方正书宋_GBK" w:eastAsia="方正书宋_GBK"/>
              </w:rPr>
              <w:t>工作人员对办公条件满意度</w:t>
            </w:r>
          </w:p>
        </w:tc>
        <w:tc>
          <w:tcPr>
            <w:tcW w:w="2079" w:type="dxa"/>
            <w:vAlign w:val="center"/>
          </w:tcPr>
          <w:p>
            <w:pPr>
              <w:widowControl/>
              <w:adjustRightInd w:val="0"/>
              <w:snapToGrid w:val="0"/>
              <w:rPr>
                <w:rFonts w:ascii="方正书宋_GBK" w:eastAsia="方正书宋_GBK"/>
              </w:rPr>
            </w:pPr>
            <w:r>
              <w:rPr>
                <w:rFonts w:hint="eastAsia" w:ascii="方正书宋_GBK" w:eastAsia="方正书宋_GBK"/>
              </w:rPr>
              <w:t>问卷调查</w:t>
            </w:r>
          </w:p>
        </w:tc>
        <w:tc>
          <w:tcPr>
            <w:tcW w:w="1680" w:type="dxa"/>
            <w:vAlign w:val="center"/>
          </w:tcPr>
          <w:p>
            <w:pPr>
              <w:widowControl/>
              <w:adjustRightInd w:val="0"/>
              <w:snapToGrid w:val="0"/>
              <w:ind w:firstLine="314"/>
              <w:rPr>
                <w:rFonts w:ascii="方正书宋_GBK" w:eastAsia="方正书宋_GBK"/>
              </w:rPr>
            </w:pPr>
            <w:r>
              <w:rPr>
                <w:rFonts w:hint="eastAsia" w:ascii="方正书宋_GBK" w:eastAsia="方正书宋_GBK"/>
              </w:rPr>
              <w:t>机关工作人员对办公条件满意度</w:t>
            </w:r>
          </w:p>
        </w:tc>
        <w:tc>
          <w:tcPr>
            <w:tcW w:w="615" w:type="dxa"/>
            <w:vAlign w:val="center"/>
          </w:tcPr>
          <w:p>
            <w:pPr>
              <w:widowControl/>
              <w:adjustRightInd w:val="0"/>
              <w:snapToGrid w:val="0"/>
              <w:rPr>
                <w:rFonts w:ascii="方正书宋_GBK" w:eastAsia="方正书宋_GBK"/>
              </w:rPr>
            </w:pPr>
            <w:r>
              <w:rPr>
                <w:rFonts w:hint="eastAsia" w:ascii="方正书宋_GBK" w:eastAsia="方正书宋_GBK"/>
              </w:rPr>
              <w:t>≥</w:t>
            </w:r>
          </w:p>
        </w:tc>
        <w:tc>
          <w:tcPr>
            <w:tcW w:w="552" w:type="dxa"/>
            <w:vAlign w:val="center"/>
          </w:tcPr>
          <w:p>
            <w:pPr>
              <w:widowControl/>
              <w:adjustRightInd w:val="0"/>
              <w:snapToGrid w:val="0"/>
              <w:rPr>
                <w:rFonts w:ascii="方正书宋_GBK" w:eastAsia="方正书宋_GBK"/>
              </w:rPr>
            </w:pPr>
            <w:r>
              <w:rPr>
                <w:rFonts w:ascii="方正书宋_GBK" w:eastAsia="方正书宋_GBK"/>
              </w:rPr>
              <w:t>90</w:t>
            </w:r>
          </w:p>
        </w:tc>
        <w:tc>
          <w:tcPr>
            <w:tcW w:w="649" w:type="dxa"/>
            <w:vAlign w:val="center"/>
          </w:tcPr>
          <w:p>
            <w:pPr>
              <w:widowControl/>
              <w:adjustRightInd w:val="0"/>
              <w:snapToGrid w:val="0"/>
              <w:rPr>
                <w:rFonts w:ascii="方正书宋_GBK" w:eastAsia="方正书宋_GBK"/>
              </w:rPr>
            </w:pPr>
            <w:r>
              <w:rPr>
                <w:rFonts w:ascii="方正书宋_GBK" w:eastAsia="方正书宋_GBK"/>
              </w:rPr>
              <w:t>%</w:t>
            </w:r>
          </w:p>
        </w:tc>
        <w:tc>
          <w:tcPr>
            <w:tcW w:w="1446" w:type="dxa"/>
            <w:vAlign w:val="center"/>
          </w:tcPr>
          <w:p>
            <w:pPr>
              <w:widowControl/>
              <w:adjustRightInd w:val="0"/>
              <w:snapToGrid w:val="0"/>
              <w:rPr>
                <w:rFonts w:ascii="方正书宋_GBK" w:eastAsia="方正书宋_GBK"/>
              </w:rPr>
            </w:pPr>
            <w:r>
              <w:rPr>
                <w:rFonts w:hint="eastAsia" w:ascii="方正书宋_GBK" w:eastAsia="方正书宋_GBK"/>
              </w:rPr>
              <w:t>机关工作人员满意度</w:t>
            </w:r>
          </w:p>
        </w:tc>
      </w:tr>
    </w:tbl>
    <w:p>
      <w:pPr>
        <w:spacing w:line="584" w:lineRule="exact"/>
        <w:rPr>
          <w:rFonts w:ascii="??_GB2312" w:eastAsia="Times New Roman" w:cs="Times New Roman"/>
          <w:sz w:val="32"/>
          <w:szCs w:val="32"/>
        </w:rPr>
      </w:pPr>
    </w:p>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资金绩效目标</w:t>
      </w:r>
    </w:p>
    <w:p>
      <w:pPr>
        <w:ind w:firstLine="640" w:firstLineChars="200"/>
        <w:jc w:val="left"/>
        <w:outlineLvl w:val="3"/>
        <w:rPr>
          <w:rFonts w:ascii="仿宋" w:hAnsi="仿宋" w:eastAsia="仿宋" w:cs="仿宋"/>
          <w:sz w:val="32"/>
          <w:szCs w:val="32"/>
        </w:rPr>
      </w:pPr>
      <w:r>
        <w:rPr>
          <w:rFonts w:hint="eastAsia" w:ascii="仿宋" w:hAnsi="仿宋" w:eastAsia="仿宋" w:cs="仿宋"/>
          <w:sz w:val="32"/>
          <w:szCs w:val="32"/>
        </w:rPr>
        <w:t>1.社区招聘人员经费绩效目标表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b/>
              </w:rPr>
            </w:pPr>
            <w:r>
              <w:rPr>
                <w:rFonts w:ascii="方正书宋_GBK" w:eastAsia="方正书宋_GBK"/>
              </w:rPr>
              <w:t>1.</w:t>
            </w:r>
            <w:r>
              <w:rPr>
                <w:rFonts w:hint="eastAsia" w:ascii="方正书宋_GBK" w:eastAsia="方正书宋_GBK"/>
              </w:rPr>
              <w:t>按时发放工资</w:t>
            </w:r>
            <w:r>
              <w:rPr>
                <w:rFonts w:ascii="方正书宋_GBK" w:eastAsia="方正书宋_GBK"/>
              </w:rPr>
              <w:t>2.</w:t>
            </w:r>
            <w:r>
              <w:rPr>
                <w:rFonts w:hint="eastAsia" w:ascii="方正书宋_GBK" w:eastAsia="方正书宋_GBK"/>
              </w:rPr>
              <w:t>及时缴纳各类保险</w:t>
            </w:r>
            <w:r>
              <w:rPr>
                <w:rFonts w:ascii="方正书宋_GBK" w:eastAsia="方正书宋_GBK"/>
              </w:rPr>
              <w:t>3.</w:t>
            </w:r>
            <w:r>
              <w:rPr>
                <w:rFonts w:hint="eastAsia" w:ascii="方正书宋_GBK" w:eastAsia="方正书宋_GBK"/>
              </w:rPr>
              <w:t>促进社区建设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409" w:type="dxa"/>
            <w:vMerge w:val="restart"/>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发放人数</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享受待遇人数</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84人</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（冀组字【2020】9号）、（廊组字【2020】48号）、（廊广组字【2020】18号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发放完成率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足额发放工资比例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（冀组字【2020】9号）、（廊组字【2020】48号）、（廊广组字【2020】18号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资金成本</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资金成本</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671.73万元</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（冀组字【2020】9号）、（廊组字【2020】48号）、（廊广组字【2020】18号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p>
        </w:tc>
        <w:tc>
          <w:tcPr>
            <w:tcW w:w="1985" w:type="dxa"/>
            <w:shd w:val="clear" w:color="auto" w:fill="auto"/>
            <w:vAlign w:val="center"/>
          </w:tcPr>
          <w:p>
            <w:pPr>
              <w:spacing w:line="300" w:lineRule="exact"/>
              <w:jc w:val="left"/>
              <w:rPr>
                <w:rFonts w:ascii="Times New Roman" w:hAnsi="Times New Roman" w:eastAsia="仿宋_GB2312" w:cs="Times New Roman"/>
              </w:rPr>
            </w:pPr>
          </w:p>
        </w:tc>
        <w:tc>
          <w:tcPr>
            <w:tcW w:w="3402" w:type="dxa"/>
            <w:shd w:val="clear" w:color="auto" w:fill="auto"/>
            <w:vAlign w:val="center"/>
          </w:tcPr>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可持续影响指标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基本公共服务水平</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基本公共服务水平</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服务水平不断提高</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（冀组字【2020】9号）、（廊组字【2020】48号）、（廊广组字【2020】18号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p>
        </w:tc>
        <w:tc>
          <w:tcPr>
            <w:tcW w:w="1985" w:type="dxa"/>
            <w:shd w:val="clear" w:color="auto" w:fill="auto"/>
            <w:vAlign w:val="center"/>
          </w:tcPr>
          <w:p>
            <w:pPr>
              <w:spacing w:line="300" w:lineRule="exact"/>
              <w:jc w:val="left"/>
              <w:rPr>
                <w:rFonts w:ascii="Times New Roman" w:hAnsi="Times New Roman" w:eastAsia="仿宋_GB2312" w:cs="Times New Roman"/>
              </w:rPr>
            </w:pPr>
          </w:p>
        </w:tc>
        <w:tc>
          <w:tcPr>
            <w:tcW w:w="3402" w:type="dxa"/>
            <w:shd w:val="clear" w:color="auto" w:fill="auto"/>
            <w:vAlign w:val="center"/>
          </w:tcPr>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（冀组字【2020】9号）、（廊组字【2020】48号）、（廊广组字【2020】18号</w:t>
            </w:r>
          </w:p>
        </w:tc>
      </w:tr>
    </w:tbl>
    <w:p>
      <w:pPr>
        <w:ind w:firstLine="640" w:firstLineChars="200"/>
        <w:jc w:val="left"/>
        <w:outlineLvl w:val="3"/>
        <w:rPr>
          <w:rFonts w:ascii="仿宋" w:hAnsi="仿宋" w:eastAsia="仿宋" w:cs="仿宋"/>
          <w:sz w:val="32"/>
          <w:szCs w:val="32"/>
        </w:rPr>
      </w:pPr>
    </w:p>
    <w:p>
      <w:pPr>
        <w:spacing w:line="14" w:lineRule="exact"/>
        <w:jc w:val="center"/>
        <w:rPr>
          <w:rFonts w:ascii="Times New Roman" w:hAnsi="宋体"/>
        </w:rPr>
      </w:pPr>
      <w:r>
        <w:rPr>
          <w:rFonts w:ascii="方正书宋_GBK" w:eastAsia="方正书宋_GBK"/>
        </w:rPr>
        <w:t xml:space="preserve"> </w:t>
      </w:r>
    </w:p>
    <w:p>
      <w:pPr>
        <w:spacing w:line="300" w:lineRule="exact"/>
        <w:jc w:val="left"/>
        <w:sectPr>
          <w:pgSz w:w="16839" w:h="11907" w:orient="landscape"/>
          <w:pgMar w:top="1304" w:right="1984" w:bottom="1304" w:left="1134" w:header="851" w:footer="992" w:gutter="0"/>
          <w:cols w:space="720" w:num="1"/>
          <w:docGrid w:type="lines" w:linePitch="312" w:charSpace="0"/>
        </w:sectPr>
      </w:pPr>
    </w:p>
    <w:p>
      <w:pPr>
        <w:numPr>
          <w:ilvl w:val="0"/>
          <w:numId w:val="1"/>
        </w:numPr>
        <w:ind w:firstLine="562" w:firstLineChars="200"/>
        <w:jc w:val="left"/>
        <w:outlineLvl w:val="1"/>
        <w:rPr>
          <w:rFonts w:ascii="方正仿宋_GBK" w:eastAsia="方正仿宋_GBK"/>
          <w:b/>
          <w:sz w:val="28"/>
        </w:rPr>
      </w:pPr>
      <w:r>
        <w:rPr>
          <w:rFonts w:hint="eastAsia" w:ascii="方正仿宋_GBK" w:eastAsia="方正仿宋_GBK"/>
          <w:b/>
          <w:sz w:val="28"/>
        </w:rPr>
        <w:t>社区招聘人员经费（专款）绩效目标表</w:t>
      </w:r>
    </w:p>
    <w:tbl>
      <w:tblPr>
        <w:tblStyle w:val="8"/>
        <w:tblpPr w:leftFromText="180" w:rightFromText="180" w:vertAnchor="text" w:horzAnchor="page" w:tblpX="1493" w:tblpY="16"/>
        <w:tblOverlap w:val="never"/>
        <w:tblW w:w="140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1.按时按标准发放工资福利等，进一步增强干部职工得归属感，保持干部队伍相对稳定，保障办公正常运转</w:t>
            </w:r>
          </w:p>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2.工资（福利）、社会保障（养老保险等）等发放（缴纳）标准</w:t>
            </w:r>
          </w:p>
          <w:p>
            <w:pPr>
              <w:spacing w:line="300" w:lineRule="exact"/>
              <w:jc w:val="left"/>
              <w:rPr>
                <w:rFonts w:ascii="Times New Roman" w:hAnsi="Times New Roman" w:eastAsia="仿宋_GB2312" w:cs="Times New Roman"/>
                <w:b/>
              </w:rPr>
            </w:pPr>
            <w:r>
              <w:rPr>
                <w:rFonts w:hint="eastAsia" w:ascii="Times New Roman" w:hAnsi="Times New Roman" w:eastAsia="仿宋_GB2312" w:cs="Times New Roman"/>
              </w:rPr>
              <w:t>3.加强工作人员归属感，保持干部队伍稳定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保障人数</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保障人数</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≤84人</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廊广财社（2021）1号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工资(福利)等发放精准性</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工资福利等发放人员范围的精准性和发放数据的准确性</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廊广财社（2021）1号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实效指标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工资(福利)发放及时性</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工资福利等发放的时效情</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廊广财社（2021）1号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p>
        </w:tc>
        <w:tc>
          <w:tcPr>
            <w:tcW w:w="1985" w:type="dxa"/>
            <w:shd w:val="clear" w:color="auto" w:fill="auto"/>
            <w:vAlign w:val="center"/>
          </w:tcPr>
          <w:p>
            <w:pPr>
              <w:spacing w:line="300" w:lineRule="exact"/>
              <w:jc w:val="left"/>
              <w:rPr>
                <w:rFonts w:ascii="Times New Roman" w:hAnsi="Times New Roman" w:eastAsia="仿宋_GB2312" w:cs="Times New Roman"/>
              </w:rPr>
            </w:pPr>
          </w:p>
        </w:tc>
        <w:tc>
          <w:tcPr>
            <w:tcW w:w="3402" w:type="dxa"/>
            <w:shd w:val="clear" w:color="auto" w:fill="auto"/>
            <w:vAlign w:val="center"/>
          </w:tcPr>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加强工作人员归属感</w:t>
            </w:r>
          </w:p>
        </w:tc>
        <w:tc>
          <w:tcPr>
            <w:tcW w:w="3402" w:type="dxa"/>
            <w:shd w:val="clear" w:color="auto" w:fill="auto"/>
            <w:vAlign w:val="center"/>
          </w:tcPr>
          <w:p>
            <w:pPr>
              <w:spacing w:line="300" w:lineRule="exact"/>
              <w:jc w:val="left"/>
              <w:rPr>
                <w:rFonts w:ascii="方正书宋_GBK" w:eastAsia="方正书宋_GBK"/>
              </w:rPr>
            </w:pPr>
            <w:r>
              <w:rPr>
                <w:rFonts w:hint="eastAsia" w:ascii="Times New Roman" w:hAnsi="Times New Roman" w:eastAsia="仿宋_GB2312" w:cs="Times New Roman"/>
              </w:rPr>
              <w:t>通过按时按标准发放工资福利等，进一步增强干部职工得归属感，保持干部队伍相对稳定，保障办公正常运转</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保持干部队伍相对稳定</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廊广财社（2021）1号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p>
        </w:tc>
        <w:tc>
          <w:tcPr>
            <w:tcW w:w="1985" w:type="dxa"/>
            <w:shd w:val="clear" w:color="auto" w:fill="auto"/>
            <w:vAlign w:val="center"/>
          </w:tcPr>
          <w:p>
            <w:pPr>
              <w:spacing w:line="300" w:lineRule="exact"/>
              <w:jc w:val="left"/>
              <w:rPr>
                <w:rFonts w:ascii="Times New Roman" w:hAnsi="Times New Roman" w:eastAsia="仿宋_GB2312" w:cs="Times New Roman"/>
              </w:rPr>
            </w:pPr>
          </w:p>
        </w:tc>
        <w:tc>
          <w:tcPr>
            <w:tcW w:w="3402" w:type="dxa"/>
            <w:shd w:val="clear" w:color="auto" w:fill="auto"/>
            <w:vAlign w:val="center"/>
          </w:tcPr>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单位人员满意度</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单位人员对工资福利等发放工作的满意程度</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≥85%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廊广财社（2021）1号</w:t>
            </w:r>
          </w:p>
        </w:tc>
      </w:tr>
    </w:tbl>
    <w:p>
      <w:pPr>
        <w:jc w:val="left"/>
        <w:outlineLvl w:val="1"/>
        <w:rPr>
          <w:rFonts w:ascii="方正仿宋_GBK" w:eastAsia="方正仿宋_GBK"/>
          <w:b/>
          <w:sz w:val="28"/>
        </w:rPr>
      </w:pPr>
    </w:p>
    <w:p>
      <w:pPr>
        <w:ind w:firstLine="560" w:firstLineChars="200"/>
        <w:jc w:val="left"/>
        <w:outlineLvl w:val="1"/>
        <w:rPr>
          <w:rFonts w:ascii="Times New Roman" w:hAnsi="Times New Roman" w:cs="Times New Roman"/>
          <w:vanish/>
          <w:sz w:val="28"/>
        </w:rPr>
      </w:pPr>
    </w:p>
    <w:p>
      <w:pPr>
        <w:ind w:firstLine="560" w:firstLineChars="200"/>
        <w:jc w:val="left"/>
        <w:outlineLvl w:val="1"/>
        <w:rPr>
          <w:rFonts w:ascii="Times New Roman" w:hAnsi="Times New Roman" w:cs="Times New Roman"/>
          <w:vanish/>
          <w:sz w:val="28"/>
        </w:rPr>
      </w:pPr>
    </w:p>
    <w:p>
      <w:pPr>
        <w:ind w:firstLine="560" w:firstLineChars="200"/>
        <w:jc w:val="left"/>
        <w:outlineLvl w:val="1"/>
        <w:rPr>
          <w:rFonts w:ascii="Times New Roman" w:hAnsi="Times New Roman" w:cs="Times New Roman"/>
          <w:vanish/>
          <w:sz w:val="28"/>
        </w:rPr>
      </w:pPr>
    </w:p>
    <w:p>
      <w:pPr>
        <w:ind w:firstLine="560" w:firstLineChars="200"/>
        <w:jc w:val="left"/>
        <w:outlineLvl w:val="1"/>
        <w:rPr>
          <w:rFonts w:ascii="Times New Roman" w:hAnsi="Times New Roman" w:cs="Times New Roman"/>
          <w:sz w:val="28"/>
        </w:rPr>
      </w:pPr>
      <w:r>
        <w:rPr>
          <w:rFonts w:ascii="Times New Roman" w:hAnsi="Times New Roman" w:cs="Times New Roman"/>
          <w:vanish/>
          <w:sz w:val="28"/>
        </w:rPr>
        <w:t>{ TC 2</w:t>
      </w:r>
      <w:r>
        <w:rPr>
          <w:rFonts w:hint="eastAsia" w:ascii="宋体" w:hAnsi="宋体" w:cs="宋体"/>
          <w:vanish/>
          <w:sz w:val="28"/>
        </w:rPr>
        <w:t>、办公自动化（</w:t>
      </w:r>
      <w:r>
        <w:rPr>
          <w:rFonts w:ascii="Times New Roman" w:hAnsi="Times New Roman" w:cs="Times New Roman"/>
          <w:vanish/>
          <w:sz w:val="28"/>
        </w:rPr>
        <w:t>OA</w:t>
      </w:r>
      <w:r>
        <w:rPr>
          <w:rFonts w:hint="eastAsia" w:ascii="宋体" w:hAnsi="宋体" w:cs="宋体"/>
          <w:vanish/>
          <w:sz w:val="28"/>
        </w:rPr>
        <w:t>）和督查督办系统升级及推广费绩效目标表</w:t>
      </w:r>
      <w:r>
        <w:rPr>
          <w:rFonts w:ascii="Times New Roman" w:hAnsi="Times New Roman" w:cs="Times New Roman"/>
          <w:vanish/>
          <w:sz w:val="28"/>
        </w:rPr>
        <w:t xml:space="preserve"> \f C \l 1 }</w:t>
      </w:r>
    </w:p>
    <w:p>
      <w:pPr>
        <w:spacing w:line="14" w:lineRule="exact"/>
        <w:ind w:firstLine="420" w:firstLineChars="200"/>
        <w:jc w:val="center"/>
        <w:rPr>
          <w:rFonts w:ascii="Times New Roman" w:hAnsi="Times New Roman" w:cs="Times New Roman"/>
        </w:rPr>
      </w:pPr>
    </w:p>
    <w:p>
      <w:pPr>
        <w:spacing w:line="300" w:lineRule="exact"/>
        <w:jc w:val="left"/>
        <w:sectPr>
          <w:pgSz w:w="16839" w:h="11907" w:orient="landscape"/>
          <w:pgMar w:top="1304" w:right="1984" w:bottom="1304" w:left="1134" w:header="851" w:footer="992" w:gutter="0"/>
          <w:cols w:space="0" w:num="1"/>
          <w:docGrid w:type="lines" w:linePitch="320"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cs="Times New Roman"/>
          <w:sz w:val="32"/>
          <w:szCs w:val="24"/>
        </w:rPr>
      </w:pPr>
      <w:bookmarkStart w:id="0" w:name="_Toc471398468"/>
      <w:r>
        <w:rPr>
          <w:rFonts w:ascii="Times New Roman" w:hAnsi="Times New Roman" w:cs="Times New Roman"/>
          <w:sz w:val="32"/>
          <w:szCs w:val="24"/>
        </w:rPr>
        <w:t>2021</w:t>
      </w:r>
      <w:r>
        <w:rPr>
          <w:rFonts w:hint="eastAsia" w:ascii="宋体" w:hAnsi="宋体" w:cs="宋体"/>
          <w:sz w:val="32"/>
          <w:szCs w:val="24"/>
        </w:rPr>
        <w:t>年，我部门安排政府采购预算</w:t>
      </w:r>
      <w:r>
        <w:rPr>
          <w:rFonts w:ascii="Times New Roman" w:hAnsi="Times New Roman" w:cs="Times New Roman"/>
          <w:sz w:val="32"/>
          <w:szCs w:val="24"/>
        </w:rPr>
        <w:t>0</w:t>
      </w:r>
      <w:r>
        <w:rPr>
          <w:rFonts w:hint="eastAsia" w:ascii="宋体" w:hAnsi="宋体" w:cs="宋体"/>
          <w:sz w:val="32"/>
          <w:szCs w:val="24"/>
        </w:rPr>
        <w:t>万元。具体内容见下表。</w:t>
      </w:r>
    </w:p>
    <w:bookmarkEnd w:id="0"/>
    <w:p>
      <w:pPr>
        <w:spacing w:line="584" w:lineRule="exact"/>
        <w:jc w:val="left"/>
        <w:outlineLvl w:val="0"/>
        <w:rPr>
          <w:rFonts w:ascii="Times New Roman" w:hAnsi="Times New Roman" w:cs="Times New Roman"/>
        </w:rPr>
      </w:pPr>
    </w:p>
    <w:p>
      <w:pPr>
        <w:jc w:val="center"/>
        <w:outlineLvl w:val="1"/>
        <w:rPr>
          <w:rFonts w:ascii="Times New Roman" w:hAnsi="Times New Roman" w:cs="Times New Roman"/>
          <w:sz w:val="32"/>
        </w:rPr>
      </w:pPr>
      <w:bookmarkStart w:id="1" w:name="_Toc64920910"/>
      <w:r>
        <w:rPr>
          <w:rFonts w:hint="eastAsia" w:ascii="方正小标宋_GBK" w:eastAsia="方正小标宋_GBK" w:cs="Times New Roman"/>
          <w:sz w:val="32"/>
        </w:rPr>
        <w:t>部门政府采购预算</w:t>
      </w:r>
      <w:bookmarkEnd w:id="1"/>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rPr>
            </w:pPr>
            <w:r>
              <w:rPr>
                <w:rFonts w:hint="eastAsia" w:ascii="方正小标宋_GBK" w:eastAsia="方正小标宋_GBK" w:cs="Times New Roman"/>
                <w:sz w:val="24"/>
              </w:rPr>
              <w:t>918廊坊市广阳区新开路街道办事处</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sz w:val="24"/>
              </w:rPr>
            </w:pPr>
            <w:r>
              <w:rPr>
                <w:rFonts w:hint="eastAsia"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政府采购项目来源</w:t>
            </w:r>
          </w:p>
        </w:tc>
        <w:tc>
          <w:tcPr>
            <w:tcW w:w="1531" w:type="dxa"/>
            <w:vMerge w:val="restart"/>
            <w:vAlign w:val="center"/>
          </w:tcPr>
          <w:p>
            <w:pPr>
              <w:jc w:val="center"/>
              <w:rPr>
                <w:rFonts w:ascii="方正书宋_GBK" w:eastAsia="方正书宋_GBK" w:cs="Times New Roman"/>
                <w:b/>
              </w:rPr>
            </w:pPr>
            <w:r>
              <w:rPr>
                <w:rFonts w:hint="eastAsia" w:ascii="方正书宋_GBK" w:eastAsia="方正书宋_GBK" w:cs="Times New Roman"/>
                <w:b/>
              </w:rPr>
              <w:t>采购物品名称</w:t>
            </w:r>
          </w:p>
        </w:tc>
        <w:tc>
          <w:tcPr>
            <w:tcW w:w="1531"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政府采购目录序号</w:t>
            </w:r>
          </w:p>
        </w:tc>
        <w:tc>
          <w:tcPr>
            <w:tcW w:w="709"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计量</w:t>
            </w:r>
            <w:r>
              <w:rPr>
                <w:rFonts w:ascii="方正书宋_GBK" w:eastAsia="方正书宋_GBK" w:cs="Times New Roman"/>
                <w:b/>
              </w:rPr>
              <w:t xml:space="preserve">  </w:t>
            </w:r>
            <w:r>
              <w:rPr>
                <w:rFonts w:hint="eastAsia" w:ascii="方正书宋_GBK" w:eastAsia="方正书宋_GBK" w:cs="Times New Roman"/>
                <w:b/>
              </w:rPr>
              <w:t>单位</w:t>
            </w:r>
          </w:p>
        </w:tc>
        <w:tc>
          <w:tcPr>
            <w:tcW w:w="907"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数量</w:t>
            </w:r>
          </w:p>
        </w:tc>
        <w:tc>
          <w:tcPr>
            <w:tcW w:w="907"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单价</w:t>
            </w:r>
          </w:p>
        </w:tc>
        <w:tc>
          <w:tcPr>
            <w:tcW w:w="6804" w:type="dxa"/>
            <w:gridSpan w:val="6"/>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项目名称</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预算资金</w:t>
            </w:r>
          </w:p>
        </w:tc>
        <w:tc>
          <w:tcPr>
            <w:tcW w:w="1531" w:type="dxa"/>
            <w:vMerge w:val="continue"/>
            <w:vAlign w:val="center"/>
          </w:tcPr>
          <w:p/>
        </w:tc>
        <w:tc>
          <w:tcPr>
            <w:tcW w:w="1531" w:type="dxa"/>
            <w:vMerge w:val="continue"/>
            <w:vAlign w:val="center"/>
          </w:tcPr>
          <w:p/>
        </w:tc>
        <w:tc>
          <w:tcPr>
            <w:tcW w:w="709" w:type="dxa"/>
            <w:vMerge w:val="continue"/>
            <w:vAlign w:val="center"/>
          </w:tcPr>
          <w:p/>
        </w:tc>
        <w:tc>
          <w:tcPr>
            <w:tcW w:w="907" w:type="dxa"/>
            <w:vMerge w:val="continue"/>
            <w:vAlign w:val="center"/>
          </w:tcPr>
          <w:p/>
        </w:tc>
        <w:tc>
          <w:tcPr>
            <w:tcW w:w="907" w:type="dxa"/>
            <w:vMerge w:val="continue"/>
            <w:vAlign w:val="center"/>
          </w:tcP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合计</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一般公共预算拨款</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基金预算拨款</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国有资本经营预算拨款</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财政专户核拨</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合</w:t>
            </w:r>
            <w:r>
              <w:rPr>
                <w:rFonts w:ascii="方正书宋_GBK" w:eastAsia="方正书宋_GBK" w:cs="Times New Roman"/>
                <w:b/>
              </w:rPr>
              <w:t xml:space="preserve">  </w:t>
            </w:r>
            <w:r>
              <w:rPr>
                <w:rFonts w:hint="eastAsia" w:ascii="方正书宋_GBK" w:eastAsia="方正书宋_GBK" w:cs="Times New Roman"/>
                <w:b/>
              </w:rPr>
              <w:t>计</w:t>
            </w:r>
          </w:p>
        </w:tc>
        <w:tc>
          <w:tcPr>
            <w:tcW w:w="1134" w:type="dxa"/>
            <w:vAlign w:val="center"/>
          </w:tcPr>
          <w:p>
            <w:pPr>
              <w:spacing w:line="300" w:lineRule="exact"/>
              <w:jc w:val="right"/>
              <w:rPr>
                <w:rFonts w:ascii="方正书宋_GBK" w:eastAsia="方正书宋_GBK" w:cs="Times New Roman"/>
                <w:b/>
              </w:rPr>
            </w:pPr>
          </w:p>
        </w:tc>
        <w:tc>
          <w:tcPr>
            <w:tcW w:w="1531" w:type="dxa"/>
            <w:vAlign w:val="center"/>
          </w:tcPr>
          <w:p>
            <w:pPr>
              <w:spacing w:line="300" w:lineRule="exact"/>
              <w:jc w:val="left"/>
              <w:rPr>
                <w:rFonts w:ascii="方正书宋_GBK" w:eastAsia="方正书宋_GBK" w:cs="Times New Roman"/>
                <w:b/>
              </w:rPr>
            </w:pPr>
          </w:p>
        </w:tc>
        <w:tc>
          <w:tcPr>
            <w:tcW w:w="1531" w:type="dxa"/>
            <w:vAlign w:val="center"/>
          </w:tcPr>
          <w:p>
            <w:pPr>
              <w:spacing w:line="300" w:lineRule="exact"/>
              <w:jc w:val="left"/>
              <w:rPr>
                <w:rFonts w:ascii="方正书宋_GBK" w:eastAsia="方正书宋_GBK" w:cs="Times New Roman"/>
                <w:b/>
              </w:rPr>
            </w:pPr>
          </w:p>
        </w:tc>
        <w:tc>
          <w:tcPr>
            <w:tcW w:w="709" w:type="dxa"/>
            <w:vAlign w:val="center"/>
          </w:tcPr>
          <w:p>
            <w:pPr>
              <w:spacing w:line="300" w:lineRule="exact"/>
              <w:jc w:val="center"/>
              <w:rPr>
                <w:rFonts w:ascii="方正书宋_GBK" w:eastAsia="方正书宋_GBK" w:cs="Times New Roman"/>
                <w:b/>
              </w:rPr>
            </w:pPr>
          </w:p>
        </w:tc>
        <w:tc>
          <w:tcPr>
            <w:tcW w:w="907" w:type="dxa"/>
            <w:vAlign w:val="center"/>
          </w:tcPr>
          <w:p>
            <w:pPr>
              <w:spacing w:line="300" w:lineRule="exact"/>
              <w:jc w:val="right"/>
              <w:rPr>
                <w:rFonts w:ascii="方正书宋_GBK" w:eastAsia="方正书宋_GBK" w:cs="Times New Roman"/>
                <w:b/>
              </w:rPr>
            </w:pPr>
          </w:p>
        </w:tc>
        <w:tc>
          <w:tcPr>
            <w:tcW w:w="907"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531" w:type="dxa"/>
            <w:vAlign w:val="center"/>
          </w:tcPr>
          <w:p>
            <w:pPr>
              <w:spacing w:line="300" w:lineRule="exact"/>
              <w:jc w:val="left"/>
              <w:rPr>
                <w:rFonts w:ascii="方正书宋_GBK" w:eastAsia="方正书宋_GBK" w:cs="Times New Roman"/>
                <w:b/>
              </w:rPr>
            </w:pPr>
          </w:p>
        </w:tc>
        <w:tc>
          <w:tcPr>
            <w:tcW w:w="1531" w:type="dxa"/>
            <w:vAlign w:val="center"/>
          </w:tcPr>
          <w:p>
            <w:pPr>
              <w:spacing w:line="300" w:lineRule="exact"/>
              <w:jc w:val="left"/>
              <w:rPr>
                <w:rFonts w:ascii="方正书宋_GBK" w:eastAsia="方正书宋_GBK" w:cs="Times New Roman"/>
                <w:b/>
              </w:rPr>
            </w:pPr>
          </w:p>
        </w:tc>
        <w:tc>
          <w:tcPr>
            <w:tcW w:w="709" w:type="dxa"/>
            <w:vAlign w:val="center"/>
          </w:tcPr>
          <w:p>
            <w:pPr>
              <w:spacing w:line="300" w:lineRule="exact"/>
              <w:jc w:val="center"/>
              <w:rPr>
                <w:rFonts w:ascii="方正书宋_GBK" w:eastAsia="方正书宋_GBK" w:cs="Times New Roman"/>
                <w:b/>
              </w:rPr>
            </w:pPr>
          </w:p>
        </w:tc>
        <w:tc>
          <w:tcPr>
            <w:tcW w:w="907" w:type="dxa"/>
            <w:vAlign w:val="center"/>
          </w:tcPr>
          <w:p>
            <w:pPr>
              <w:spacing w:line="300" w:lineRule="exact"/>
              <w:jc w:val="right"/>
              <w:rPr>
                <w:rFonts w:ascii="方正书宋_GBK" w:eastAsia="方正书宋_GBK" w:cs="Times New Roman"/>
                <w:b/>
              </w:rPr>
            </w:pPr>
          </w:p>
        </w:tc>
        <w:tc>
          <w:tcPr>
            <w:tcW w:w="907"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709" w:type="dxa"/>
            <w:vAlign w:val="center"/>
          </w:tcPr>
          <w:p>
            <w:pPr>
              <w:spacing w:line="300" w:lineRule="exact"/>
              <w:jc w:val="center"/>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709" w:type="dxa"/>
            <w:vAlign w:val="center"/>
          </w:tcPr>
          <w:p>
            <w:pPr>
              <w:spacing w:line="300" w:lineRule="exact"/>
              <w:jc w:val="center"/>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vAlign w:val="center"/>
          </w:tcPr>
          <w:p>
            <w:pPr>
              <w:spacing w:line="300" w:lineRule="exact"/>
              <w:jc w:val="lef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709" w:type="dxa"/>
            <w:vAlign w:val="center"/>
          </w:tcPr>
          <w:p>
            <w:pPr>
              <w:spacing w:line="300" w:lineRule="exact"/>
              <w:jc w:val="center"/>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709" w:type="dxa"/>
            <w:vAlign w:val="center"/>
          </w:tcPr>
          <w:p>
            <w:pPr>
              <w:spacing w:line="300" w:lineRule="exact"/>
              <w:jc w:val="center"/>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709" w:type="dxa"/>
            <w:vAlign w:val="center"/>
          </w:tcPr>
          <w:p>
            <w:pPr>
              <w:spacing w:line="300" w:lineRule="exact"/>
              <w:jc w:val="center"/>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709" w:type="dxa"/>
            <w:vAlign w:val="center"/>
          </w:tcPr>
          <w:p>
            <w:pPr>
              <w:spacing w:line="300" w:lineRule="exact"/>
              <w:jc w:val="center"/>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七、国有资产信息</w:t>
      </w:r>
    </w:p>
    <w:p>
      <w:pPr>
        <w:spacing w:line="584" w:lineRule="exact"/>
        <w:ind w:firstLine="640"/>
        <w:rPr>
          <w:rFonts w:ascii="仿宋" w:hAnsi="仿宋" w:eastAsia="仿宋" w:cs="仿宋"/>
          <w:sz w:val="32"/>
          <w:szCs w:val="32"/>
        </w:rPr>
      </w:pPr>
      <w:r>
        <w:rPr>
          <w:rFonts w:hint="eastAsia" w:ascii="仿宋" w:hAnsi="仿宋" w:eastAsia="仿宋" w:cs="仿宋"/>
          <w:sz w:val="32"/>
          <w:szCs w:val="32"/>
        </w:rPr>
        <w:t>廊坊市广阳区新开路街道办事出上年末固定资产金额为1027.8454万元（详见下表），本年度我部门拟购置固定资产总额为0万元。</w:t>
      </w: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spacing w:line="584" w:lineRule="exact"/>
              <w:jc w:val="center"/>
              <w:rPr>
                <w:rFonts w:ascii="Times New Roman" w:hAnsi="Times New Roman" w:cs="Times New Roman"/>
                <w:b/>
                <w:bCs/>
                <w:kern w:val="0"/>
                <w:sz w:val="32"/>
                <w:szCs w:val="32"/>
              </w:rPr>
            </w:pPr>
            <w:r>
              <w:rPr>
                <w:rFonts w:hint="eastAsia" w:ascii="宋体" w:hAnsi="宋体" w:cs="宋体"/>
                <w:b/>
                <w:bCs/>
                <w:kern w:val="0"/>
                <w:sz w:val="32"/>
                <w:szCs w:val="32"/>
              </w:rPr>
              <w:t>廊坊市广阳区新开路街道办事处固定资产占用情况表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spacing w:line="584" w:lineRule="exact"/>
              <w:jc w:val="left"/>
              <w:rPr>
                <w:rFonts w:ascii="Times New Roman" w:hAnsi="Times New Roman" w:cs="Times New Roman"/>
                <w:kern w:val="0"/>
                <w:sz w:val="22"/>
              </w:rPr>
            </w:pPr>
            <w:r>
              <w:rPr>
                <w:rFonts w:hint="eastAsia" w:ascii="宋体" w:hAnsi="宋体" w:cs="宋体"/>
                <w:kern w:val="0"/>
                <w:sz w:val="22"/>
              </w:rPr>
              <w:t>编制部门：廊坊市广阳区新开路街道办事处</w:t>
            </w:r>
          </w:p>
        </w:tc>
        <w:tc>
          <w:tcPr>
            <w:tcW w:w="5103" w:type="dxa"/>
            <w:tcBorders>
              <w:top w:val="nil"/>
              <w:left w:val="nil"/>
              <w:bottom w:val="nil"/>
              <w:right w:val="nil"/>
            </w:tcBorders>
            <w:vAlign w:val="center"/>
          </w:tcPr>
          <w:p>
            <w:pPr>
              <w:widowControl/>
              <w:spacing w:line="584" w:lineRule="exact"/>
              <w:jc w:val="left"/>
              <w:rPr>
                <w:rFonts w:ascii="Times New Roman" w:hAnsi="Times New Roman" w:cs="Times New Roman"/>
                <w:kern w:val="0"/>
                <w:sz w:val="22"/>
              </w:rPr>
            </w:pPr>
            <w:r>
              <w:rPr>
                <w:rFonts w:hint="eastAsia" w:ascii="宋体" w:hAnsi="宋体" w:cs="宋体"/>
                <w:kern w:val="0"/>
                <w:sz w:val="22"/>
              </w:rPr>
              <w:t>截止时间：</w:t>
            </w:r>
            <w:r>
              <w:rPr>
                <w:rFonts w:ascii="Times New Roman" w:hAnsi="Times New Roman" w:cs="Times New Roman"/>
                <w:kern w:val="0"/>
                <w:sz w:val="22"/>
              </w:rPr>
              <w:t>2020</w:t>
            </w:r>
            <w:r>
              <w:rPr>
                <w:rFonts w:hint="eastAsia" w:ascii="宋体" w:hAnsi="宋体" w:cs="宋体"/>
                <w:kern w:val="0"/>
                <w:sz w:val="22"/>
              </w:rPr>
              <w:t>年</w:t>
            </w:r>
            <w:r>
              <w:rPr>
                <w:rFonts w:ascii="Times New Roman" w:hAnsi="Times New Roman" w:cs="Times New Roman"/>
                <w:kern w:val="0"/>
                <w:sz w:val="22"/>
              </w:rPr>
              <w:t>12</w:t>
            </w:r>
            <w:r>
              <w:rPr>
                <w:rFonts w:hint="eastAsia" w:ascii="宋体" w:hAnsi="宋体" w:cs="宋体"/>
                <w:kern w:val="0"/>
                <w:sz w:val="22"/>
              </w:rPr>
              <w:t>月</w:t>
            </w:r>
            <w:r>
              <w:rPr>
                <w:rFonts w:ascii="Times New Roman" w:hAnsi="Times New Roman" w:cs="Times New Roman"/>
                <w:kern w:val="0"/>
                <w:sz w:val="22"/>
              </w:rPr>
              <w:t>31</w:t>
            </w:r>
            <w:r>
              <w:rPr>
                <w:rFonts w:hint="eastAsia" w:ascii="宋体" w:hAnsi="宋体" w:cs="宋体"/>
                <w:kern w:val="0"/>
                <w:sz w:val="22"/>
              </w:rPr>
              <w:t>日</w:t>
            </w:r>
            <w:r>
              <w:rPr>
                <w:rFonts w:ascii="Times New Roman" w:hAnsi="Times New Roman" w:cs="Times New Roman"/>
                <w:kern w:val="0"/>
                <w:sz w:val="22"/>
              </w:rPr>
              <w:t xml:space="preserve">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cs="Times New Roman"/>
                <w:b/>
                <w:bCs/>
                <w:kern w:val="0"/>
                <w:sz w:val="22"/>
              </w:rPr>
            </w:pPr>
            <w:r>
              <w:rPr>
                <w:rFonts w:hint="eastAsia" w:ascii="宋体" w:hAnsi="宋体" w:cs="宋体"/>
                <w:b/>
                <w:bCs/>
                <w:kern w:val="0"/>
                <w:sz w:val="22"/>
              </w:rPr>
              <w:t>项</w:t>
            </w:r>
            <w:r>
              <w:rPr>
                <w:rFonts w:ascii="Times New Roman" w:hAnsi="Times New Roman" w:cs="Times New Roman"/>
                <w:b/>
                <w:bCs/>
                <w:kern w:val="0"/>
                <w:sz w:val="22"/>
              </w:rPr>
              <w:t xml:space="preserve">   </w:t>
            </w:r>
            <w:r>
              <w:rPr>
                <w:rFonts w:hint="eastAsia" w:ascii="宋体" w:hAnsi="宋体" w:cs="宋体"/>
                <w:b/>
                <w:bCs/>
                <w:kern w:val="0"/>
                <w:sz w:val="22"/>
              </w:rPr>
              <w:t>目</w:t>
            </w:r>
          </w:p>
        </w:tc>
        <w:tc>
          <w:tcPr>
            <w:tcW w:w="3155" w:type="dxa"/>
            <w:tcBorders>
              <w:top w:val="single" w:color="auto" w:sz="4" w:space="0"/>
              <w:left w:val="nil"/>
              <w:bottom w:val="single" w:color="auto" w:sz="4" w:space="0"/>
              <w:right w:val="single" w:color="auto" w:sz="4" w:space="0"/>
            </w:tcBorders>
            <w:vAlign w:val="center"/>
          </w:tcPr>
          <w:p>
            <w:pPr>
              <w:widowControl/>
              <w:spacing w:line="584" w:lineRule="exact"/>
              <w:jc w:val="center"/>
              <w:rPr>
                <w:rFonts w:ascii="Times New Roman" w:hAnsi="Times New Roman" w:cs="Times New Roman"/>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spacing w:line="584" w:lineRule="exact"/>
              <w:jc w:val="center"/>
              <w:rPr>
                <w:rFonts w:ascii="Times New Roman" w:hAnsi="Times New Roman" w:cs="Times New Roman"/>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cs="Times New Roman"/>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cs="Times New Roman"/>
                <w:sz w:val="22"/>
              </w:rPr>
            </w:pPr>
            <w:r>
              <w:rPr>
                <w:rFonts w:ascii="Times New Roman" w:hAnsi="Times New Roman" w:cs="Times New Roman"/>
                <w:sz w:val="22"/>
              </w:rPr>
              <w:t>——</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cs="Times New Roman"/>
                <w:sz w:val="22"/>
              </w:rPr>
            </w:pPr>
            <w:r>
              <w:rPr>
                <w:rFonts w:ascii="Times New Roman" w:hAnsi="Times New Roman" w:cs="Times New Roman"/>
                <w:sz w:val="22"/>
              </w:rPr>
              <w:t>1027.8454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cs="Times New Roman"/>
                <w:kern w:val="0"/>
                <w:sz w:val="22"/>
              </w:rPr>
            </w:pPr>
            <w:r>
              <w:rPr>
                <w:rFonts w:ascii="Times New Roman" w:hAnsi="Times New Roman" w:cs="Times New Roman"/>
                <w:kern w:val="0"/>
                <w:sz w:val="22"/>
              </w:rPr>
              <w:t>1</w:t>
            </w:r>
            <w:r>
              <w:rPr>
                <w:rFonts w:hint="eastAsia" w:ascii="宋体" w:hAnsi="宋体" w:cs="宋体"/>
                <w:kern w:val="0"/>
                <w:sz w:val="22"/>
              </w:rPr>
              <w:t>、房屋（平方米）</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cs="Times New Roman"/>
                <w:sz w:val="22"/>
              </w:rPr>
            </w:pP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cs="Times New Roman"/>
                <w:sz w:val="22"/>
              </w:rPr>
            </w:pPr>
            <w:r>
              <w:rPr>
                <w:rFonts w:ascii="Times New Roman" w:hAnsi="Times New Roman" w:cs="Times New Roman"/>
                <w:sz w:val="22"/>
              </w:rPr>
              <w:t>348.04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cs="Times New Roman"/>
                <w:kern w:val="0"/>
                <w:sz w:val="22"/>
              </w:rPr>
            </w:pPr>
            <w:r>
              <w:rPr>
                <w:rFonts w:hint="eastAsia" w:ascii="宋体" w:hAnsi="宋体" w:cs="宋体"/>
                <w:kern w:val="0"/>
                <w:sz w:val="22"/>
              </w:rPr>
              <w:t>其中：办公用房（平方米）</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cs="Times New Roman"/>
                <w:sz w:val="22"/>
              </w:rPr>
            </w:pP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cs="Times New Roman"/>
                <w:sz w:val="22"/>
              </w:rPr>
            </w:pPr>
            <w:r>
              <w:rPr>
                <w:rFonts w:ascii="Times New Roman" w:hAnsi="Times New Roman" w:cs="Times New Roman"/>
                <w:sz w:val="22"/>
              </w:rPr>
              <w:t>348.04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cs="Times New Roman"/>
                <w:kern w:val="0"/>
                <w:sz w:val="22"/>
              </w:rPr>
            </w:pPr>
            <w:r>
              <w:rPr>
                <w:rFonts w:ascii="Times New Roman" w:hAnsi="Times New Roman" w:cs="Times New Roman"/>
                <w:kern w:val="0"/>
                <w:sz w:val="22"/>
              </w:rPr>
              <w:t>2</w:t>
            </w:r>
            <w:r>
              <w:rPr>
                <w:rFonts w:hint="eastAsia" w:ascii="宋体" w:hAnsi="宋体" w:cs="宋体"/>
                <w:kern w:val="0"/>
                <w:sz w:val="22"/>
              </w:rPr>
              <w:t>、车辆（台、辆）</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cs="Times New Roman"/>
                <w:sz w:val="22"/>
              </w:rPr>
            </w:pPr>
            <w:r>
              <w:rPr>
                <w:rFonts w:ascii="Times New Roman" w:hAnsi="Times New Roman" w:cs="Times New Roman"/>
                <w:sz w:val="22"/>
              </w:rPr>
              <w:t>2</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cs="Times New Roman"/>
                <w:sz w:val="22"/>
              </w:rPr>
            </w:pPr>
            <w:r>
              <w:rPr>
                <w:rFonts w:ascii="Times New Roman" w:hAnsi="Times New Roman" w:cs="Times New Roman"/>
                <w:sz w:val="22"/>
              </w:rPr>
              <w:t>22.4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cs="Times New Roman"/>
                <w:kern w:val="0"/>
                <w:sz w:val="22"/>
              </w:rPr>
            </w:pPr>
            <w:r>
              <w:rPr>
                <w:rFonts w:ascii="Times New Roman" w:hAnsi="Times New Roman" w:cs="Times New Roman"/>
                <w:kern w:val="0"/>
                <w:sz w:val="22"/>
              </w:rPr>
              <w:t>3</w:t>
            </w:r>
            <w:r>
              <w:rPr>
                <w:rFonts w:hint="eastAsia" w:ascii="宋体" w:hAnsi="宋体" w:cs="宋体"/>
                <w:kern w:val="0"/>
                <w:sz w:val="22"/>
              </w:rPr>
              <w:t>、单价在</w:t>
            </w:r>
            <w:r>
              <w:rPr>
                <w:rFonts w:ascii="Times New Roman" w:hAnsi="Times New Roman" w:cs="Times New Roman"/>
                <w:kern w:val="0"/>
                <w:sz w:val="22"/>
              </w:rPr>
              <w:t>20</w:t>
            </w:r>
            <w:r>
              <w:rPr>
                <w:rFonts w:hint="eastAsia" w:ascii="宋体" w:hAnsi="宋体" w:cs="宋体"/>
                <w:kern w:val="0"/>
                <w:sz w:val="22"/>
              </w:rPr>
              <w:t>万元以上的设备</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cs="Times New Roman"/>
                <w:sz w:val="22"/>
              </w:rPr>
            </w:pP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cs="Times New Roman"/>
                <w:sz w:val="22"/>
              </w:rPr>
            </w:pPr>
            <w:r>
              <w:rPr>
                <w:rFonts w:ascii="Times New Roman" w:hAnsi="Times New Roman" w:cs="Times New Roman"/>
                <w:sz w:val="22"/>
              </w:rPr>
              <w:t>369.20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cs="Times New Roman"/>
                <w:kern w:val="0"/>
                <w:sz w:val="22"/>
              </w:rPr>
            </w:pPr>
            <w:r>
              <w:rPr>
                <w:rFonts w:ascii="Times New Roman" w:hAnsi="Times New Roman" w:cs="Times New Roman"/>
                <w:kern w:val="0"/>
                <w:sz w:val="22"/>
              </w:rPr>
              <w:t>4</w:t>
            </w:r>
            <w:r>
              <w:rPr>
                <w:rFonts w:hint="eastAsia" w:ascii="宋体" w:hAnsi="宋体" w:cs="宋体"/>
                <w:kern w:val="0"/>
                <w:sz w:val="22"/>
              </w:rPr>
              <w:t>、其他固定资产</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cs="Times New Roman"/>
                <w:sz w:val="22"/>
              </w:rPr>
            </w:pP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cs="Times New Roman"/>
                <w:sz w:val="22"/>
              </w:rPr>
            </w:pPr>
            <w:r>
              <w:rPr>
                <w:rFonts w:ascii="Times New Roman" w:hAnsi="Times New Roman" w:cs="Times New Roman"/>
                <w:sz w:val="22"/>
              </w:rPr>
              <w:t>288.7546</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、一般公共预算拨款收入：</w:t>
      </w:r>
      <w:r>
        <w:rPr>
          <w:rFonts w:hint="eastAsia" w:ascii="Times New Roman" w:hAnsi="Times New Roman" w:eastAsia="仿宋_GB2312" w:cs="Times New Roman"/>
          <w:bCs/>
          <w:sz w:val="32"/>
          <w:szCs w:val="32"/>
        </w:rPr>
        <w:t>指</w:t>
      </w:r>
      <w:r>
        <w:rPr>
          <w:rFonts w:hint="eastAsia" w:ascii="Times New Roman" w:hAnsi="Times New Roman" w:eastAsia="仿宋_GB2312" w:cs="Times New Roman"/>
          <w:bCs/>
          <w:sz w:val="32"/>
          <w:szCs w:val="32"/>
          <w:lang w:eastAsia="zh-CN"/>
        </w:rPr>
        <w:t>区</w:t>
      </w:r>
      <w:r>
        <w:rPr>
          <w:rFonts w:hint="eastAsia" w:ascii="Times New Roman" w:hAnsi="Times New Roman" w:eastAsia="仿宋_GB2312" w:cs="Times New Roman"/>
          <w:bCs/>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、事业收入：</w:t>
      </w:r>
      <w:r>
        <w:rPr>
          <w:rFonts w:hint="eastAsia" w:ascii="Times New Roman" w:hAnsi="Times New Roman" w:eastAsia="仿宋_GB2312" w:cs="Times New Roman"/>
          <w:bCs/>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rPr>
        <w:t>、其他收入：</w:t>
      </w:r>
      <w:r>
        <w:rPr>
          <w:rFonts w:hint="eastAsia" w:ascii="Times New Roman" w:hAnsi="Times New Roman" w:eastAsia="仿宋_GB2312" w:cs="Times New Roman"/>
          <w:bCs/>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sz w:val="32"/>
          <w:szCs w:val="32"/>
        </w:rPr>
        <w:t>4</w:t>
      </w:r>
      <w:r>
        <w:rPr>
          <w:rFonts w:hint="eastAsia" w:ascii="Times New Roman" w:hAnsi="Times New Roman" w:eastAsia="仿宋_GB2312" w:cs="Times New Roman"/>
          <w:b/>
          <w:sz w:val="32"/>
          <w:szCs w:val="32"/>
        </w:rPr>
        <w:t>、基本支出：</w:t>
      </w:r>
      <w:r>
        <w:rPr>
          <w:rFonts w:hint="eastAsia" w:ascii="Times New Roman" w:hAnsi="Times New Roman" w:eastAsia="仿宋_GB2312" w:cs="Times New Roman"/>
          <w:bCs/>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sz w:val="32"/>
          <w:szCs w:val="32"/>
        </w:rPr>
        <w:t>5</w:t>
      </w:r>
      <w:r>
        <w:rPr>
          <w:rFonts w:hint="eastAsia" w:ascii="Times New Roman" w:hAnsi="Times New Roman" w:eastAsia="仿宋_GB2312" w:cs="Times New Roman"/>
          <w:b/>
          <w:sz w:val="32"/>
          <w:szCs w:val="32"/>
        </w:rPr>
        <w:t>、项目支出：</w:t>
      </w:r>
      <w:r>
        <w:rPr>
          <w:rFonts w:hint="eastAsia" w:ascii="Times New Roman" w:hAnsi="Times New Roman" w:eastAsia="仿宋_GB2312" w:cs="Times New Roman"/>
          <w:bCs/>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sz w:val="32"/>
          <w:szCs w:val="32"/>
        </w:rPr>
        <w:t>6</w:t>
      </w:r>
      <w:r>
        <w:rPr>
          <w:rFonts w:hint="eastAsia" w:ascii="Times New Roman" w:hAnsi="Times New Roman" w:eastAsia="仿宋_GB2312" w:cs="Times New Roman"/>
          <w:b/>
          <w:sz w:val="32"/>
          <w:szCs w:val="32"/>
        </w:rPr>
        <w:t>、上缴上级支出：</w:t>
      </w:r>
      <w:r>
        <w:rPr>
          <w:rFonts w:hint="eastAsia" w:ascii="Times New Roman" w:hAnsi="Times New Roman" w:eastAsia="仿宋_GB2312" w:cs="Times New Roman"/>
          <w:bCs/>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sz w:val="32"/>
          <w:szCs w:val="32"/>
        </w:rPr>
        <w:t>7</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三公</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经费：</w:t>
      </w:r>
      <w:r>
        <w:rPr>
          <w:rFonts w:hint="eastAsia" w:ascii="Times New Roman" w:hAnsi="Times New Roman" w:eastAsia="仿宋_GB2312" w:cs="Times New Roman"/>
          <w:bCs/>
          <w:sz w:val="32"/>
          <w:szCs w:val="32"/>
        </w:rPr>
        <w:t>纳入</w:t>
      </w:r>
      <w:r>
        <w:rPr>
          <w:rFonts w:hint="eastAsia" w:ascii="Times New Roman" w:hAnsi="Times New Roman" w:eastAsia="仿宋_GB2312" w:cs="Times New Roman"/>
          <w:bCs/>
          <w:sz w:val="32"/>
          <w:szCs w:val="32"/>
          <w:lang w:eastAsia="zh-CN"/>
        </w:rPr>
        <w:t>区</w:t>
      </w:r>
      <w:r>
        <w:rPr>
          <w:rFonts w:hint="eastAsia" w:ascii="Times New Roman" w:hAnsi="Times New Roman" w:eastAsia="仿宋_GB2312" w:cs="Times New Roman"/>
          <w:bCs/>
          <w:sz w:val="32"/>
          <w:szCs w:val="32"/>
        </w:rPr>
        <w:t>级财政预算管理的“三公”经费，是指</w:t>
      </w:r>
      <w:r>
        <w:rPr>
          <w:rFonts w:hint="eastAsia" w:ascii="Times New Roman" w:hAnsi="Times New Roman" w:eastAsia="仿宋_GB2312" w:cs="Times New Roman"/>
          <w:bCs/>
          <w:sz w:val="32"/>
          <w:szCs w:val="32"/>
          <w:lang w:eastAsia="zh-CN"/>
        </w:rPr>
        <w:t>区</w:t>
      </w:r>
      <w:r>
        <w:rPr>
          <w:rFonts w:hint="eastAsia" w:ascii="Times New Roman" w:hAnsi="Times New Roman" w:eastAsia="仿宋_GB2312" w:cs="Times New Roman"/>
          <w:bCs/>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sz w:val="32"/>
          <w:szCs w:val="32"/>
        </w:rPr>
        <w:t>8</w:t>
      </w:r>
      <w:r>
        <w:rPr>
          <w:rFonts w:hint="eastAsia" w:ascii="Times New Roman" w:hAnsi="Times New Roman" w:eastAsia="仿宋_GB2312" w:cs="Times New Roman"/>
          <w:b/>
          <w:sz w:val="32"/>
          <w:szCs w:val="32"/>
        </w:rPr>
        <w:t>、机关运行费：</w:t>
      </w:r>
      <w:r>
        <w:rPr>
          <w:rFonts w:hint="eastAsia" w:ascii="Times New Roman" w:hAnsi="Times New Roman" w:eastAsia="仿宋_GB2312" w:cs="Times New Roman"/>
          <w:bCs/>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sz w:val="32"/>
          <w:szCs w:val="32"/>
        </w:rPr>
        <w:t>9</w:t>
      </w:r>
      <w:r>
        <w:rPr>
          <w:rFonts w:hint="eastAsia" w:ascii="Times New Roman" w:hAnsi="Times New Roman" w:eastAsia="仿宋_GB2312" w:cs="Times New Roman"/>
          <w:b/>
          <w:sz w:val="32"/>
          <w:szCs w:val="32"/>
        </w:rPr>
        <w:t>、上年结转：</w:t>
      </w:r>
      <w:r>
        <w:rPr>
          <w:rFonts w:hint="eastAsia" w:ascii="Times New Roman" w:hAnsi="Times New Roman" w:eastAsia="仿宋_GB2312" w:cs="Times New Roman"/>
          <w:bCs/>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sz w:val="32"/>
          <w:szCs w:val="32"/>
        </w:rPr>
        <w:t>10</w:t>
      </w:r>
      <w:r>
        <w:rPr>
          <w:rFonts w:hint="eastAsia" w:ascii="Times New Roman" w:hAnsi="Times New Roman" w:eastAsia="仿宋_GB2312" w:cs="Times New Roman"/>
          <w:b/>
          <w:sz w:val="32"/>
          <w:szCs w:val="32"/>
        </w:rPr>
        <w:t>、事业单位经营支出：</w:t>
      </w:r>
      <w:r>
        <w:rPr>
          <w:rFonts w:hint="eastAsia" w:ascii="Times New Roman" w:hAnsi="Times New Roman" w:eastAsia="仿宋_GB2312" w:cs="Times New Roman"/>
          <w:bCs/>
          <w:sz w:val="32"/>
          <w:szCs w:val="32"/>
        </w:rPr>
        <w:t>指事业单位在专业业务活动及其辅助活动之外开展非独立核算经营活动发生的支出。</w:t>
      </w:r>
    </w:p>
    <w:p>
      <w:pPr>
        <w:tabs>
          <w:tab w:val="left" w:pos="11490"/>
        </w:tabs>
        <w:spacing w:line="584"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九、其他需要说明的事项</w:t>
      </w:r>
    </w:p>
    <w:p>
      <w:pPr>
        <w:tabs>
          <w:tab w:val="left" w:pos="11490"/>
        </w:tabs>
        <w:spacing w:line="584"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_GB2312">
    <w:altName w:val="Times New Roman"/>
    <w:panose1 w:val="00000000000000000000"/>
    <w:charset w:val="00"/>
    <w:family w:val="auto"/>
    <w:pitch w:val="default"/>
    <w:sig w:usb0="00000000" w:usb1="00000000" w:usb2="00000000" w:usb3="00000000" w:csb0="00000001"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PAGE   \* MERGEFORMAT</w:instrText>
    </w:r>
    <w:r>
      <w:fldChar w:fldCharType="separate"/>
    </w:r>
    <w:r>
      <w:rPr>
        <w:lang w:val="zh-CN"/>
      </w:rPr>
      <w:t>25</w:t>
    </w:r>
    <w:r>
      <w:rPr>
        <w:lang w:val="zh-CN"/>
      </w:rPr>
      <w:fldChar w:fldCharType="end"/>
    </w:r>
    <w: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7AA070"/>
    <w:multiLevelType w:val="singleLevel"/>
    <w:tmpl w:val="B87AA07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60"/>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301F9F"/>
    <w:rsid w:val="00356683"/>
    <w:rsid w:val="003F4A88"/>
    <w:rsid w:val="00432522"/>
    <w:rsid w:val="004A54AA"/>
    <w:rsid w:val="004E5968"/>
    <w:rsid w:val="00607EB5"/>
    <w:rsid w:val="00632C6B"/>
    <w:rsid w:val="006C0383"/>
    <w:rsid w:val="00743129"/>
    <w:rsid w:val="007B26CB"/>
    <w:rsid w:val="00807A76"/>
    <w:rsid w:val="00826623"/>
    <w:rsid w:val="008F0EB4"/>
    <w:rsid w:val="009C3D5B"/>
    <w:rsid w:val="00A218C6"/>
    <w:rsid w:val="00A31385"/>
    <w:rsid w:val="00B17B32"/>
    <w:rsid w:val="00B80935"/>
    <w:rsid w:val="00C36CC5"/>
    <w:rsid w:val="00C52295"/>
    <w:rsid w:val="00C750B9"/>
    <w:rsid w:val="00CB58FC"/>
    <w:rsid w:val="00CD4B0F"/>
    <w:rsid w:val="00CF681E"/>
    <w:rsid w:val="00D347CC"/>
    <w:rsid w:val="00D91C86"/>
    <w:rsid w:val="00DE547A"/>
    <w:rsid w:val="00E23B41"/>
    <w:rsid w:val="00E27CE3"/>
    <w:rsid w:val="00F21973"/>
    <w:rsid w:val="01A948D1"/>
    <w:rsid w:val="03D25D94"/>
    <w:rsid w:val="03D5777A"/>
    <w:rsid w:val="0FE54D0D"/>
    <w:rsid w:val="143E76D9"/>
    <w:rsid w:val="14707774"/>
    <w:rsid w:val="1657770D"/>
    <w:rsid w:val="16D13557"/>
    <w:rsid w:val="1B595FC3"/>
    <w:rsid w:val="203C7232"/>
    <w:rsid w:val="266B3149"/>
    <w:rsid w:val="28B34F90"/>
    <w:rsid w:val="31720E8F"/>
    <w:rsid w:val="3748158B"/>
    <w:rsid w:val="3E1A7A06"/>
    <w:rsid w:val="436D3CAC"/>
    <w:rsid w:val="49F177D6"/>
    <w:rsid w:val="4CE82326"/>
    <w:rsid w:val="4DBD4A5F"/>
    <w:rsid w:val="4F851014"/>
    <w:rsid w:val="56A6400D"/>
    <w:rsid w:val="5910567C"/>
    <w:rsid w:val="67E60C61"/>
    <w:rsid w:val="74092A0E"/>
    <w:rsid w:val="7522038F"/>
    <w:rsid w:val="7F3F10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99"/>
    <w:rPr>
      <w:rFonts w:ascii="Times New Roman" w:hAnsi="Times New Roman" w:cs="Times New Roman"/>
      <w:szCs w:val="24"/>
    </w:rPr>
  </w:style>
  <w:style w:type="paragraph" w:styleId="6">
    <w:name w:val="footnote text"/>
    <w:basedOn w:val="1"/>
    <w:link w:val="14"/>
    <w:qFormat/>
    <w:uiPriority w:val="99"/>
    <w:pPr>
      <w:snapToGrid w:val="0"/>
      <w:jc w:val="left"/>
    </w:pPr>
    <w:rPr>
      <w:rFonts w:cs="Times New Roman"/>
      <w:sz w:val="18"/>
      <w:szCs w:val="18"/>
    </w:rPr>
  </w:style>
  <w:style w:type="paragraph" w:styleId="7">
    <w:name w:val="toc 2"/>
    <w:basedOn w:val="1"/>
    <w:next w:val="1"/>
    <w:qFormat/>
    <w:uiPriority w:val="99"/>
    <w:pPr>
      <w:ind w:left="200" w:leftChars="200"/>
    </w:pPr>
    <w:rPr>
      <w:rFonts w:ascii="Times New Roman" w:hAnsi="Times New Roman" w:cs="Times New Roman"/>
      <w:szCs w:val="24"/>
    </w:rPr>
  </w:style>
  <w:style w:type="character" w:styleId="10">
    <w:name w:val="footnote reference"/>
    <w:qFormat/>
    <w:uiPriority w:val="99"/>
    <w:rPr>
      <w:rFonts w:cs="Times New Roman"/>
      <w:vertAlign w:val="superscript"/>
    </w:rPr>
  </w:style>
  <w:style w:type="character" w:customStyle="1" w:styleId="11">
    <w:name w:val="批注框文本 Char"/>
    <w:link w:val="2"/>
    <w:semiHidden/>
    <w:qFormat/>
    <w:locked/>
    <w:uiPriority w:val="99"/>
    <w:rPr>
      <w:rFonts w:ascii="Calibri" w:hAnsi="Calibri" w:cs="Arial"/>
      <w:sz w:val="2"/>
    </w:rPr>
  </w:style>
  <w:style w:type="character" w:customStyle="1" w:styleId="12">
    <w:name w:val="页脚 Char"/>
    <w:link w:val="3"/>
    <w:semiHidden/>
    <w:qFormat/>
    <w:locked/>
    <w:uiPriority w:val="99"/>
    <w:rPr>
      <w:rFonts w:ascii="Calibri" w:hAnsi="Calibri" w:cs="Arial"/>
      <w:sz w:val="18"/>
      <w:szCs w:val="18"/>
    </w:rPr>
  </w:style>
  <w:style w:type="character" w:customStyle="1" w:styleId="13">
    <w:name w:val="页眉 Char"/>
    <w:link w:val="4"/>
    <w:semiHidden/>
    <w:qFormat/>
    <w:locked/>
    <w:uiPriority w:val="99"/>
    <w:rPr>
      <w:rFonts w:ascii="Calibri" w:hAnsi="Calibri" w:cs="Arial"/>
      <w:sz w:val="18"/>
      <w:szCs w:val="18"/>
    </w:rPr>
  </w:style>
  <w:style w:type="character" w:customStyle="1" w:styleId="14">
    <w:name w:val="脚注文本 Char"/>
    <w:link w:val="6"/>
    <w:semiHidden/>
    <w:qFormat/>
    <w:locked/>
    <w:uiPriority w:val="99"/>
    <w:rPr>
      <w:rFonts w:ascii="Calibri" w:hAnsi="Calibri" w:cs="Arial"/>
      <w:sz w:val="18"/>
      <w:szCs w:val="18"/>
    </w:rPr>
  </w:style>
  <w:style w:type="paragraph" w:customStyle="1" w:styleId="1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1620</Words>
  <Characters>9237</Characters>
  <Lines>76</Lines>
  <Paragraphs>21</Paragraphs>
  <TotalTime>3</TotalTime>
  <ScaleCrop>false</ScaleCrop>
  <LinksUpToDate>false</LinksUpToDate>
  <CharactersWithSpaces>10836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XCK</cp:lastModifiedBy>
  <cp:lastPrinted>2018-01-30T06:12:00Z</cp:lastPrinted>
  <dcterms:modified xsi:type="dcterms:W3CDTF">2023-06-02T02:46:21Z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8EE0E397528D434EB2A29E0529846884</vt:lpwstr>
  </property>
</Properties>
</file>