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28</w:t>
      </w:r>
      <w:r>
        <w:rPr>
          <w:rStyle w:val="11"/>
        </w:rPr>
        <w:fldChar w:fldCharType="end"/>
      </w:r>
    </w:p>
    <w:p>
      <w:r>
        <w:fldChar w:fldCharType="end"/>
      </w: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rPr>
          <w:rFonts w:ascii="方正小标宋_GBK" w:hAnsi="方正小标宋_GBK" w:cs="方正小标宋_GBK" w:eastAsiaTheme="minorEastAsia"/>
          <w:color w:val="000000"/>
          <w:sz w:val="36"/>
          <w:lang w:eastAsia="zh-CN"/>
        </w:r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951001廊坊市广阳区南尖塔镇南尖塔小学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1372.62</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1372.62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1372.62</w:t>
            </w:r>
          </w:p>
        </w:tc>
        <w:tc>
          <w:tcPr>
            <w:tcW w:w="4535" w:type="dxa"/>
            <w:vAlign w:val="center"/>
          </w:tcPr>
          <w:p>
            <w:pPr>
              <w:pStyle w:val="19"/>
            </w:pPr>
            <w:r>
              <w:t>本年支出合计</w:t>
            </w:r>
          </w:p>
        </w:tc>
        <w:tc>
          <w:tcPr>
            <w:tcW w:w="2126" w:type="dxa"/>
            <w:vAlign w:val="center"/>
          </w:tcPr>
          <w:p>
            <w:pPr>
              <w:pStyle w:val="20"/>
            </w:pPr>
            <w:r>
              <w:t>1372.62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1372.62</w:t>
            </w:r>
          </w:p>
        </w:tc>
        <w:tc>
          <w:tcPr>
            <w:tcW w:w="4535" w:type="dxa"/>
            <w:vAlign w:val="center"/>
          </w:tcPr>
          <w:p>
            <w:pPr>
              <w:pStyle w:val="19"/>
            </w:pPr>
            <w:r>
              <w:t>支出总计</w:t>
            </w:r>
          </w:p>
        </w:tc>
        <w:tc>
          <w:tcPr>
            <w:tcW w:w="2126" w:type="dxa"/>
            <w:vAlign w:val="center"/>
          </w:tcPr>
          <w:p>
            <w:pPr>
              <w:pStyle w:val="20"/>
            </w:pPr>
            <w:r>
              <w:t>1372.62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951001廊坊市广阳区南尖塔镇南尖塔小学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1372.62</w:t>
            </w:r>
          </w:p>
        </w:tc>
        <w:tc>
          <w:tcPr>
            <w:tcW w:w="1134" w:type="dxa"/>
            <w:vAlign w:val="center"/>
          </w:tcPr>
          <w:p>
            <w:pPr>
              <w:pStyle w:val="20"/>
            </w:pPr>
            <w:r>
              <w:t>1372.62</w:t>
            </w:r>
          </w:p>
        </w:tc>
        <w:tc>
          <w:tcPr>
            <w:tcW w:w="1134" w:type="dxa"/>
            <w:vAlign w:val="center"/>
          </w:tcPr>
          <w:p>
            <w:pPr>
              <w:pStyle w:val="20"/>
            </w:pPr>
            <w:r>
              <w:t>1372.62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1372.62</w:t>
            </w:r>
          </w:p>
        </w:tc>
        <w:tc>
          <w:tcPr>
            <w:tcW w:w="1134" w:type="dxa"/>
            <w:vAlign w:val="center"/>
          </w:tcPr>
          <w:p>
            <w:pPr>
              <w:pStyle w:val="16"/>
            </w:pPr>
            <w:r>
              <w:t>1372.62</w:t>
            </w:r>
          </w:p>
        </w:tc>
        <w:tc>
          <w:tcPr>
            <w:tcW w:w="1134" w:type="dxa"/>
            <w:vAlign w:val="center"/>
          </w:tcPr>
          <w:p>
            <w:pPr>
              <w:pStyle w:val="16"/>
            </w:pPr>
            <w:r>
              <w:t>1372.62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1372.62</w:t>
            </w:r>
          </w:p>
        </w:tc>
        <w:tc>
          <w:tcPr>
            <w:tcW w:w="1134" w:type="dxa"/>
            <w:vAlign w:val="center"/>
          </w:tcPr>
          <w:p>
            <w:pPr>
              <w:pStyle w:val="16"/>
            </w:pPr>
            <w:r>
              <w:t>1372.62</w:t>
            </w:r>
          </w:p>
        </w:tc>
        <w:tc>
          <w:tcPr>
            <w:tcW w:w="1134" w:type="dxa"/>
            <w:vAlign w:val="center"/>
          </w:tcPr>
          <w:p>
            <w:pPr>
              <w:pStyle w:val="16"/>
            </w:pPr>
            <w:r>
              <w:t>1372.62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2050201</w:t>
            </w:r>
          </w:p>
        </w:tc>
        <w:tc>
          <w:tcPr>
            <w:tcW w:w="1559" w:type="dxa"/>
            <w:vAlign w:val="center"/>
          </w:tcPr>
          <w:p>
            <w:pPr>
              <w:pStyle w:val="17"/>
            </w:pPr>
            <w:r>
              <w:t>学前教育</w:t>
            </w:r>
          </w:p>
        </w:tc>
        <w:tc>
          <w:tcPr>
            <w:tcW w:w="1134" w:type="dxa"/>
            <w:vAlign w:val="center"/>
          </w:tcPr>
          <w:p>
            <w:pPr>
              <w:pStyle w:val="16"/>
            </w:pPr>
            <w:r>
              <w:t>1.32</w:t>
            </w:r>
          </w:p>
        </w:tc>
        <w:tc>
          <w:tcPr>
            <w:tcW w:w="1134" w:type="dxa"/>
            <w:vAlign w:val="center"/>
          </w:tcPr>
          <w:p>
            <w:pPr>
              <w:pStyle w:val="16"/>
            </w:pPr>
            <w:r>
              <w:t>1.32</w:t>
            </w:r>
          </w:p>
        </w:tc>
        <w:tc>
          <w:tcPr>
            <w:tcW w:w="1134" w:type="dxa"/>
            <w:vAlign w:val="center"/>
          </w:tcPr>
          <w:p>
            <w:pPr>
              <w:pStyle w:val="16"/>
            </w:pPr>
            <w:r>
              <w:t>1.32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1371.30</w:t>
            </w:r>
          </w:p>
        </w:tc>
        <w:tc>
          <w:tcPr>
            <w:tcW w:w="1134" w:type="dxa"/>
            <w:vAlign w:val="center"/>
          </w:tcPr>
          <w:p>
            <w:pPr>
              <w:pStyle w:val="16"/>
            </w:pPr>
            <w:r>
              <w:t>1371.30</w:t>
            </w:r>
          </w:p>
        </w:tc>
        <w:tc>
          <w:tcPr>
            <w:tcW w:w="1134" w:type="dxa"/>
            <w:vAlign w:val="center"/>
          </w:tcPr>
          <w:p>
            <w:pPr>
              <w:pStyle w:val="16"/>
            </w:pPr>
            <w:r>
              <w:t>1371.30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951001廊坊市广阳区南尖塔镇南尖塔小学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1372.62</w:t>
            </w:r>
          </w:p>
        </w:tc>
        <w:tc>
          <w:tcPr>
            <w:tcW w:w="1361" w:type="dxa"/>
            <w:vAlign w:val="center"/>
          </w:tcPr>
          <w:p>
            <w:pPr>
              <w:pStyle w:val="20"/>
            </w:pPr>
            <w:r>
              <w:t>1367.21</w:t>
            </w:r>
          </w:p>
        </w:tc>
        <w:tc>
          <w:tcPr>
            <w:tcW w:w="1361" w:type="dxa"/>
            <w:vAlign w:val="center"/>
          </w:tcPr>
          <w:p>
            <w:pPr>
              <w:pStyle w:val="20"/>
            </w:pPr>
            <w:r>
              <w:t>5.41</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1372.62</w:t>
            </w:r>
          </w:p>
        </w:tc>
        <w:tc>
          <w:tcPr>
            <w:tcW w:w="1361" w:type="dxa"/>
            <w:vAlign w:val="center"/>
          </w:tcPr>
          <w:p>
            <w:pPr>
              <w:pStyle w:val="16"/>
            </w:pPr>
            <w:r>
              <w:t>1367.21</w:t>
            </w:r>
          </w:p>
        </w:tc>
        <w:tc>
          <w:tcPr>
            <w:tcW w:w="1361" w:type="dxa"/>
            <w:vAlign w:val="center"/>
          </w:tcPr>
          <w:p>
            <w:pPr>
              <w:pStyle w:val="16"/>
            </w:pPr>
            <w:r>
              <w:t>5.41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1372.62</w:t>
            </w:r>
          </w:p>
        </w:tc>
        <w:tc>
          <w:tcPr>
            <w:tcW w:w="1361" w:type="dxa"/>
            <w:vAlign w:val="center"/>
          </w:tcPr>
          <w:p>
            <w:pPr>
              <w:pStyle w:val="16"/>
            </w:pPr>
            <w:r>
              <w:t>1367.21</w:t>
            </w:r>
          </w:p>
        </w:tc>
        <w:tc>
          <w:tcPr>
            <w:tcW w:w="1361" w:type="dxa"/>
            <w:vAlign w:val="center"/>
          </w:tcPr>
          <w:p>
            <w:pPr>
              <w:pStyle w:val="16"/>
            </w:pPr>
            <w:r>
              <w:t>5.41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2050201</w:t>
            </w:r>
          </w:p>
        </w:tc>
        <w:tc>
          <w:tcPr>
            <w:tcW w:w="4535" w:type="dxa"/>
            <w:vAlign w:val="center"/>
          </w:tcPr>
          <w:p>
            <w:pPr>
              <w:pStyle w:val="17"/>
            </w:pPr>
            <w:r>
              <w:t>学前教育</w:t>
            </w:r>
          </w:p>
        </w:tc>
        <w:tc>
          <w:tcPr>
            <w:tcW w:w="1361" w:type="dxa"/>
            <w:vAlign w:val="center"/>
          </w:tcPr>
          <w:p>
            <w:pPr>
              <w:pStyle w:val="16"/>
            </w:pPr>
            <w:r>
              <w:t>1.32</w:t>
            </w:r>
          </w:p>
        </w:tc>
        <w:tc>
          <w:tcPr>
            <w:tcW w:w="1361" w:type="dxa"/>
            <w:vAlign w:val="center"/>
          </w:tcPr>
          <w:p>
            <w:pPr>
              <w:pStyle w:val="16"/>
            </w:pPr>
          </w:p>
        </w:tc>
        <w:tc>
          <w:tcPr>
            <w:tcW w:w="1361" w:type="dxa"/>
            <w:vAlign w:val="center"/>
          </w:tcPr>
          <w:p>
            <w:pPr>
              <w:pStyle w:val="16"/>
            </w:pPr>
            <w:r>
              <w:t>1.32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1371.30</w:t>
            </w:r>
          </w:p>
        </w:tc>
        <w:tc>
          <w:tcPr>
            <w:tcW w:w="1361" w:type="dxa"/>
            <w:vAlign w:val="center"/>
          </w:tcPr>
          <w:p>
            <w:pPr>
              <w:pStyle w:val="16"/>
            </w:pPr>
            <w:r>
              <w:t>1367.21</w:t>
            </w:r>
          </w:p>
        </w:tc>
        <w:tc>
          <w:tcPr>
            <w:tcW w:w="1361" w:type="dxa"/>
            <w:vAlign w:val="center"/>
          </w:tcPr>
          <w:p>
            <w:pPr>
              <w:pStyle w:val="16"/>
            </w:pPr>
            <w:r>
              <w:t>4.09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951001廊坊市广阳区南尖塔镇南尖塔小学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1372.62</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1372.62</w:t>
            </w:r>
          </w:p>
        </w:tc>
        <w:tc>
          <w:tcPr>
            <w:tcW w:w="1474" w:type="dxa"/>
            <w:vAlign w:val="center"/>
          </w:tcPr>
          <w:p>
            <w:pPr>
              <w:pStyle w:val="16"/>
            </w:pPr>
            <w:r>
              <w:t>1372.62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1372.62</w:t>
            </w:r>
          </w:p>
        </w:tc>
        <w:tc>
          <w:tcPr>
            <w:tcW w:w="3402" w:type="dxa"/>
            <w:vAlign w:val="center"/>
          </w:tcPr>
          <w:p>
            <w:pPr>
              <w:pStyle w:val="19"/>
            </w:pPr>
            <w:r>
              <w:t>本年支出合计</w:t>
            </w:r>
          </w:p>
        </w:tc>
        <w:tc>
          <w:tcPr>
            <w:tcW w:w="1474" w:type="dxa"/>
            <w:vAlign w:val="center"/>
          </w:tcPr>
          <w:p>
            <w:pPr>
              <w:pStyle w:val="20"/>
            </w:pPr>
            <w:r>
              <w:t>1372.62</w:t>
            </w:r>
          </w:p>
        </w:tc>
        <w:tc>
          <w:tcPr>
            <w:tcW w:w="1474" w:type="dxa"/>
            <w:vAlign w:val="center"/>
          </w:tcPr>
          <w:p>
            <w:pPr>
              <w:pStyle w:val="20"/>
            </w:pPr>
            <w:r>
              <w:t>1372.62</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1372.62</w:t>
            </w:r>
          </w:p>
        </w:tc>
        <w:tc>
          <w:tcPr>
            <w:tcW w:w="3402" w:type="dxa"/>
            <w:vAlign w:val="center"/>
          </w:tcPr>
          <w:p>
            <w:pPr>
              <w:pStyle w:val="19"/>
            </w:pPr>
            <w:r>
              <w:t>支出总计</w:t>
            </w:r>
          </w:p>
        </w:tc>
        <w:tc>
          <w:tcPr>
            <w:tcW w:w="1474" w:type="dxa"/>
            <w:vAlign w:val="center"/>
          </w:tcPr>
          <w:p>
            <w:pPr>
              <w:pStyle w:val="20"/>
            </w:pPr>
            <w:r>
              <w:t>1372.62</w:t>
            </w:r>
          </w:p>
        </w:tc>
        <w:tc>
          <w:tcPr>
            <w:tcW w:w="1474" w:type="dxa"/>
            <w:vAlign w:val="center"/>
          </w:tcPr>
          <w:p>
            <w:pPr>
              <w:pStyle w:val="20"/>
            </w:pPr>
            <w:r>
              <w:t>1372.62</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951001廊坊市广阳区南尖塔镇南尖塔小学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1372.62</w:t>
            </w:r>
          </w:p>
        </w:tc>
        <w:tc>
          <w:tcPr>
            <w:tcW w:w="2551" w:type="dxa"/>
            <w:vAlign w:val="center"/>
          </w:tcPr>
          <w:p>
            <w:pPr>
              <w:pStyle w:val="20"/>
            </w:pPr>
            <w:r>
              <w:t>1367.21</w:t>
            </w:r>
          </w:p>
        </w:tc>
        <w:tc>
          <w:tcPr>
            <w:tcW w:w="2551" w:type="dxa"/>
            <w:vAlign w:val="center"/>
          </w:tcPr>
          <w:p>
            <w:pPr>
              <w:pStyle w:val="20"/>
            </w:pPr>
            <w:r>
              <w:t>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1372.62</w:t>
            </w:r>
          </w:p>
        </w:tc>
        <w:tc>
          <w:tcPr>
            <w:tcW w:w="2551" w:type="dxa"/>
            <w:vAlign w:val="center"/>
          </w:tcPr>
          <w:p>
            <w:pPr>
              <w:pStyle w:val="16"/>
            </w:pPr>
            <w:r>
              <w:t>1367.21</w:t>
            </w:r>
          </w:p>
        </w:tc>
        <w:tc>
          <w:tcPr>
            <w:tcW w:w="2551" w:type="dxa"/>
            <w:vAlign w:val="center"/>
          </w:tcPr>
          <w:p>
            <w:pPr>
              <w:pStyle w:val="16"/>
            </w:pPr>
            <w:r>
              <w:t>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1372.62</w:t>
            </w:r>
          </w:p>
        </w:tc>
        <w:tc>
          <w:tcPr>
            <w:tcW w:w="2551" w:type="dxa"/>
            <w:vAlign w:val="center"/>
          </w:tcPr>
          <w:p>
            <w:pPr>
              <w:pStyle w:val="16"/>
            </w:pPr>
            <w:r>
              <w:t>1367.21</w:t>
            </w:r>
          </w:p>
        </w:tc>
        <w:tc>
          <w:tcPr>
            <w:tcW w:w="2551" w:type="dxa"/>
            <w:vAlign w:val="center"/>
          </w:tcPr>
          <w:p>
            <w:pPr>
              <w:pStyle w:val="16"/>
            </w:pPr>
            <w:r>
              <w:t>5.41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2050201</w:t>
            </w:r>
          </w:p>
        </w:tc>
        <w:tc>
          <w:tcPr>
            <w:tcW w:w="4535" w:type="dxa"/>
            <w:vAlign w:val="center"/>
          </w:tcPr>
          <w:p>
            <w:pPr>
              <w:pStyle w:val="17"/>
            </w:pPr>
            <w:r>
              <w:t>学前教育</w:t>
            </w:r>
          </w:p>
        </w:tc>
        <w:tc>
          <w:tcPr>
            <w:tcW w:w="2551" w:type="dxa"/>
            <w:vAlign w:val="center"/>
          </w:tcPr>
          <w:p>
            <w:pPr>
              <w:pStyle w:val="16"/>
            </w:pPr>
            <w:r>
              <w:t>1.32</w:t>
            </w:r>
          </w:p>
        </w:tc>
        <w:tc>
          <w:tcPr>
            <w:tcW w:w="2551" w:type="dxa"/>
            <w:vAlign w:val="center"/>
          </w:tcPr>
          <w:p>
            <w:pPr>
              <w:pStyle w:val="16"/>
            </w:pPr>
          </w:p>
        </w:tc>
        <w:tc>
          <w:tcPr>
            <w:tcW w:w="2551" w:type="dxa"/>
            <w:vAlign w:val="center"/>
          </w:tcPr>
          <w:p>
            <w:pPr>
              <w:pStyle w:val="16"/>
            </w:pPr>
            <w: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1371.30</w:t>
            </w:r>
          </w:p>
        </w:tc>
        <w:tc>
          <w:tcPr>
            <w:tcW w:w="2551" w:type="dxa"/>
            <w:vAlign w:val="center"/>
          </w:tcPr>
          <w:p>
            <w:pPr>
              <w:pStyle w:val="16"/>
            </w:pPr>
            <w:r>
              <w:t>1367.21</w:t>
            </w:r>
          </w:p>
        </w:tc>
        <w:tc>
          <w:tcPr>
            <w:tcW w:w="2551" w:type="dxa"/>
            <w:vAlign w:val="center"/>
          </w:tcPr>
          <w:p>
            <w:pPr>
              <w:pStyle w:val="16"/>
            </w:pPr>
            <w:r>
              <w:t>4.09</w:t>
            </w: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951001廊坊市广阳区南尖塔镇南尖塔小学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1367.21</w:t>
            </w:r>
          </w:p>
        </w:tc>
        <w:tc>
          <w:tcPr>
            <w:tcW w:w="2551" w:type="dxa"/>
            <w:vAlign w:val="center"/>
          </w:tcPr>
          <w:p>
            <w:pPr>
              <w:pStyle w:val="20"/>
            </w:pPr>
            <w:r>
              <w:t>1353.72</w:t>
            </w:r>
          </w:p>
        </w:tc>
        <w:tc>
          <w:tcPr>
            <w:tcW w:w="2551" w:type="dxa"/>
            <w:vAlign w:val="center"/>
          </w:tcPr>
          <w:p>
            <w:pPr>
              <w:pStyle w:val="20"/>
            </w:pPr>
            <w:r>
              <w:t>13.49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1174.27</w:t>
            </w:r>
          </w:p>
        </w:tc>
        <w:tc>
          <w:tcPr>
            <w:tcW w:w="2551" w:type="dxa"/>
            <w:vAlign w:val="center"/>
          </w:tcPr>
          <w:p>
            <w:pPr>
              <w:pStyle w:val="16"/>
            </w:pPr>
            <w:r>
              <w:t>1174.27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357.84</w:t>
            </w:r>
          </w:p>
        </w:tc>
        <w:tc>
          <w:tcPr>
            <w:tcW w:w="2551" w:type="dxa"/>
            <w:vAlign w:val="center"/>
          </w:tcPr>
          <w:p>
            <w:pPr>
              <w:pStyle w:val="16"/>
            </w:pPr>
            <w:r>
              <w:t>357.84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153.76</w:t>
            </w:r>
          </w:p>
        </w:tc>
        <w:tc>
          <w:tcPr>
            <w:tcW w:w="2551" w:type="dxa"/>
            <w:vAlign w:val="center"/>
          </w:tcPr>
          <w:p>
            <w:pPr>
              <w:pStyle w:val="16"/>
            </w:pPr>
            <w:r>
              <w:t>153.76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193.12</w:t>
            </w:r>
          </w:p>
        </w:tc>
        <w:tc>
          <w:tcPr>
            <w:tcW w:w="2551" w:type="dxa"/>
            <w:vAlign w:val="center"/>
          </w:tcPr>
          <w:p>
            <w:pPr>
              <w:pStyle w:val="16"/>
            </w:pPr>
            <w:r>
              <w:t>193.12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229.19</w:t>
            </w:r>
          </w:p>
        </w:tc>
        <w:tc>
          <w:tcPr>
            <w:tcW w:w="2551" w:type="dxa"/>
            <w:vAlign w:val="center"/>
          </w:tcPr>
          <w:p>
            <w:pPr>
              <w:pStyle w:val="16"/>
            </w:pPr>
            <w:r>
              <w:t>229.19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111.72</w:t>
            </w:r>
          </w:p>
        </w:tc>
        <w:tc>
          <w:tcPr>
            <w:tcW w:w="2551" w:type="dxa"/>
            <w:vAlign w:val="center"/>
          </w:tcPr>
          <w:p>
            <w:pPr>
              <w:pStyle w:val="16"/>
            </w:pPr>
            <w:r>
              <w:t>111.72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32.40</w:t>
            </w:r>
          </w:p>
        </w:tc>
        <w:tc>
          <w:tcPr>
            <w:tcW w:w="2551" w:type="dxa"/>
            <w:vAlign w:val="center"/>
          </w:tcPr>
          <w:p>
            <w:pPr>
              <w:pStyle w:val="16"/>
            </w:pPr>
            <w:r>
              <w:t>32.40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3.53</w:t>
            </w:r>
          </w:p>
        </w:tc>
        <w:tc>
          <w:tcPr>
            <w:tcW w:w="2551" w:type="dxa"/>
            <w:vAlign w:val="center"/>
          </w:tcPr>
          <w:p>
            <w:pPr>
              <w:pStyle w:val="16"/>
            </w:pPr>
            <w:r>
              <w:t>3.53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90.94</w:t>
            </w:r>
          </w:p>
        </w:tc>
        <w:tc>
          <w:tcPr>
            <w:tcW w:w="2551" w:type="dxa"/>
            <w:vAlign w:val="center"/>
          </w:tcPr>
          <w:p>
            <w:pPr>
              <w:pStyle w:val="16"/>
            </w:pPr>
            <w:r>
              <w:t>90.94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1.76</w:t>
            </w:r>
          </w:p>
        </w:tc>
        <w:tc>
          <w:tcPr>
            <w:tcW w:w="2551" w:type="dxa"/>
            <w:vAlign w:val="center"/>
          </w:tcPr>
          <w:p>
            <w:pPr>
              <w:pStyle w:val="16"/>
            </w:pPr>
            <w:r>
              <w:t>1.76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13.49</w:t>
            </w:r>
          </w:p>
        </w:tc>
        <w:tc>
          <w:tcPr>
            <w:tcW w:w="2551" w:type="dxa"/>
            <w:vAlign w:val="center"/>
          </w:tcPr>
          <w:p>
            <w:pPr>
              <w:pStyle w:val="16"/>
            </w:pPr>
          </w:p>
        </w:tc>
        <w:tc>
          <w:tcPr>
            <w:tcW w:w="2551" w:type="dxa"/>
            <w:vAlign w:val="center"/>
          </w:tcPr>
          <w:p>
            <w:pPr>
              <w:pStyle w:val="16"/>
            </w:pPr>
            <w:r>
              <w:t>13.49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6.78</w:t>
            </w:r>
          </w:p>
        </w:tc>
        <w:tc>
          <w:tcPr>
            <w:tcW w:w="2551" w:type="dxa"/>
            <w:vAlign w:val="center"/>
          </w:tcPr>
          <w:p>
            <w:pPr>
              <w:pStyle w:val="16"/>
            </w:pPr>
          </w:p>
        </w:tc>
        <w:tc>
          <w:tcPr>
            <w:tcW w:w="2551" w:type="dxa"/>
            <w:vAlign w:val="center"/>
          </w:tcPr>
          <w:p>
            <w:pPr>
              <w:pStyle w:val="16"/>
            </w:pPr>
            <w:r>
              <w:t>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6.71</w:t>
            </w:r>
          </w:p>
        </w:tc>
        <w:tc>
          <w:tcPr>
            <w:tcW w:w="2551" w:type="dxa"/>
            <w:vAlign w:val="center"/>
          </w:tcPr>
          <w:p>
            <w:pPr>
              <w:pStyle w:val="16"/>
            </w:pPr>
          </w:p>
        </w:tc>
        <w:tc>
          <w:tcPr>
            <w:tcW w:w="2551" w:type="dxa"/>
            <w:vAlign w:val="center"/>
          </w:tcPr>
          <w:p>
            <w:pPr>
              <w:pStyle w:val="16"/>
            </w:pPr>
            <w:r>
              <w:t>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179.45</w:t>
            </w:r>
          </w:p>
        </w:tc>
        <w:tc>
          <w:tcPr>
            <w:tcW w:w="2551" w:type="dxa"/>
            <w:vAlign w:val="center"/>
          </w:tcPr>
          <w:p>
            <w:pPr>
              <w:pStyle w:val="16"/>
            </w:pPr>
            <w:r>
              <w:t>179.45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175.80</w:t>
            </w:r>
          </w:p>
        </w:tc>
        <w:tc>
          <w:tcPr>
            <w:tcW w:w="2551" w:type="dxa"/>
            <w:vAlign w:val="center"/>
          </w:tcPr>
          <w:p>
            <w:pPr>
              <w:pStyle w:val="16"/>
            </w:pPr>
            <w:r>
              <w:t>175.80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3.29</w:t>
            </w:r>
          </w:p>
        </w:tc>
        <w:tc>
          <w:tcPr>
            <w:tcW w:w="2551" w:type="dxa"/>
            <w:vAlign w:val="center"/>
          </w:tcPr>
          <w:p>
            <w:pPr>
              <w:pStyle w:val="16"/>
            </w:pPr>
            <w:r>
              <w:t>3.29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0.36</w:t>
            </w:r>
          </w:p>
        </w:tc>
        <w:tc>
          <w:tcPr>
            <w:tcW w:w="2551" w:type="dxa"/>
            <w:vAlign w:val="center"/>
          </w:tcPr>
          <w:p>
            <w:pPr>
              <w:pStyle w:val="16"/>
            </w:pPr>
            <w:r>
              <w:t>0.36</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951001廊坊市广阳区南尖塔镇南尖塔小学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951001廊坊市广阳区南尖塔镇南尖塔小学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951001廊坊市广阳区南尖塔镇南尖塔小学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廊坊市广阳区南尖塔镇南尖塔小学2023年单位预算信息公开情况说明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18" w:name="_GoBack"/>
      <w:bookmarkEnd w:id="18"/>
      <w:r>
        <w:rPr>
          <w:rFonts w:eastAsia="方正仿宋_GBK" w:cs="Times New Roman"/>
          <w:color w:val="000000"/>
          <w:sz w:val="28"/>
        </w:rPr>
        <w:t>预算法》、《地方预决算公开操作规程》和《关于进一步推进预算公开工作的实施意见》规定，现将廊坊市广阳区南尖塔镇南尖塔小学2023年单位预算公开如下：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以农村教育为重点，推进义务教育均衡发展，建立中小学校舍安全保障机制，改善薄弱学校办学条件，提高素质教育水平，开展丰富多彩的教学活动。促进公共教育资源向农村和经济欠发达地区倾斜。</w:t>
      </w:r>
    </w:p>
    <w:p>
      <w:pPr>
        <w:pStyle w:val="30"/>
      </w:pPr>
      <w:r>
        <w:t>提高义务教育公用经费保障水平，改善办学条件，均衡配置基础教育资源，缩小城乡、区域、校际之间办学差距，推进标准化学校建设，实施数字化校园建设，加强学校文化建设，落实学生资助政策。</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廊坊市广阳区南尖塔镇南尖塔小学</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反映本部门当年全部收入。2023年预算收入1372.62万元，其中：一般公共预算收入1372.62万元，基金预算收入0万元，财政专户核拨收入0万元，其他来源收入0万元，上年结转0万元。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广阳区南尖塔镇南尖塔小学2023年度部门预算中支出预算的总体情况。2023年支出预算1372.62万元，其中：基本支出1367.21万元，包括人员经费1353.72万元和日常公务经费13.49万元；项目支出5.41万元，全部为本级支出，主要用于学校的日常办公经费，水费，电费，差旅费，维修费，邮电费等项目支出等。</w:t>
      </w:r>
    </w:p>
    <w:p>
      <w:pPr>
        <w:pStyle w:val="31"/>
      </w:pPr>
      <w:r>
        <w:t>3、比上年增减情况</w:t>
      </w:r>
    </w:p>
    <w:p>
      <w:pPr>
        <w:pStyle w:val="31"/>
      </w:pPr>
      <w:r>
        <w:t>2023年预算收支安排1372.62万元，较2022年预算增加1325.43万元，其中：基本支出增加1367.21万元，增加原因主要为人员经费支出增加，项目支出减少41.78万元，减少原因主要为学生减少和运转类项目支出减少。</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w:t>
      </w:r>
      <w:r>
        <w:rPr>
          <w:rFonts w:hint="eastAsia"/>
          <w:lang w:eastAsia="zh-CN"/>
        </w:rPr>
        <w:t>单位</w:t>
      </w:r>
      <w:r>
        <w:t xml:space="preserve">运行经费共计安排13.49万元，主要用于南尖塔小学办公区的日常维修、办公用房水电费、办公用房取暖费、邮电费、差旅费等日常运行支出。 </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w:t>
      </w:r>
      <w:r>
        <w:rPr>
          <w:rFonts w:hint="eastAsia"/>
          <w:lang w:eastAsia="zh-CN"/>
        </w:rPr>
        <w:t>单位</w:t>
      </w:r>
      <w:r>
        <w:t>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cs="方正楷体_GBK" w:eastAsiaTheme="minorEastAsia"/>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提高义务教育公用经费保障水平，改善办学条件，均衡配置基础教育资源，缩小城乡、区域、校际之间办学差距，推进标准化学校建设，实施数字化校园建设，加强学校文化建设，落实学生资助政策。发展农村义务教育，免除农村中小学生学杂费，提高公用经费保障水平，为贫困中小学生免费提供教科书；改善农村小学办学条件，保障小学入学率；改善学校办学条件，保障义务教育阶段学校基本教学条件，改善学校生活设施，保障后勤社会化服务，解决学校大班额问题；开展学生社会实践活动，推进学校教育信息化；使义务教育学校教学设施和生活设施满足基本教学需要，保障后勤社会化服务资金充足，使学校能够正常运转，超大班额现象消除，教师数量、素质、结构基本适应教学需要；提升特殊教育保障水平，保证教学设备设施配备齐全，保障学生校园安全，支持贫困学生和爱心家园学生完成学业；开展教师教研及学生德育活动，开展各类课题研究、校本研究，加强教师培训和教学交流，加强德育培训与研究，举办各类教育教学活动；提高教师教学水平，调动教师积极性，培养专家型教师人才，提高学生的综合素质。</w:t>
      </w:r>
    </w:p>
    <w:p>
      <w:pPr>
        <w:spacing w:line="500" w:lineRule="exact"/>
        <w:ind w:firstLine="560"/>
      </w:pPr>
      <w:r>
        <w:rPr>
          <w:rFonts w:eastAsia="方正仿宋_GBK"/>
          <w:color w:val="000000"/>
          <w:sz w:val="28"/>
        </w:rPr>
        <w:t>（二）分项绩效目标</w:t>
      </w:r>
    </w:p>
    <w:p>
      <w:pPr>
        <w:pStyle w:val="27"/>
      </w:pPr>
      <w:r>
        <w:t>1、提高教育教学水平</w:t>
      </w:r>
    </w:p>
    <w:p>
      <w:pPr>
        <w:pStyle w:val="27"/>
      </w:pPr>
      <w:r>
        <w:t>绩效目标：免除农村中小学生学杂费，提供免费教科书，解决大班额问题及入学难问题。对贫困学生进行补助；提高教师学生综合素质。</w:t>
      </w:r>
    </w:p>
    <w:p>
      <w:pPr>
        <w:pStyle w:val="27"/>
      </w:pPr>
      <w:r>
        <w:t>绩效指标：学生学杂费免除率为100%，提供免费教科书学生率达到100%，解决大班额问题及入学难问题。对贫困学生进行补助。按质按量完成教育教学方面的各项任务，稳步提升学校的教育教学质量，学生综合素质评价优秀率达到80%,合格率达到100%。</w:t>
      </w:r>
    </w:p>
    <w:p>
      <w:pPr>
        <w:pStyle w:val="27"/>
      </w:pPr>
      <w:r>
        <w:t>2、改善办学条件</w:t>
      </w:r>
    </w:p>
    <w:p>
      <w:pPr>
        <w:pStyle w:val="27"/>
      </w:pPr>
      <w:r>
        <w:t>绩效目标：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7"/>
      </w:pPr>
      <w:r>
        <w:t>绩效指标：改善了义务教育阶段学校基本教学条件，使义务教育学校教学设施和生活设施满足基本教学需要，保障后勤社会化服务资金充足，使学校能够正常运转，100%消除大班额现象，教师数量、素质、结构基本适应教学需要。</w:t>
      </w:r>
    </w:p>
    <w:p>
      <w:pPr>
        <w:pStyle w:val="27"/>
      </w:pPr>
      <w:r>
        <w:t>3、提升学校基础设施设备的整体水平</w:t>
      </w:r>
    </w:p>
    <w:p>
      <w:pPr>
        <w:pStyle w:val="27"/>
      </w:pPr>
      <w:r>
        <w:t>绩效目标：加强学校基础设施设备的维护,确保校园安全,落实校园防火及其他安全隐患的预防工作。确保校园各设施设备的正常运行。</w:t>
      </w:r>
    </w:p>
    <w:p>
      <w:pPr>
        <w:pStyle w:val="27"/>
      </w:pPr>
      <w:r>
        <w:t>绩效指标：学校基础设施设备的实现基本维护,确保校园安全,落实校园防火及其他安全隐患的预防工作。确保校园各设施设备的正常运行。确保校园无有1例安全事件发生。</w:t>
      </w:r>
    </w:p>
    <w:p>
      <w:pPr>
        <w:pStyle w:val="27"/>
      </w:pPr>
      <w:r>
        <w:t>4、开展各类课题研究、校本研究</w:t>
      </w:r>
    </w:p>
    <w:p>
      <w:pPr>
        <w:pStyle w:val="27"/>
      </w:pPr>
      <w:r>
        <w:t>绩效目标：支持学校各类课题研究、校本研究和教师培训，提高教师教学水平。</w:t>
      </w:r>
    </w:p>
    <w:p>
      <w:pPr>
        <w:pStyle w:val="27"/>
      </w:pPr>
      <w:r>
        <w:t>绩效指标：支持完成2项市级课题研究，确保校本研修活动的顺利开展，实现教师培训和教学交流，提高教师教学水平，调动教师积极性，培养专家型教师人才，加强德育培训与研究，举办各类教育教学、学生社会实践活动。</w:t>
      </w:r>
    </w:p>
    <w:p>
      <w:pPr>
        <w:pStyle w:val="27"/>
      </w:pPr>
      <w:r>
        <w:t>5.较强校园文化建设，提高人民满意度</w:t>
      </w:r>
    </w:p>
    <w:p>
      <w:pPr>
        <w:pStyle w:val="27"/>
      </w:pPr>
      <w:r>
        <w:t>绩效目标：加大学校办学理念、目标的宣传,形成具有特色的校园文化氛围，提高人民满意度。</w:t>
      </w:r>
    </w:p>
    <w:p>
      <w:pPr>
        <w:pStyle w:val="27"/>
      </w:pPr>
      <w:r>
        <w:t>绩效指标：学校的文化宣传整体布局,完成各班级、各科室及教师办公室的文化宣传布置。加大学校办学理念、目标的宣传,形成具有特色的校园文化氛围。办人民满意的学校,教师、学生、家长整体满意度达到90%以上。</w:t>
      </w:r>
    </w:p>
    <w:p>
      <w:pPr>
        <w:spacing w:line="500" w:lineRule="exact"/>
        <w:ind w:firstLine="560"/>
      </w:pPr>
      <w:r>
        <w:rPr>
          <w:rFonts w:eastAsia="方正仿宋_GBK"/>
          <w:color w:val="000000"/>
          <w:sz w:val="28"/>
        </w:rPr>
        <w:t>（三）工作保障措施</w:t>
      </w:r>
    </w:p>
    <w:p>
      <w:pPr>
        <w:pStyle w:val="28"/>
      </w:pPr>
      <w:r>
        <w:t>1、落实责任制定：成立学校监督小组，监督学校工作，强化工作落实。</w:t>
      </w:r>
    </w:p>
    <w:p>
      <w:pPr>
        <w:pStyle w:val="28"/>
      </w:pPr>
      <w:r>
        <w:t>2、做好保障工作：贯彻落实中央和省、市、区委关于重大节日开展对离退休干部进行走访慰问的指示精神，做好困难党员、群众、老教师、优抚对象、劳动模范的关心帮扶工作，充分体现党和政府对教育工作者的关怀。</w:t>
      </w:r>
    </w:p>
    <w:p>
      <w:pPr>
        <w:pStyle w:val="28"/>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8"/>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8"/>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8"/>
      </w:pPr>
      <w:r>
        <w:t>6、加强政治理论学习，强化党风廉政建设：做好师德传承活动，落实老中青传帮带。弘扬办学精神。加强师德宣传与学习活动。开展形式多样、扎实有效的师德教育活动。</w:t>
      </w:r>
    </w:p>
    <w:p>
      <w:pPr>
        <w:pStyle w:val="28"/>
      </w:pPr>
      <w:r>
        <w:t>逐步制订、完善相关制度，规范教师师德。加强校本培训和继续教育工作，提升教师能力。落实教师评价工作，完善考核机制。搭建教师发展平</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13"/>
        <w:gridCol w:w="629"/>
        <w:gridCol w:w="2551"/>
        <w:gridCol w:w="3586"/>
        <w:gridCol w:w="4631"/>
        <w:gridCol w:w="513"/>
        <w:gridCol w:w="418"/>
        <w:gridCol w:w="1038"/>
        <w:gridCol w:w="9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lang w:eastAsia="zh-CN"/>
              </w:rPr>
            </w:pPr>
            <w:r>
              <w:rPr>
                <w:rFonts w:hint="eastAsia" w:ascii="方正书宋_GBK" w:eastAsia="方正书宋_GBK"/>
                <w:b/>
                <w:bCs/>
                <w:color w:val="000000"/>
                <w:sz w:val="22"/>
                <w:szCs w:val="22"/>
              </w:rPr>
              <w:t>一级指标</w:t>
            </w:r>
          </w:p>
        </w:tc>
        <w:tc>
          <w:tcPr>
            <w:tcW w:w="62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二级指标</w:t>
            </w:r>
          </w:p>
        </w:tc>
        <w:tc>
          <w:tcPr>
            <w:tcW w:w="255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629" w:type="dxa"/>
            <w:vMerge w:val="continue"/>
            <w:shd w:val="clear" w:color="auto" w:fill="auto"/>
            <w:vAlign w:val="center"/>
          </w:tcPr>
          <w:p>
            <w:pPr>
              <w:rPr>
                <w:rFonts w:ascii="方正书宋_GBK" w:hAnsi="宋体" w:eastAsia="方正书宋_GBK" w:cs="宋体"/>
                <w:b/>
                <w:bCs/>
                <w:color w:val="000000"/>
                <w:sz w:val="22"/>
                <w:szCs w:val="22"/>
              </w:rPr>
            </w:pPr>
          </w:p>
        </w:tc>
        <w:tc>
          <w:tcPr>
            <w:tcW w:w="2551" w:type="dxa"/>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vMerge w:val="continue"/>
            <w:shd w:val="clear" w:color="auto" w:fill="auto"/>
            <w:vAlign w:val="center"/>
          </w:tcPr>
          <w:p>
            <w:pPr>
              <w:rPr>
                <w:rFonts w:ascii="方正书宋_GBK" w:hAnsi="宋体" w:eastAsia="方正书宋_GBK" w:cs="宋体"/>
                <w:b/>
                <w:bCs/>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单位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sz w:val="22"/>
                <w:szCs w:val="22"/>
              </w:rPr>
            </w:pPr>
            <w:r>
              <w:rPr>
                <w:rFonts w:hint="eastAsia" w:ascii="方正书宋_GBK" w:eastAsia="方正书宋_GBK"/>
                <w:b/>
                <w:bCs/>
                <w:color w:val="000000"/>
                <w:sz w:val="22"/>
                <w:szCs w:val="22"/>
              </w:rPr>
              <w:t>确定依据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部门产出</w:t>
            </w:r>
          </w:p>
        </w:tc>
        <w:tc>
          <w:tcPr>
            <w:tcW w:w="62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62</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财政供养人数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保障学前学生人数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33</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保障人数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每未完成1人，扣减分值1%</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保障学生人数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544</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数量</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每减少1次，减数量分值的10%。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教育教学活动开展次数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8</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次</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工资(福利)等发放精准性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每未准确发放1笔，扣减分值5%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工资福利等发放人员范围的精准性和发放数据的准确性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每未准确缴纳1笔，扣减分值5%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社会保障（公积金）缴纳数据的准确性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运转保障率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每降低5%，扣标准分值的5%。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各项日常工作保障率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质量</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达到指标目标值得满分，达到80%目标值得权重分的50%，低于80%不得分。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教育教学活动考核合格率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教育教学活动考核表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工资(福利)发放及时性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未及时发放1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工资福利等发放的时效情况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按规定时间发放</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社会保障（公积金）缴纳的及时性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未及时缴纳1 次，扣减分值5%</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社会保障（公积金）等缴纳的时效情况</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按规定时间缴纳</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经费保障及时性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及时保障各项日常办公需要</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及时保障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时效</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每出现1次未在规定时间内开展，扣10%权重分。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教育教学活动开展及时性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按规定时间开展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按规定执行得满分，否则不得分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工资（福利）、社会保障（公积金）等发放（缴纳）标准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成本</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日常公用经费开支标准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每超过一项规定标准扣标准分值的10%。</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办公费、水电费、交通费、会议费、工会经费、招待费及其他公用经费的开支标准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按统一规定执行</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部门效果</w:t>
            </w:r>
          </w:p>
        </w:tc>
        <w:tc>
          <w:tcPr>
            <w:tcW w:w="629" w:type="dxa"/>
            <w:vMerge w:val="restart"/>
            <w:shd w:val="clear" w:color="auto" w:fill="auto"/>
            <w:tcMar>
              <w:top w:w="15" w:type="dxa"/>
              <w:left w:w="15" w:type="dxa"/>
              <w:bottom w:w="0" w:type="dxa"/>
              <w:right w:w="15" w:type="dxa"/>
            </w:tcMar>
            <w:vAlign w:val="center"/>
          </w:tcPr>
          <w:p>
            <w:pPr>
              <w:jc w:val="center"/>
              <w:rPr>
                <w:rFonts w:ascii="方正书宋_GBK" w:eastAsiaTheme="minorEastAsia"/>
                <w:color w:val="000000"/>
                <w:sz w:val="22"/>
                <w:szCs w:val="22"/>
                <w:lang w:eastAsia="zh-CN"/>
              </w:rPr>
            </w:pPr>
            <w:r>
              <w:rPr>
                <w:rFonts w:hint="eastAsia" w:ascii="方正书宋_GBK" w:eastAsia="方正书宋_GBK"/>
                <w:color w:val="000000"/>
                <w:sz w:val="22"/>
                <w:szCs w:val="22"/>
              </w:rPr>
              <w:t>社会</w:t>
            </w:r>
          </w:p>
          <w:p>
            <w:pPr>
              <w:jc w:val="center"/>
              <w:rPr>
                <w:rFonts w:ascii="方正书宋_GBK" w:eastAsiaTheme="minorEastAsia"/>
                <w:color w:val="000000"/>
                <w:sz w:val="22"/>
                <w:szCs w:val="22"/>
                <w:lang w:eastAsia="zh-CN"/>
              </w:rPr>
            </w:pPr>
            <w:r>
              <w:rPr>
                <w:rFonts w:hint="eastAsia" w:ascii="方正书宋_GBK" w:eastAsiaTheme="minorEastAsia"/>
                <w:color w:val="000000"/>
                <w:sz w:val="22"/>
                <w:szCs w:val="22"/>
                <w:lang w:eastAsia="zh-CN"/>
              </w:rPr>
              <w:t>效益</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加强工作人员归属感，保持干部队伍稳定</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保持相对稳定得满分，否则不得分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通过按时按标准发放工资福利等，进一步增强干部职工得归属感，保持职工队伍相对稳定，保障办公正常运转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保持职工队伍相对稳定</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保障日常办公需要，维持单位正常运转</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rPr>
                <w:rFonts w:ascii="方正书宋_GBK" w:hAnsi="宋体" w:eastAsia="方正书宋_GBK" w:cs="宋体"/>
                <w:color w:val="000000"/>
                <w:sz w:val="22"/>
                <w:szCs w:val="22"/>
              </w:rPr>
            </w:pPr>
            <w:r>
              <w:rPr>
                <w:rFonts w:hint="eastAsia" w:ascii="方正书宋_GBK" w:eastAsia="方正书宋_GBK"/>
                <w:color w:val="000000"/>
                <w:sz w:val="22"/>
                <w:szCs w:val="22"/>
              </w:rPr>
              <w:t>维持单位正常运转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达标得满分，基本达标得80%权重分，部分达标得60%权重分，不达标不得分。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有效保障学校正常教育教学活动开展</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vMerge w:val="continue"/>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每减少受益教师1人，扣2.5%权重分。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有效保持教师队伍稳定性</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文字描述</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2"/>
                <w:szCs w:val="22"/>
              </w:rPr>
            </w:pPr>
            <w:r>
              <w:rPr>
                <w:rFonts w:hint="eastAsia" w:ascii="方正书宋_GBK" w:eastAsia="方正书宋_GBK"/>
                <w:color w:val="000000"/>
                <w:sz w:val="22"/>
                <w:szCs w:val="22"/>
              </w:rPr>
              <w:t>有效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计划标准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教职工满意度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2"/>
                <w:szCs w:val="22"/>
              </w:rPr>
            </w:pPr>
          </w:p>
        </w:tc>
        <w:tc>
          <w:tcPr>
            <w:tcW w:w="629" w:type="dxa"/>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满意度</w:t>
            </w:r>
          </w:p>
        </w:tc>
        <w:tc>
          <w:tcPr>
            <w:tcW w:w="2551" w:type="dxa"/>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达到指标目标值得满分，每下降1%，扣权重分值的2.5%，低于60%不得分。</w:t>
            </w:r>
          </w:p>
        </w:tc>
        <w:tc>
          <w:tcPr>
            <w:tcW w:w="0" w:type="auto"/>
            <w:shd w:val="clear" w:color="auto" w:fill="auto"/>
            <w:tcMar>
              <w:top w:w="15" w:type="dxa"/>
              <w:left w:w="15" w:type="dxa"/>
              <w:bottom w:w="0" w:type="dxa"/>
              <w:right w:w="15" w:type="dxa"/>
            </w:tcMar>
            <w:vAlign w:val="center"/>
          </w:tcPr>
          <w:p>
            <w:pPr>
              <w:rPr>
                <w:rFonts w:ascii="方正书宋_GBK" w:eastAsia="方正书宋_GBK"/>
                <w:color w:val="000000"/>
                <w:sz w:val="22"/>
                <w:szCs w:val="22"/>
              </w:rPr>
            </w:pPr>
            <w:r>
              <w:rPr>
                <w:rFonts w:hint="eastAsia" w:ascii="方正书宋_GBK" w:eastAsia="方正书宋_GBK"/>
                <w:color w:val="000000"/>
                <w:sz w:val="22"/>
                <w:szCs w:val="22"/>
              </w:rPr>
              <w:t>学生满意度</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90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2"/>
                <w:szCs w:val="22"/>
              </w:rPr>
            </w:pPr>
            <w:r>
              <w:rPr>
                <w:rFonts w:hint="eastAsia" w:ascii="方正书宋_GBK" w:eastAsia="方正书宋_GBK"/>
                <w:color w:val="000000"/>
                <w:sz w:val="22"/>
                <w:szCs w:val="22"/>
              </w:rPr>
              <w:t>问卷调查</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1、学前阶段生均公用经费绩效目标表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1.保障幼儿园正常运转。</w:t>
            </w:r>
          </w:p>
          <w:p>
            <w:pPr>
              <w:pStyle w:val="17"/>
            </w:pPr>
            <w:r>
              <w:t>2.通过项目的开展，进一步提升办园水平，促进学前教育健康发展，办好人民满意的教</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满足教育教学学生人数</w:t>
            </w:r>
          </w:p>
        </w:tc>
        <w:tc>
          <w:tcPr>
            <w:tcW w:w="2835" w:type="dxa"/>
            <w:vAlign w:val="center"/>
          </w:tcPr>
          <w:p>
            <w:pPr>
              <w:pStyle w:val="17"/>
            </w:pPr>
            <w:r>
              <w:t>满足教育教学学生人数</w:t>
            </w:r>
          </w:p>
        </w:tc>
        <w:tc>
          <w:tcPr>
            <w:tcW w:w="2551" w:type="dxa"/>
            <w:vAlign w:val="center"/>
          </w:tcPr>
          <w:p>
            <w:pPr>
              <w:pStyle w:val="17"/>
            </w:pPr>
            <w:r>
              <w:t>33人</w:t>
            </w:r>
          </w:p>
        </w:tc>
        <w:tc>
          <w:tcPr>
            <w:tcW w:w="2268" w:type="dxa"/>
            <w:vAlign w:val="center"/>
          </w:tcPr>
          <w:p>
            <w:pPr>
              <w:pStyle w:val="17"/>
            </w:pPr>
            <w:r>
              <w:t>实际在园人数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购买产品和服务的合格率</w:t>
            </w:r>
          </w:p>
        </w:tc>
        <w:tc>
          <w:tcPr>
            <w:tcW w:w="2835" w:type="dxa"/>
            <w:vAlign w:val="center"/>
          </w:tcPr>
          <w:p>
            <w:pPr>
              <w:pStyle w:val="17"/>
            </w:pPr>
            <w:r>
              <w:t>购买产品和服务的合格率</w:t>
            </w:r>
          </w:p>
        </w:tc>
        <w:tc>
          <w:tcPr>
            <w:tcW w:w="2551" w:type="dxa"/>
            <w:vAlign w:val="center"/>
          </w:tcPr>
          <w:p>
            <w:pPr>
              <w:pStyle w:val="17"/>
            </w:pPr>
            <w:r>
              <w:t>100%</w:t>
            </w:r>
          </w:p>
        </w:tc>
        <w:tc>
          <w:tcPr>
            <w:tcW w:w="2268" w:type="dxa"/>
            <w:vAlign w:val="center"/>
          </w:tcPr>
          <w:p>
            <w:pPr>
              <w:pStyle w:val="17"/>
            </w:pPr>
            <w:r>
              <w:t>产品和服务的使用验收情况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各项任务完成及时率</w:t>
            </w:r>
          </w:p>
        </w:tc>
        <w:tc>
          <w:tcPr>
            <w:tcW w:w="2835" w:type="dxa"/>
            <w:vAlign w:val="center"/>
          </w:tcPr>
          <w:p>
            <w:pPr>
              <w:pStyle w:val="17"/>
            </w:pPr>
            <w:r>
              <w:t>用于保障学校工作完成及时率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幼儿生均经费标准</w:t>
            </w:r>
          </w:p>
        </w:tc>
        <w:tc>
          <w:tcPr>
            <w:tcW w:w="2835" w:type="dxa"/>
            <w:vAlign w:val="center"/>
          </w:tcPr>
          <w:p>
            <w:pPr>
              <w:pStyle w:val="17"/>
            </w:pPr>
            <w:r>
              <w:t>幼儿生均经费标准</w:t>
            </w:r>
          </w:p>
        </w:tc>
        <w:tc>
          <w:tcPr>
            <w:tcW w:w="2551" w:type="dxa"/>
            <w:vAlign w:val="center"/>
          </w:tcPr>
          <w:p>
            <w:pPr>
              <w:pStyle w:val="17"/>
            </w:pPr>
            <w:r>
              <w:t>400元/生</w:t>
            </w:r>
          </w:p>
        </w:tc>
        <w:tc>
          <w:tcPr>
            <w:tcW w:w="2268" w:type="dxa"/>
            <w:vAlign w:val="center"/>
          </w:tcPr>
          <w:p>
            <w:pPr>
              <w:pStyle w:val="17"/>
            </w:pPr>
            <w:r>
              <w:t>冀财教[2018]99号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学前教育高质量发展</w:t>
            </w:r>
          </w:p>
        </w:tc>
        <w:tc>
          <w:tcPr>
            <w:tcW w:w="2835" w:type="dxa"/>
            <w:vAlign w:val="center"/>
          </w:tcPr>
          <w:p>
            <w:pPr>
              <w:pStyle w:val="17"/>
            </w:pPr>
            <w:r>
              <w:t>该资金用于学校正常运转，改善办学条件，促进学前教育均衡发展及学生素质提高</w:t>
            </w:r>
          </w:p>
        </w:tc>
        <w:tc>
          <w:tcPr>
            <w:tcW w:w="2551" w:type="dxa"/>
            <w:vAlign w:val="center"/>
          </w:tcPr>
          <w:p>
            <w:pPr>
              <w:pStyle w:val="17"/>
            </w:pPr>
            <w:r>
              <w:t>改善</w:t>
            </w:r>
          </w:p>
        </w:tc>
        <w:tc>
          <w:tcPr>
            <w:tcW w:w="2268" w:type="dxa"/>
            <w:vAlign w:val="center"/>
          </w:tcPr>
          <w:p>
            <w:pPr>
              <w:pStyle w:val="17"/>
            </w:pPr>
            <w:r>
              <w:t>工作计划、工作总结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1.廊坊市广阳区南尖塔小学2023年在校生544人，按照义务教育生均公用经费标准申领财政预算资金，通过合理、合规使用资金达到保证学校正常运转，改善办学条件，促进义务教育发展。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保障使用生均公用经费发实际在校学生人数</w:t>
            </w:r>
          </w:p>
        </w:tc>
        <w:tc>
          <w:tcPr>
            <w:tcW w:w="2551" w:type="dxa"/>
            <w:vAlign w:val="center"/>
          </w:tcPr>
          <w:p>
            <w:pPr>
              <w:pStyle w:val="17"/>
            </w:pPr>
            <w:r>
              <w:t>544人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使用生均公用经费，用于保障学校正常运转的项目支出成本等于735元/生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该资金用于学校正常运转，改善办学条件，促进义务教育均衡发展及学生素质的提高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在校师生的满意度</w:t>
            </w:r>
          </w:p>
        </w:tc>
        <w:tc>
          <w:tcPr>
            <w:tcW w:w="2835" w:type="dxa"/>
            <w:vAlign w:val="center"/>
          </w:tcPr>
          <w:p>
            <w:pPr>
              <w:pStyle w:val="17"/>
            </w:pPr>
            <w:r>
              <w:t>在校师生的满意度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2023年，廊坊市广阳区南尖塔镇南尖塔小学安排政府采购预算0.00万元。具体内容见下表。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951001廊坊市广阳区南尖塔镇南尖塔小学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廊坊市广阳区南尖塔镇南尖塔小学上年末固定资产金额为150.00万元（详见下表）。本年度拟购置固定资产总额为0.00万元，已按要求列入政府采购预算，详见政府采购预算表。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951001廊坊市广阳区南尖塔镇南尖塔小学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889</w:t>
            </w:r>
          </w:p>
        </w:tc>
        <w:tc>
          <w:tcPr>
            <w:tcW w:w="2835" w:type="dxa"/>
            <w:vAlign w:val="center"/>
          </w:tcPr>
          <w:p>
            <w:pPr>
              <w:pStyle w:val="16"/>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220</w:t>
            </w:r>
          </w:p>
        </w:tc>
        <w:tc>
          <w:tcPr>
            <w:tcW w:w="2835" w:type="dxa"/>
            <w:vAlign w:val="center"/>
          </w:tcPr>
          <w:p>
            <w:pPr>
              <w:pStyle w:val="16"/>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25.00</w:t>
            </w:r>
          </w:p>
        </w:tc>
      </w:tr>
    </w:tbl>
    <w:p>
      <w:pPr>
        <w:ind w:firstLine="640"/>
      </w:pP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5B57B7"/>
    <w:rsid w:val="00190A2A"/>
    <w:rsid w:val="001A730C"/>
    <w:rsid w:val="003D3D8E"/>
    <w:rsid w:val="005B57B7"/>
    <w:rsid w:val="005D4C32"/>
    <w:rsid w:val="00F37F83"/>
    <w:rsid w:val="03ED03E6"/>
    <w:rsid w:val="09F347E8"/>
    <w:rsid w:val="24683E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2023-03-13T09:36:56Z</dcterms:created>
  <dcterms:modified xsi:type="dcterms:W3CDTF">2023-03-13T01:36:56Z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2023-03-13T09:36:55Z</dcterms:created>
  <dcterms:modified xsi:type="dcterms:W3CDTF">2023-03-13T01:36:55Z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2023-03-13T09:37:00Z</dcterms:created>
  <dcterms:modified xsi:type="dcterms:W3CDTF">2023-03-13T01:37:00Z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2023-03-13T09:36:59Z</dcterms:created>
  <dcterms:modified xsi:type="dcterms:W3CDTF">2023-03-13T01:36:59Z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2023-03-13T09:36:59Z</dcterms:created>
  <dcterms:modified xsi:type="dcterms:W3CDTF">2023-03-13T01:36:59Z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2023-03-13T09:36:56Z</dcterms:created>
  <dcterms:modified xsi:type="dcterms:W3CDTF">2023-03-13T01:36:56Z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2023-03-13T09:36:59Z</dcterms:created>
  <dcterms:modified xsi:type="dcterms:W3CDTF">2023-03-13T01:36:59Z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2023-03-13T09:36:56Z</dcterms:created>
  <dcterms:modified xsi:type="dcterms:W3CDTF">2023-03-13T01:36:56Z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2023-03-13T09:36:55Z</dcterms:created>
  <dcterms:modified xsi:type="dcterms:W3CDTF">2023-03-13T01:36:55Z</dcterms:modified>
</cp:coreProperties>
</file>

<file path=customXml/itemProps1.xml><?xml version="1.0" encoding="utf-8"?>
<ds:datastoreItem xmlns:ds="http://schemas.openxmlformats.org/officeDocument/2006/customXml" ds:itemID="{654CDA53-90F3-44D3-8148-F8BC3A0821DC}">
  <ds:schemaRefs/>
</ds:datastoreItem>
</file>

<file path=customXml/itemProps10.xml><?xml version="1.0" encoding="utf-8"?>
<ds:datastoreItem xmlns:ds="http://schemas.openxmlformats.org/officeDocument/2006/customXml" ds:itemID="{4CDB1D8B-E651-40CA-9988-2B4D6E77C655}">
  <ds:schemaRefs/>
</ds:datastoreItem>
</file>

<file path=customXml/itemProps11.xml><?xml version="1.0" encoding="utf-8"?>
<ds:datastoreItem xmlns:ds="http://schemas.openxmlformats.org/officeDocument/2006/customXml" ds:itemID="{948D6EED-3131-49BD-8DBD-C583EF55BF7F}">
  <ds:schemaRefs/>
</ds:datastoreItem>
</file>

<file path=customXml/itemProps12.xml><?xml version="1.0" encoding="utf-8"?>
<ds:datastoreItem xmlns:ds="http://schemas.openxmlformats.org/officeDocument/2006/customXml" ds:itemID="{53203AC0-D261-4E51-A769-584F685ECA96}">
  <ds:schemaRefs/>
</ds:datastoreItem>
</file>

<file path=customXml/itemProps13.xml><?xml version="1.0" encoding="utf-8"?>
<ds:datastoreItem xmlns:ds="http://schemas.openxmlformats.org/officeDocument/2006/customXml" ds:itemID="{5C29672C-CD53-4047-BBBE-C4EA59BCA0D7}">
  <ds:schemaRefs/>
</ds:datastoreItem>
</file>

<file path=customXml/itemProps14.xml><?xml version="1.0" encoding="utf-8"?>
<ds:datastoreItem xmlns:ds="http://schemas.openxmlformats.org/officeDocument/2006/customXml" ds:itemID="{C0D6D4C9-D8B0-4A20-A3BD-3CFF9028221E}">
  <ds:schemaRefs/>
</ds:datastoreItem>
</file>

<file path=customXml/itemProps15.xml><?xml version="1.0" encoding="utf-8"?>
<ds:datastoreItem xmlns:ds="http://schemas.openxmlformats.org/officeDocument/2006/customXml" ds:itemID="{D6E8E5D8-A8BF-4C91-AD46-80DA885819C1}">
  <ds:schemaRefs/>
</ds:datastoreItem>
</file>

<file path=customXml/itemProps16.xml><?xml version="1.0" encoding="utf-8"?>
<ds:datastoreItem xmlns:ds="http://schemas.openxmlformats.org/officeDocument/2006/customXml" ds:itemID="{D026B670-BFEF-41C3-ABE5-25CD498DCC53}">
  <ds:schemaRefs/>
</ds:datastoreItem>
</file>

<file path=customXml/itemProps17.xml><?xml version="1.0" encoding="utf-8"?>
<ds:datastoreItem xmlns:ds="http://schemas.openxmlformats.org/officeDocument/2006/customXml" ds:itemID="{B3D51B31-DF27-4635-AA3D-117F937DB588}">
  <ds:schemaRefs/>
</ds:datastoreItem>
</file>

<file path=customXml/itemProps18.xml><?xml version="1.0" encoding="utf-8"?>
<ds:datastoreItem xmlns:ds="http://schemas.openxmlformats.org/officeDocument/2006/customXml" ds:itemID="{A2C77AA9-6FFB-4742-ACBB-1D23A4452CE8}">
  <ds:schemaRefs/>
</ds:datastoreItem>
</file>

<file path=customXml/itemProps2.xml><?xml version="1.0" encoding="utf-8"?>
<ds:datastoreItem xmlns:ds="http://schemas.openxmlformats.org/officeDocument/2006/customXml" ds:itemID="{E5FD155F-C1EA-44AE-B57C-B389A5A6E4A1}">
  <ds:schemaRefs/>
</ds:datastoreItem>
</file>

<file path=customXml/itemProps3.xml><?xml version="1.0" encoding="utf-8"?>
<ds:datastoreItem xmlns:ds="http://schemas.openxmlformats.org/officeDocument/2006/customXml" ds:itemID="{FA6F6A7F-1067-4E18-8DC4-3C29CFCA2811}">
  <ds:schemaRefs/>
</ds:datastoreItem>
</file>

<file path=customXml/itemProps4.xml><?xml version="1.0" encoding="utf-8"?>
<ds:datastoreItem xmlns:ds="http://schemas.openxmlformats.org/officeDocument/2006/customXml" ds:itemID="{0F8E71DF-10EB-4119-B67A-A9C5D1EA9024}">
  <ds:schemaRefs/>
</ds:datastoreItem>
</file>

<file path=customXml/itemProps5.xml><?xml version="1.0" encoding="utf-8"?>
<ds:datastoreItem xmlns:ds="http://schemas.openxmlformats.org/officeDocument/2006/customXml" ds:itemID="{43B8CE20-1EDD-402A-9C34-D479510D192A}">
  <ds:schemaRefs/>
</ds:datastoreItem>
</file>

<file path=customXml/itemProps6.xml><?xml version="1.0" encoding="utf-8"?>
<ds:datastoreItem xmlns:ds="http://schemas.openxmlformats.org/officeDocument/2006/customXml" ds:itemID="{B6149C26-81C4-43A8-8C14-859B01EB4094}">
  <ds:schemaRefs/>
</ds:datastoreItem>
</file>

<file path=customXml/itemProps7.xml><?xml version="1.0" encoding="utf-8"?>
<ds:datastoreItem xmlns:ds="http://schemas.openxmlformats.org/officeDocument/2006/customXml" ds:itemID="{AF7EDBBE-72A2-4FE5-BA91-457AC231F3CD}">
  <ds:schemaRefs/>
</ds:datastoreItem>
</file>

<file path=customXml/itemProps8.xml><?xml version="1.0" encoding="utf-8"?>
<ds:datastoreItem xmlns:ds="http://schemas.openxmlformats.org/officeDocument/2006/customXml" ds:itemID="{6FCF1D48-7AB7-4B74-82C9-F022A8230CA8}">
  <ds:schemaRefs/>
</ds:datastoreItem>
</file>

<file path=customXml/itemProps9.xml><?xml version="1.0" encoding="utf-8"?>
<ds:datastoreItem xmlns:ds="http://schemas.openxmlformats.org/officeDocument/2006/customXml" ds:itemID="{8460716B-F1EA-4BE7-9AC7-1B69ACC77766}">
  <ds:schemaRefs/>
</ds:datastoreItem>
</file>

<file path=docProps/app.xml><?xml version="1.0" encoding="utf-8"?>
<Properties xmlns="http://schemas.openxmlformats.org/officeDocument/2006/extended-properties" xmlns:vt="http://schemas.openxmlformats.org/officeDocument/2006/docPropsVTypes">
  <Template>Normal</Template>
  <Pages>28</Pages>
  <Words>1784</Words>
  <Characters>10175</Characters>
  <Lines>84</Lines>
  <Paragraphs>23</Paragraphs>
  <TotalTime>2</TotalTime>
  <ScaleCrop>false</ScaleCrop>
  <LinksUpToDate>false</LinksUpToDate>
  <CharactersWithSpaces>11936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2023-03-13T09:37:00Z</dcterms:created>
  <dc:creator>lenovo001</dc:creator>
  <cp:lastModifiedBy>Administrator</cp:lastModifiedBy>
  <dcterms:modified xsi:type="dcterms:W3CDTF">2024-01-10T11:08:26Z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243E3B75DA35452B8AF3439DDB4CC128</vt:lpwstr>
  </property>
</Properties>
</file>