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6" w:name="_GoBack"/>
      <w:bookmarkEnd w:id="36"/>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38</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38</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39</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40</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917廊坊市广阳区银河北路街道办事处</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2273.58</w:t>
            </w:r>
          </w:p>
        </w:tc>
        <w:tc>
          <w:tcPr>
            <w:tcW w:w="4535" w:type="dxa"/>
            <w:vAlign w:val="center"/>
          </w:tcPr>
          <w:p>
            <w:pPr>
              <w:pStyle w:val="17"/>
            </w:pPr>
            <w:r>
              <w:t>一、一般公共服务支出</w:t>
            </w:r>
          </w:p>
        </w:tc>
        <w:tc>
          <w:tcPr>
            <w:tcW w:w="2126" w:type="dxa"/>
            <w:vAlign w:val="center"/>
          </w:tcPr>
          <w:p>
            <w:pPr>
              <w:pStyle w:val="16"/>
            </w:pPr>
            <w:r>
              <w:t>1227.98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903.22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102.18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2273.58</w:t>
            </w:r>
          </w:p>
        </w:tc>
        <w:tc>
          <w:tcPr>
            <w:tcW w:w="4535" w:type="dxa"/>
            <w:vAlign w:val="center"/>
          </w:tcPr>
          <w:p>
            <w:pPr>
              <w:pStyle w:val="19"/>
            </w:pPr>
            <w:r>
              <w:t>本年支出合计</w:t>
            </w:r>
          </w:p>
        </w:tc>
        <w:tc>
          <w:tcPr>
            <w:tcW w:w="2126" w:type="dxa"/>
            <w:vAlign w:val="center"/>
          </w:tcPr>
          <w:p>
            <w:pPr>
              <w:pStyle w:val="20"/>
            </w:pPr>
            <w:r>
              <w:t>2294.90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21.32</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2294.90</w:t>
            </w:r>
          </w:p>
        </w:tc>
        <w:tc>
          <w:tcPr>
            <w:tcW w:w="4535" w:type="dxa"/>
            <w:vAlign w:val="center"/>
          </w:tcPr>
          <w:p>
            <w:pPr>
              <w:pStyle w:val="19"/>
            </w:pPr>
            <w:r>
              <w:t>支出总计</w:t>
            </w:r>
          </w:p>
        </w:tc>
        <w:tc>
          <w:tcPr>
            <w:tcW w:w="2126" w:type="dxa"/>
            <w:vAlign w:val="center"/>
          </w:tcPr>
          <w:p>
            <w:pPr>
              <w:pStyle w:val="20"/>
            </w:pPr>
            <w:r>
              <w:t>2294.90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917廊坊市广阳区银河北路街道办事处</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2294.90</w:t>
            </w:r>
          </w:p>
        </w:tc>
        <w:tc>
          <w:tcPr>
            <w:tcW w:w="1134" w:type="dxa"/>
            <w:vAlign w:val="center"/>
          </w:tcPr>
          <w:p>
            <w:pPr>
              <w:pStyle w:val="20"/>
            </w:pPr>
            <w:r>
              <w:t>2273.58</w:t>
            </w:r>
          </w:p>
        </w:tc>
        <w:tc>
          <w:tcPr>
            <w:tcW w:w="1134" w:type="dxa"/>
            <w:vAlign w:val="center"/>
          </w:tcPr>
          <w:p>
            <w:pPr>
              <w:pStyle w:val="20"/>
            </w:pPr>
            <w:r>
              <w:t>2273.58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1227.98</w:t>
            </w:r>
          </w:p>
        </w:tc>
        <w:tc>
          <w:tcPr>
            <w:tcW w:w="1134" w:type="dxa"/>
            <w:vAlign w:val="center"/>
          </w:tcPr>
          <w:p>
            <w:pPr>
              <w:pStyle w:val="16"/>
            </w:pPr>
            <w:r>
              <w:t>1227.98</w:t>
            </w:r>
          </w:p>
        </w:tc>
        <w:tc>
          <w:tcPr>
            <w:tcW w:w="1134" w:type="dxa"/>
            <w:vAlign w:val="center"/>
          </w:tcPr>
          <w:p>
            <w:pPr>
              <w:pStyle w:val="16"/>
            </w:pPr>
            <w:r>
              <w:t>1227.98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1227.98</w:t>
            </w:r>
          </w:p>
        </w:tc>
        <w:tc>
          <w:tcPr>
            <w:tcW w:w="1134" w:type="dxa"/>
            <w:vAlign w:val="center"/>
          </w:tcPr>
          <w:p>
            <w:pPr>
              <w:pStyle w:val="16"/>
            </w:pPr>
            <w:r>
              <w:t>1227.98</w:t>
            </w:r>
          </w:p>
        </w:tc>
        <w:tc>
          <w:tcPr>
            <w:tcW w:w="1134" w:type="dxa"/>
            <w:vAlign w:val="center"/>
          </w:tcPr>
          <w:p>
            <w:pPr>
              <w:pStyle w:val="16"/>
            </w:pPr>
            <w:r>
              <w:t>1227.98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1227.98</w:t>
            </w:r>
          </w:p>
        </w:tc>
        <w:tc>
          <w:tcPr>
            <w:tcW w:w="1134" w:type="dxa"/>
            <w:vAlign w:val="center"/>
          </w:tcPr>
          <w:p>
            <w:pPr>
              <w:pStyle w:val="16"/>
            </w:pPr>
            <w:r>
              <w:t>1227.98</w:t>
            </w:r>
          </w:p>
        </w:tc>
        <w:tc>
          <w:tcPr>
            <w:tcW w:w="1134" w:type="dxa"/>
            <w:vAlign w:val="center"/>
          </w:tcPr>
          <w:p>
            <w:pPr>
              <w:pStyle w:val="16"/>
            </w:pPr>
            <w:r>
              <w:t>1227.98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903.22</w:t>
            </w:r>
          </w:p>
        </w:tc>
        <w:tc>
          <w:tcPr>
            <w:tcW w:w="1134" w:type="dxa"/>
            <w:vAlign w:val="center"/>
          </w:tcPr>
          <w:p>
            <w:pPr>
              <w:pStyle w:val="16"/>
            </w:pPr>
            <w:r>
              <w:t>903.22</w:t>
            </w:r>
          </w:p>
        </w:tc>
        <w:tc>
          <w:tcPr>
            <w:tcW w:w="1134" w:type="dxa"/>
            <w:vAlign w:val="center"/>
          </w:tcPr>
          <w:p>
            <w:pPr>
              <w:pStyle w:val="16"/>
            </w:pPr>
            <w:r>
              <w:t>903.22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20802</w:t>
            </w:r>
          </w:p>
        </w:tc>
        <w:tc>
          <w:tcPr>
            <w:tcW w:w="1559" w:type="dxa"/>
            <w:vAlign w:val="center"/>
          </w:tcPr>
          <w:p>
            <w:pPr>
              <w:pStyle w:val="17"/>
            </w:pPr>
            <w:r>
              <w:t>民政管理事务</w:t>
            </w:r>
          </w:p>
        </w:tc>
        <w:tc>
          <w:tcPr>
            <w:tcW w:w="1134" w:type="dxa"/>
            <w:vAlign w:val="center"/>
          </w:tcPr>
          <w:p>
            <w:pPr>
              <w:pStyle w:val="16"/>
            </w:pPr>
            <w:r>
              <w:t>568.60</w:t>
            </w:r>
          </w:p>
        </w:tc>
        <w:tc>
          <w:tcPr>
            <w:tcW w:w="1134" w:type="dxa"/>
            <w:vAlign w:val="center"/>
          </w:tcPr>
          <w:p>
            <w:pPr>
              <w:pStyle w:val="16"/>
            </w:pPr>
            <w:r>
              <w:t>568.60</w:t>
            </w:r>
          </w:p>
        </w:tc>
        <w:tc>
          <w:tcPr>
            <w:tcW w:w="1134" w:type="dxa"/>
            <w:vAlign w:val="center"/>
          </w:tcPr>
          <w:p>
            <w:pPr>
              <w:pStyle w:val="16"/>
            </w:pPr>
            <w:r>
              <w:t>568.60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2080208</w:t>
            </w:r>
          </w:p>
        </w:tc>
        <w:tc>
          <w:tcPr>
            <w:tcW w:w="1559" w:type="dxa"/>
            <w:vAlign w:val="center"/>
          </w:tcPr>
          <w:p>
            <w:pPr>
              <w:pStyle w:val="17"/>
            </w:pPr>
            <w:r>
              <w:t>基层政权建设和社区治理</w:t>
            </w:r>
          </w:p>
        </w:tc>
        <w:tc>
          <w:tcPr>
            <w:tcW w:w="1134" w:type="dxa"/>
            <w:vAlign w:val="center"/>
          </w:tcPr>
          <w:p>
            <w:pPr>
              <w:pStyle w:val="16"/>
            </w:pPr>
            <w:r>
              <w:t>568.60</w:t>
            </w:r>
          </w:p>
        </w:tc>
        <w:tc>
          <w:tcPr>
            <w:tcW w:w="1134" w:type="dxa"/>
            <w:vAlign w:val="center"/>
          </w:tcPr>
          <w:p>
            <w:pPr>
              <w:pStyle w:val="16"/>
            </w:pPr>
            <w:r>
              <w:t>568.60</w:t>
            </w:r>
          </w:p>
        </w:tc>
        <w:tc>
          <w:tcPr>
            <w:tcW w:w="1134" w:type="dxa"/>
            <w:vAlign w:val="center"/>
          </w:tcPr>
          <w:p>
            <w:pPr>
              <w:pStyle w:val="16"/>
            </w:pPr>
            <w:r>
              <w:t>568.60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334.62</w:t>
            </w:r>
          </w:p>
        </w:tc>
        <w:tc>
          <w:tcPr>
            <w:tcW w:w="1134" w:type="dxa"/>
            <w:vAlign w:val="center"/>
          </w:tcPr>
          <w:p>
            <w:pPr>
              <w:pStyle w:val="16"/>
            </w:pPr>
            <w:r>
              <w:t>334.62</w:t>
            </w:r>
          </w:p>
        </w:tc>
        <w:tc>
          <w:tcPr>
            <w:tcW w:w="1134" w:type="dxa"/>
            <w:vAlign w:val="center"/>
          </w:tcPr>
          <w:p>
            <w:pPr>
              <w:pStyle w:val="16"/>
            </w:pPr>
            <w:r>
              <w:t>334.62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211.76</w:t>
            </w:r>
          </w:p>
        </w:tc>
        <w:tc>
          <w:tcPr>
            <w:tcW w:w="1134" w:type="dxa"/>
            <w:vAlign w:val="center"/>
          </w:tcPr>
          <w:p>
            <w:pPr>
              <w:pStyle w:val="16"/>
            </w:pPr>
            <w:r>
              <w:t>211.76</w:t>
            </w:r>
          </w:p>
        </w:tc>
        <w:tc>
          <w:tcPr>
            <w:tcW w:w="1134" w:type="dxa"/>
            <w:vAlign w:val="center"/>
          </w:tcPr>
          <w:p>
            <w:pPr>
              <w:pStyle w:val="16"/>
            </w:pPr>
            <w:r>
              <w:t>211.76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122.87</w:t>
            </w:r>
          </w:p>
        </w:tc>
        <w:tc>
          <w:tcPr>
            <w:tcW w:w="1134" w:type="dxa"/>
            <w:vAlign w:val="center"/>
          </w:tcPr>
          <w:p>
            <w:pPr>
              <w:pStyle w:val="16"/>
            </w:pPr>
            <w:r>
              <w:t>122.87</w:t>
            </w:r>
          </w:p>
        </w:tc>
        <w:tc>
          <w:tcPr>
            <w:tcW w:w="1134" w:type="dxa"/>
            <w:vAlign w:val="center"/>
          </w:tcPr>
          <w:p>
            <w:pPr>
              <w:pStyle w:val="16"/>
            </w:pPr>
            <w:r>
              <w:t>122.87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40.20</w:t>
            </w:r>
          </w:p>
        </w:tc>
        <w:tc>
          <w:tcPr>
            <w:tcW w:w="1134" w:type="dxa"/>
            <w:vAlign w:val="center"/>
          </w:tcPr>
          <w:p>
            <w:pPr>
              <w:pStyle w:val="16"/>
            </w:pPr>
            <w:r>
              <w:t>40.20</w:t>
            </w:r>
          </w:p>
        </w:tc>
        <w:tc>
          <w:tcPr>
            <w:tcW w:w="1134" w:type="dxa"/>
            <w:vAlign w:val="center"/>
          </w:tcPr>
          <w:p>
            <w:pPr>
              <w:pStyle w:val="16"/>
            </w:pPr>
            <w:r>
              <w:t>40.20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40.20</w:t>
            </w:r>
          </w:p>
        </w:tc>
        <w:tc>
          <w:tcPr>
            <w:tcW w:w="1134" w:type="dxa"/>
            <w:vAlign w:val="center"/>
          </w:tcPr>
          <w:p>
            <w:pPr>
              <w:pStyle w:val="16"/>
            </w:pPr>
            <w:r>
              <w:t>40.20</w:t>
            </w:r>
          </w:p>
        </w:tc>
        <w:tc>
          <w:tcPr>
            <w:tcW w:w="1134" w:type="dxa"/>
            <w:vAlign w:val="center"/>
          </w:tcPr>
          <w:p>
            <w:pPr>
              <w:pStyle w:val="16"/>
            </w:pPr>
            <w:r>
              <w:t>40.20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40.20</w:t>
            </w:r>
          </w:p>
        </w:tc>
        <w:tc>
          <w:tcPr>
            <w:tcW w:w="1134" w:type="dxa"/>
            <w:vAlign w:val="center"/>
          </w:tcPr>
          <w:p>
            <w:pPr>
              <w:pStyle w:val="16"/>
            </w:pPr>
            <w:r>
              <w:t>40.20</w:t>
            </w:r>
          </w:p>
        </w:tc>
        <w:tc>
          <w:tcPr>
            <w:tcW w:w="1134" w:type="dxa"/>
            <w:vAlign w:val="center"/>
          </w:tcPr>
          <w:p>
            <w:pPr>
              <w:pStyle w:val="16"/>
            </w:pPr>
            <w:r>
              <w:t>40.20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102.18</w:t>
            </w:r>
          </w:p>
        </w:tc>
        <w:tc>
          <w:tcPr>
            <w:tcW w:w="1134" w:type="dxa"/>
            <w:vAlign w:val="center"/>
          </w:tcPr>
          <w:p>
            <w:pPr>
              <w:pStyle w:val="16"/>
            </w:pPr>
            <w:r>
              <w:t>102.18</w:t>
            </w:r>
          </w:p>
        </w:tc>
        <w:tc>
          <w:tcPr>
            <w:tcW w:w="1134" w:type="dxa"/>
            <w:vAlign w:val="center"/>
          </w:tcPr>
          <w:p>
            <w:pPr>
              <w:pStyle w:val="16"/>
            </w:pPr>
            <w:r>
              <w:t>102.18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102.18</w:t>
            </w:r>
          </w:p>
        </w:tc>
        <w:tc>
          <w:tcPr>
            <w:tcW w:w="1134" w:type="dxa"/>
            <w:vAlign w:val="center"/>
          </w:tcPr>
          <w:p>
            <w:pPr>
              <w:pStyle w:val="16"/>
            </w:pPr>
            <w:r>
              <w:t>102.18</w:t>
            </w:r>
          </w:p>
        </w:tc>
        <w:tc>
          <w:tcPr>
            <w:tcW w:w="1134" w:type="dxa"/>
            <w:vAlign w:val="center"/>
          </w:tcPr>
          <w:p>
            <w:pPr>
              <w:pStyle w:val="16"/>
            </w:pPr>
            <w:r>
              <w:t>102.18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102.18</w:t>
            </w:r>
          </w:p>
        </w:tc>
        <w:tc>
          <w:tcPr>
            <w:tcW w:w="1134" w:type="dxa"/>
            <w:vAlign w:val="center"/>
          </w:tcPr>
          <w:p>
            <w:pPr>
              <w:pStyle w:val="16"/>
            </w:pPr>
            <w:r>
              <w:t>102.18</w:t>
            </w:r>
          </w:p>
        </w:tc>
        <w:tc>
          <w:tcPr>
            <w:tcW w:w="1134" w:type="dxa"/>
            <w:vAlign w:val="center"/>
          </w:tcPr>
          <w:p>
            <w:pPr>
              <w:pStyle w:val="16"/>
            </w:pPr>
            <w:r>
              <w:t>102.18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21.32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21.32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2230105</w:t>
            </w:r>
          </w:p>
        </w:tc>
        <w:tc>
          <w:tcPr>
            <w:tcW w:w="1559" w:type="dxa"/>
            <w:vAlign w:val="center"/>
          </w:tcPr>
          <w:p>
            <w:pPr>
              <w:pStyle w:val="17"/>
            </w:pPr>
            <w:r>
              <w:t>国有企业退休人员社会化管理补助支出</w:t>
            </w:r>
          </w:p>
        </w:tc>
        <w:tc>
          <w:tcPr>
            <w:tcW w:w="1134" w:type="dxa"/>
            <w:vAlign w:val="center"/>
          </w:tcPr>
          <w:p>
            <w:pPr>
              <w:pStyle w:val="16"/>
            </w:pPr>
            <w:r>
              <w:t>21.32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21.32</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917廊坊市广阳区银河北路街道办事处</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2294.90</w:t>
            </w:r>
          </w:p>
        </w:tc>
        <w:tc>
          <w:tcPr>
            <w:tcW w:w="1361" w:type="dxa"/>
            <w:vAlign w:val="center"/>
          </w:tcPr>
          <w:p>
            <w:pPr>
              <w:pStyle w:val="20"/>
            </w:pPr>
            <w:r>
              <w:t>1704.98</w:t>
            </w:r>
          </w:p>
        </w:tc>
        <w:tc>
          <w:tcPr>
            <w:tcW w:w="1361" w:type="dxa"/>
            <w:vAlign w:val="center"/>
          </w:tcPr>
          <w:p>
            <w:pPr>
              <w:pStyle w:val="20"/>
            </w:pPr>
            <w:r>
              <w:t>589.92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1227.98</w:t>
            </w:r>
          </w:p>
        </w:tc>
        <w:tc>
          <w:tcPr>
            <w:tcW w:w="1361" w:type="dxa"/>
            <w:vAlign w:val="center"/>
          </w:tcPr>
          <w:p>
            <w:pPr>
              <w:pStyle w:val="16"/>
            </w:pPr>
            <w:r>
              <w:t>1227.98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1227.98</w:t>
            </w:r>
          </w:p>
        </w:tc>
        <w:tc>
          <w:tcPr>
            <w:tcW w:w="1361" w:type="dxa"/>
            <w:vAlign w:val="center"/>
          </w:tcPr>
          <w:p>
            <w:pPr>
              <w:pStyle w:val="16"/>
            </w:pPr>
            <w:r>
              <w:t>1227.98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1227.98</w:t>
            </w:r>
          </w:p>
        </w:tc>
        <w:tc>
          <w:tcPr>
            <w:tcW w:w="1361" w:type="dxa"/>
            <w:vAlign w:val="center"/>
          </w:tcPr>
          <w:p>
            <w:pPr>
              <w:pStyle w:val="16"/>
            </w:pPr>
            <w:r>
              <w:t>1227.98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903.22</w:t>
            </w:r>
          </w:p>
        </w:tc>
        <w:tc>
          <w:tcPr>
            <w:tcW w:w="1361" w:type="dxa"/>
            <w:vAlign w:val="center"/>
          </w:tcPr>
          <w:p>
            <w:pPr>
              <w:pStyle w:val="16"/>
            </w:pPr>
            <w:r>
              <w:t>334.62</w:t>
            </w:r>
          </w:p>
        </w:tc>
        <w:tc>
          <w:tcPr>
            <w:tcW w:w="1361" w:type="dxa"/>
            <w:vAlign w:val="center"/>
          </w:tcPr>
          <w:p>
            <w:pPr>
              <w:pStyle w:val="16"/>
            </w:pPr>
            <w:r>
              <w:t>568.60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20802</w:t>
            </w:r>
          </w:p>
        </w:tc>
        <w:tc>
          <w:tcPr>
            <w:tcW w:w="4535" w:type="dxa"/>
            <w:vAlign w:val="center"/>
          </w:tcPr>
          <w:p>
            <w:pPr>
              <w:pStyle w:val="17"/>
            </w:pPr>
            <w:r>
              <w:t>民政管理事务</w:t>
            </w:r>
          </w:p>
        </w:tc>
        <w:tc>
          <w:tcPr>
            <w:tcW w:w="1361" w:type="dxa"/>
            <w:vAlign w:val="center"/>
          </w:tcPr>
          <w:p>
            <w:pPr>
              <w:pStyle w:val="16"/>
            </w:pPr>
            <w:r>
              <w:t>568.60</w:t>
            </w:r>
          </w:p>
        </w:tc>
        <w:tc>
          <w:tcPr>
            <w:tcW w:w="1361" w:type="dxa"/>
            <w:vAlign w:val="center"/>
          </w:tcPr>
          <w:p>
            <w:pPr>
              <w:pStyle w:val="16"/>
            </w:pPr>
          </w:p>
        </w:tc>
        <w:tc>
          <w:tcPr>
            <w:tcW w:w="1361" w:type="dxa"/>
            <w:vAlign w:val="center"/>
          </w:tcPr>
          <w:p>
            <w:pPr>
              <w:pStyle w:val="16"/>
            </w:pPr>
            <w:r>
              <w:t>568.60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2080208</w:t>
            </w:r>
          </w:p>
        </w:tc>
        <w:tc>
          <w:tcPr>
            <w:tcW w:w="4535" w:type="dxa"/>
            <w:vAlign w:val="center"/>
          </w:tcPr>
          <w:p>
            <w:pPr>
              <w:pStyle w:val="17"/>
            </w:pPr>
            <w:r>
              <w:t>基层政权建设和社区治理</w:t>
            </w:r>
          </w:p>
        </w:tc>
        <w:tc>
          <w:tcPr>
            <w:tcW w:w="1361" w:type="dxa"/>
            <w:vAlign w:val="center"/>
          </w:tcPr>
          <w:p>
            <w:pPr>
              <w:pStyle w:val="16"/>
            </w:pPr>
            <w:r>
              <w:t>568.60</w:t>
            </w:r>
          </w:p>
        </w:tc>
        <w:tc>
          <w:tcPr>
            <w:tcW w:w="1361" w:type="dxa"/>
            <w:vAlign w:val="center"/>
          </w:tcPr>
          <w:p>
            <w:pPr>
              <w:pStyle w:val="16"/>
            </w:pPr>
          </w:p>
        </w:tc>
        <w:tc>
          <w:tcPr>
            <w:tcW w:w="1361" w:type="dxa"/>
            <w:vAlign w:val="center"/>
          </w:tcPr>
          <w:p>
            <w:pPr>
              <w:pStyle w:val="16"/>
            </w:pPr>
            <w:r>
              <w:t>568.60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334.62</w:t>
            </w:r>
          </w:p>
        </w:tc>
        <w:tc>
          <w:tcPr>
            <w:tcW w:w="1361" w:type="dxa"/>
            <w:vAlign w:val="center"/>
          </w:tcPr>
          <w:p>
            <w:pPr>
              <w:pStyle w:val="16"/>
            </w:pPr>
            <w:r>
              <w:t>334.62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211.76</w:t>
            </w:r>
          </w:p>
        </w:tc>
        <w:tc>
          <w:tcPr>
            <w:tcW w:w="1361" w:type="dxa"/>
            <w:vAlign w:val="center"/>
          </w:tcPr>
          <w:p>
            <w:pPr>
              <w:pStyle w:val="16"/>
            </w:pPr>
            <w:r>
              <w:t>211.76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122.87</w:t>
            </w:r>
          </w:p>
        </w:tc>
        <w:tc>
          <w:tcPr>
            <w:tcW w:w="1361" w:type="dxa"/>
            <w:vAlign w:val="center"/>
          </w:tcPr>
          <w:p>
            <w:pPr>
              <w:pStyle w:val="16"/>
            </w:pPr>
            <w:r>
              <w:t>122.87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40.20</w:t>
            </w:r>
          </w:p>
        </w:tc>
        <w:tc>
          <w:tcPr>
            <w:tcW w:w="1361" w:type="dxa"/>
            <w:vAlign w:val="center"/>
          </w:tcPr>
          <w:p>
            <w:pPr>
              <w:pStyle w:val="16"/>
            </w:pPr>
            <w:r>
              <w:t>40.20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40.20</w:t>
            </w:r>
          </w:p>
        </w:tc>
        <w:tc>
          <w:tcPr>
            <w:tcW w:w="1361" w:type="dxa"/>
            <w:vAlign w:val="center"/>
          </w:tcPr>
          <w:p>
            <w:pPr>
              <w:pStyle w:val="16"/>
            </w:pPr>
            <w:r>
              <w:t>40.20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40.20</w:t>
            </w:r>
          </w:p>
        </w:tc>
        <w:tc>
          <w:tcPr>
            <w:tcW w:w="1361" w:type="dxa"/>
            <w:vAlign w:val="center"/>
          </w:tcPr>
          <w:p>
            <w:pPr>
              <w:pStyle w:val="16"/>
            </w:pPr>
            <w:r>
              <w:t>40.20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102.18</w:t>
            </w:r>
          </w:p>
        </w:tc>
        <w:tc>
          <w:tcPr>
            <w:tcW w:w="1361" w:type="dxa"/>
            <w:vAlign w:val="center"/>
          </w:tcPr>
          <w:p>
            <w:pPr>
              <w:pStyle w:val="16"/>
            </w:pPr>
            <w:r>
              <w:t>102.18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102.18</w:t>
            </w:r>
          </w:p>
        </w:tc>
        <w:tc>
          <w:tcPr>
            <w:tcW w:w="1361" w:type="dxa"/>
            <w:vAlign w:val="center"/>
          </w:tcPr>
          <w:p>
            <w:pPr>
              <w:pStyle w:val="16"/>
            </w:pPr>
            <w:r>
              <w:t>102.18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102.18</w:t>
            </w:r>
          </w:p>
        </w:tc>
        <w:tc>
          <w:tcPr>
            <w:tcW w:w="1361" w:type="dxa"/>
            <w:vAlign w:val="center"/>
          </w:tcPr>
          <w:p>
            <w:pPr>
              <w:pStyle w:val="16"/>
            </w:pPr>
            <w:r>
              <w:t>102.18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21.32</w:t>
            </w:r>
          </w:p>
        </w:tc>
        <w:tc>
          <w:tcPr>
            <w:tcW w:w="1361" w:type="dxa"/>
            <w:vAlign w:val="center"/>
          </w:tcPr>
          <w:p>
            <w:pPr>
              <w:pStyle w:val="16"/>
            </w:pPr>
          </w:p>
        </w:tc>
        <w:tc>
          <w:tcPr>
            <w:tcW w:w="1361" w:type="dxa"/>
            <w:vAlign w:val="center"/>
          </w:tcPr>
          <w:p>
            <w:pPr>
              <w:pStyle w:val="16"/>
            </w:pPr>
            <w:r>
              <w:t>21.32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21.32</w:t>
            </w:r>
          </w:p>
        </w:tc>
        <w:tc>
          <w:tcPr>
            <w:tcW w:w="1361" w:type="dxa"/>
            <w:vAlign w:val="center"/>
          </w:tcPr>
          <w:p>
            <w:pPr>
              <w:pStyle w:val="16"/>
            </w:pPr>
          </w:p>
        </w:tc>
        <w:tc>
          <w:tcPr>
            <w:tcW w:w="1361" w:type="dxa"/>
            <w:vAlign w:val="center"/>
          </w:tcPr>
          <w:p>
            <w:pPr>
              <w:pStyle w:val="16"/>
            </w:pPr>
            <w:r>
              <w:t>21.32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2230105</w:t>
            </w:r>
          </w:p>
        </w:tc>
        <w:tc>
          <w:tcPr>
            <w:tcW w:w="4535" w:type="dxa"/>
            <w:vAlign w:val="center"/>
          </w:tcPr>
          <w:p>
            <w:pPr>
              <w:pStyle w:val="17"/>
            </w:pPr>
            <w:r>
              <w:t>国有企业退休人员社会化管理补助支出</w:t>
            </w:r>
          </w:p>
        </w:tc>
        <w:tc>
          <w:tcPr>
            <w:tcW w:w="1361" w:type="dxa"/>
            <w:vAlign w:val="center"/>
          </w:tcPr>
          <w:p>
            <w:pPr>
              <w:pStyle w:val="16"/>
            </w:pPr>
            <w:r>
              <w:t>21.32</w:t>
            </w:r>
          </w:p>
        </w:tc>
        <w:tc>
          <w:tcPr>
            <w:tcW w:w="1361" w:type="dxa"/>
            <w:vAlign w:val="center"/>
          </w:tcPr>
          <w:p>
            <w:pPr>
              <w:pStyle w:val="16"/>
            </w:pPr>
          </w:p>
        </w:tc>
        <w:tc>
          <w:tcPr>
            <w:tcW w:w="1361" w:type="dxa"/>
            <w:vAlign w:val="center"/>
          </w:tcPr>
          <w:p>
            <w:pPr>
              <w:pStyle w:val="16"/>
            </w:pPr>
            <w:r>
              <w:t>21.32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917廊坊市广阳区银河北路街道办事处</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2273.58</w:t>
            </w:r>
          </w:p>
        </w:tc>
        <w:tc>
          <w:tcPr>
            <w:tcW w:w="3402" w:type="dxa"/>
            <w:vAlign w:val="center"/>
          </w:tcPr>
          <w:p>
            <w:pPr>
              <w:pStyle w:val="17"/>
            </w:pPr>
            <w:r>
              <w:t>一、一般公共服务支出</w:t>
            </w:r>
          </w:p>
        </w:tc>
        <w:tc>
          <w:tcPr>
            <w:tcW w:w="1474" w:type="dxa"/>
            <w:vAlign w:val="center"/>
          </w:tcPr>
          <w:p>
            <w:pPr>
              <w:pStyle w:val="16"/>
            </w:pPr>
            <w:r>
              <w:t>1227.98</w:t>
            </w:r>
          </w:p>
        </w:tc>
        <w:tc>
          <w:tcPr>
            <w:tcW w:w="1474" w:type="dxa"/>
            <w:vAlign w:val="center"/>
          </w:tcPr>
          <w:p>
            <w:pPr>
              <w:pStyle w:val="16"/>
            </w:pPr>
            <w:r>
              <w:t>1227.98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903.22</w:t>
            </w:r>
          </w:p>
        </w:tc>
        <w:tc>
          <w:tcPr>
            <w:tcW w:w="1474" w:type="dxa"/>
            <w:vAlign w:val="center"/>
          </w:tcPr>
          <w:p>
            <w:pPr>
              <w:pStyle w:val="16"/>
            </w:pPr>
            <w:r>
              <w:t>903.22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40.20</w:t>
            </w:r>
          </w:p>
        </w:tc>
        <w:tc>
          <w:tcPr>
            <w:tcW w:w="1474" w:type="dxa"/>
            <w:vAlign w:val="center"/>
          </w:tcPr>
          <w:p>
            <w:pPr>
              <w:pStyle w:val="16"/>
            </w:pPr>
            <w:r>
              <w:t>40.20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102.18</w:t>
            </w:r>
          </w:p>
        </w:tc>
        <w:tc>
          <w:tcPr>
            <w:tcW w:w="1474" w:type="dxa"/>
            <w:vAlign w:val="center"/>
          </w:tcPr>
          <w:p>
            <w:pPr>
              <w:pStyle w:val="16"/>
            </w:pPr>
            <w:r>
              <w:t>102.18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21.32</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2273.58</w:t>
            </w:r>
          </w:p>
        </w:tc>
        <w:tc>
          <w:tcPr>
            <w:tcW w:w="3402" w:type="dxa"/>
            <w:vAlign w:val="center"/>
          </w:tcPr>
          <w:p>
            <w:pPr>
              <w:pStyle w:val="19"/>
            </w:pPr>
            <w:r>
              <w:t>本年支出合计</w:t>
            </w:r>
          </w:p>
        </w:tc>
        <w:tc>
          <w:tcPr>
            <w:tcW w:w="1474" w:type="dxa"/>
            <w:vAlign w:val="center"/>
          </w:tcPr>
          <w:p>
            <w:pPr>
              <w:pStyle w:val="20"/>
            </w:pPr>
            <w:r>
              <w:t>2294.90</w:t>
            </w:r>
          </w:p>
        </w:tc>
        <w:tc>
          <w:tcPr>
            <w:tcW w:w="1474" w:type="dxa"/>
            <w:vAlign w:val="center"/>
          </w:tcPr>
          <w:p>
            <w:pPr>
              <w:pStyle w:val="20"/>
            </w:pPr>
            <w:r>
              <w:t>2273.58</w:t>
            </w:r>
          </w:p>
        </w:tc>
        <w:tc>
          <w:tcPr>
            <w:tcW w:w="1474" w:type="dxa"/>
            <w:vAlign w:val="center"/>
          </w:tcPr>
          <w:p>
            <w:pPr>
              <w:pStyle w:val="20"/>
            </w:pPr>
          </w:p>
        </w:tc>
        <w:tc>
          <w:tcPr>
            <w:tcW w:w="1474" w:type="dxa"/>
            <w:vAlign w:val="center"/>
          </w:tcPr>
          <w:p>
            <w:pPr>
              <w:pStyle w:val="20"/>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21.32</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21.32</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2294.90</w:t>
            </w:r>
          </w:p>
        </w:tc>
        <w:tc>
          <w:tcPr>
            <w:tcW w:w="3402" w:type="dxa"/>
            <w:vAlign w:val="center"/>
          </w:tcPr>
          <w:p>
            <w:pPr>
              <w:pStyle w:val="19"/>
            </w:pPr>
            <w:r>
              <w:t>支出总计</w:t>
            </w:r>
          </w:p>
        </w:tc>
        <w:tc>
          <w:tcPr>
            <w:tcW w:w="1474" w:type="dxa"/>
            <w:vAlign w:val="center"/>
          </w:tcPr>
          <w:p>
            <w:pPr>
              <w:pStyle w:val="20"/>
            </w:pPr>
            <w:r>
              <w:t>2294.90</w:t>
            </w:r>
          </w:p>
        </w:tc>
        <w:tc>
          <w:tcPr>
            <w:tcW w:w="1474" w:type="dxa"/>
            <w:vAlign w:val="center"/>
          </w:tcPr>
          <w:p>
            <w:pPr>
              <w:pStyle w:val="20"/>
            </w:pPr>
            <w:r>
              <w:t>2273.58</w:t>
            </w:r>
          </w:p>
        </w:tc>
        <w:tc>
          <w:tcPr>
            <w:tcW w:w="1474" w:type="dxa"/>
            <w:vAlign w:val="center"/>
          </w:tcPr>
          <w:p>
            <w:pPr>
              <w:pStyle w:val="20"/>
            </w:pPr>
          </w:p>
        </w:tc>
        <w:tc>
          <w:tcPr>
            <w:tcW w:w="1474" w:type="dxa"/>
            <w:vAlign w:val="center"/>
          </w:tcPr>
          <w:p>
            <w:pPr>
              <w:pStyle w:val="20"/>
            </w:pPr>
            <w:r>
              <w:t>21.32</w:t>
            </w: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917廊坊市广阳区银河北路街道办事处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2273.58</w:t>
            </w:r>
          </w:p>
        </w:tc>
        <w:tc>
          <w:tcPr>
            <w:tcW w:w="2551" w:type="dxa"/>
            <w:vAlign w:val="center"/>
          </w:tcPr>
          <w:p>
            <w:pPr>
              <w:pStyle w:val="20"/>
            </w:pPr>
            <w:r>
              <w:t>1704.98</w:t>
            </w:r>
          </w:p>
        </w:tc>
        <w:tc>
          <w:tcPr>
            <w:tcW w:w="2551" w:type="dxa"/>
            <w:vAlign w:val="center"/>
          </w:tcPr>
          <w:p>
            <w:pPr>
              <w:pStyle w:val="20"/>
            </w:pPr>
            <w:r>
              <w:t>568.60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1227.98</w:t>
            </w:r>
          </w:p>
        </w:tc>
        <w:tc>
          <w:tcPr>
            <w:tcW w:w="2551" w:type="dxa"/>
            <w:vAlign w:val="center"/>
          </w:tcPr>
          <w:p>
            <w:pPr>
              <w:pStyle w:val="16"/>
            </w:pPr>
            <w:r>
              <w:t>1227.98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1227.98</w:t>
            </w:r>
          </w:p>
        </w:tc>
        <w:tc>
          <w:tcPr>
            <w:tcW w:w="2551" w:type="dxa"/>
            <w:vAlign w:val="center"/>
          </w:tcPr>
          <w:p>
            <w:pPr>
              <w:pStyle w:val="16"/>
            </w:pPr>
            <w:r>
              <w:t>1227.98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1227.98</w:t>
            </w:r>
          </w:p>
        </w:tc>
        <w:tc>
          <w:tcPr>
            <w:tcW w:w="2551" w:type="dxa"/>
            <w:vAlign w:val="center"/>
          </w:tcPr>
          <w:p>
            <w:pPr>
              <w:pStyle w:val="16"/>
            </w:pPr>
            <w:r>
              <w:t>1227.98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903.22</w:t>
            </w:r>
          </w:p>
        </w:tc>
        <w:tc>
          <w:tcPr>
            <w:tcW w:w="2551" w:type="dxa"/>
            <w:vAlign w:val="center"/>
          </w:tcPr>
          <w:p>
            <w:pPr>
              <w:pStyle w:val="16"/>
            </w:pPr>
            <w:r>
              <w:t>334.62</w:t>
            </w:r>
          </w:p>
        </w:tc>
        <w:tc>
          <w:tcPr>
            <w:tcW w:w="2551" w:type="dxa"/>
            <w:vAlign w:val="center"/>
          </w:tcPr>
          <w:p>
            <w:pPr>
              <w:pStyle w:val="16"/>
            </w:pPr>
            <w:r>
              <w:t>568.60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20802</w:t>
            </w:r>
          </w:p>
        </w:tc>
        <w:tc>
          <w:tcPr>
            <w:tcW w:w="4535" w:type="dxa"/>
            <w:vAlign w:val="center"/>
          </w:tcPr>
          <w:p>
            <w:pPr>
              <w:pStyle w:val="17"/>
            </w:pPr>
            <w:r>
              <w:t>民政管理事务</w:t>
            </w:r>
          </w:p>
        </w:tc>
        <w:tc>
          <w:tcPr>
            <w:tcW w:w="2551" w:type="dxa"/>
            <w:vAlign w:val="center"/>
          </w:tcPr>
          <w:p>
            <w:pPr>
              <w:pStyle w:val="16"/>
            </w:pPr>
            <w:r>
              <w:t>568.60</w:t>
            </w:r>
          </w:p>
        </w:tc>
        <w:tc>
          <w:tcPr>
            <w:tcW w:w="2551" w:type="dxa"/>
            <w:vAlign w:val="center"/>
          </w:tcPr>
          <w:p>
            <w:pPr>
              <w:pStyle w:val="16"/>
            </w:pPr>
          </w:p>
        </w:tc>
        <w:tc>
          <w:tcPr>
            <w:tcW w:w="2551" w:type="dxa"/>
            <w:vAlign w:val="center"/>
          </w:tcPr>
          <w:p>
            <w:pPr>
              <w:pStyle w:val="16"/>
            </w:pPr>
            <w:r>
              <w:t>568.60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2080208</w:t>
            </w:r>
          </w:p>
        </w:tc>
        <w:tc>
          <w:tcPr>
            <w:tcW w:w="4535" w:type="dxa"/>
            <w:vAlign w:val="center"/>
          </w:tcPr>
          <w:p>
            <w:pPr>
              <w:pStyle w:val="17"/>
            </w:pPr>
            <w:r>
              <w:t>基层政权建设和社区治理</w:t>
            </w:r>
          </w:p>
        </w:tc>
        <w:tc>
          <w:tcPr>
            <w:tcW w:w="2551" w:type="dxa"/>
            <w:vAlign w:val="center"/>
          </w:tcPr>
          <w:p>
            <w:pPr>
              <w:pStyle w:val="16"/>
            </w:pPr>
            <w:r>
              <w:t>568.60</w:t>
            </w:r>
          </w:p>
        </w:tc>
        <w:tc>
          <w:tcPr>
            <w:tcW w:w="2551" w:type="dxa"/>
            <w:vAlign w:val="center"/>
          </w:tcPr>
          <w:p>
            <w:pPr>
              <w:pStyle w:val="16"/>
            </w:pPr>
          </w:p>
        </w:tc>
        <w:tc>
          <w:tcPr>
            <w:tcW w:w="2551" w:type="dxa"/>
            <w:vAlign w:val="center"/>
          </w:tcPr>
          <w:p>
            <w:pPr>
              <w:pStyle w:val="16"/>
            </w:pPr>
            <w:r>
              <w:t>568.60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334.62</w:t>
            </w:r>
          </w:p>
        </w:tc>
        <w:tc>
          <w:tcPr>
            <w:tcW w:w="2551" w:type="dxa"/>
            <w:vAlign w:val="center"/>
          </w:tcPr>
          <w:p>
            <w:pPr>
              <w:pStyle w:val="16"/>
            </w:pPr>
            <w:r>
              <w:t>334.62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211.76</w:t>
            </w:r>
          </w:p>
        </w:tc>
        <w:tc>
          <w:tcPr>
            <w:tcW w:w="2551" w:type="dxa"/>
            <w:vAlign w:val="center"/>
          </w:tcPr>
          <w:p>
            <w:pPr>
              <w:pStyle w:val="16"/>
            </w:pPr>
            <w:r>
              <w:t>211.76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122.87</w:t>
            </w:r>
          </w:p>
        </w:tc>
        <w:tc>
          <w:tcPr>
            <w:tcW w:w="2551" w:type="dxa"/>
            <w:vAlign w:val="center"/>
          </w:tcPr>
          <w:p>
            <w:pPr>
              <w:pStyle w:val="16"/>
            </w:pPr>
            <w:r>
              <w:t>122.87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40.20</w:t>
            </w:r>
          </w:p>
        </w:tc>
        <w:tc>
          <w:tcPr>
            <w:tcW w:w="2551" w:type="dxa"/>
            <w:vAlign w:val="center"/>
          </w:tcPr>
          <w:p>
            <w:pPr>
              <w:pStyle w:val="16"/>
            </w:pPr>
            <w:r>
              <w:t>40.20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40.20</w:t>
            </w:r>
          </w:p>
        </w:tc>
        <w:tc>
          <w:tcPr>
            <w:tcW w:w="2551" w:type="dxa"/>
            <w:vAlign w:val="center"/>
          </w:tcPr>
          <w:p>
            <w:pPr>
              <w:pStyle w:val="16"/>
            </w:pPr>
            <w:r>
              <w:t>40.20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40.20</w:t>
            </w:r>
          </w:p>
        </w:tc>
        <w:tc>
          <w:tcPr>
            <w:tcW w:w="2551" w:type="dxa"/>
            <w:vAlign w:val="center"/>
          </w:tcPr>
          <w:p>
            <w:pPr>
              <w:pStyle w:val="16"/>
            </w:pPr>
            <w:r>
              <w:t>40.20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102.18</w:t>
            </w:r>
          </w:p>
        </w:tc>
        <w:tc>
          <w:tcPr>
            <w:tcW w:w="2551" w:type="dxa"/>
            <w:vAlign w:val="center"/>
          </w:tcPr>
          <w:p>
            <w:pPr>
              <w:pStyle w:val="16"/>
            </w:pPr>
            <w:r>
              <w:t>102.18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102.18</w:t>
            </w:r>
          </w:p>
        </w:tc>
        <w:tc>
          <w:tcPr>
            <w:tcW w:w="2551" w:type="dxa"/>
            <w:vAlign w:val="center"/>
          </w:tcPr>
          <w:p>
            <w:pPr>
              <w:pStyle w:val="16"/>
            </w:pPr>
            <w:r>
              <w:t>102.18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102.18</w:t>
            </w:r>
          </w:p>
        </w:tc>
        <w:tc>
          <w:tcPr>
            <w:tcW w:w="2551" w:type="dxa"/>
            <w:vAlign w:val="center"/>
          </w:tcPr>
          <w:p>
            <w:pPr>
              <w:pStyle w:val="16"/>
            </w:pPr>
            <w:r>
              <w:t>102.18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917廊坊市广阳区银河北路街道办事处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1704.98</w:t>
            </w:r>
          </w:p>
        </w:tc>
        <w:tc>
          <w:tcPr>
            <w:tcW w:w="2551" w:type="dxa"/>
            <w:vAlign w:val="center"/>
          </w:tcPr>
          <w:p>
            <w:pPr>
              <w:pStyle w:val="20"/>
            </w:pPr>
            <w:r>
              <w:t>1528.46</w:t>
            </w:r>
          </w:p>
        </w:tc>
        <w:tc>
          <w:tcPr>
            <w:tcW w:w="2551" w:type="dxa"/>
            <w:vAlign w:val="center"/>
          </w:tcPr>
          <w:p>
            <w:pPr>
              <w:pStyle w:val="20"/>
            </w:pPr>
            <w:r>
              <w:t>176.52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1313.72</w:t>
            </w:r>
          </w:p>
        </w:tc>
        <w:tc>
          <w:tcPr>
            <w:tcW w:w="2551" w:type="dxa"/>
            <w:vAlign w:val="center"/>
          </w:tcPr>
          <w:p>
            <w:pPr>
              <w:pStyle w:val="16"/>
            </w:pPr>
            <w:r>
              <w:t>1313.72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344.60</w:t>
            </w:r>
          </w:p>
        </w:tc>
        <w:tc>
          <w:tcPr>
            <w:tcW w:w="2551" w:type="dxa"/>
            <w:vAlign w:val="center"/>
          </w:tcPr>
          <w:p>
            <w:pPr>
              <w:pStyle w:val="16"/>
            </w:pPr>
            <w:r>
              <w:t>344.60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391.27</w:t>
            </w:r>
          </w:p>
        </w:tc>
        <w:tc>
          <w:tcPr>
            <w:tcW w:w="2551" w:type="dxa"/>
            <w:vAlign w:val="center"/>
          </w:tcPr>
          <w:p>
            <w:pPr>
              <w:pStyle w:val="16"/>
            </w:pPr>
            <w:r>
              <w:t>391.27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261.30</w:t>
            </w:r>
          </w:p>
        </w:tc>
        <w:tc>
          <w:tcPr>
            <w:tcW w:w="2551" w:type="dxa"/>
            <w:vAlign w:val="center"/>
          </w:tcPr>
          <w:p>
            <w:pPr>
              <w:pStyle w:val="16"/>
            </w:pPr>
            <w:r>
              <w:t>261.30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46.39</w:t>
            </w:r>
          </w:p>
        </w:tc>
        <w:tc>
          <w:tcPr>
            <w:tcW w:w="2551" w:type="dxa"/>
            <w:vAlign w:val="center"/>
          </w:tcPr>
          <w:p>
            <w:pPr>
              <w:pStyle w:val="16"/>
            </w:pPr>
            <w:r>
              <w:t>46.39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122.87</w:t>
            </w:r>
          </w:p>
        </w:tc>
        <w:tc>
          <w:tcPr>
            <w:tcW w:w="2551" w:type="dxa"/>
            <w:vAlign w:val="center"/>
          </w:tcPr>
          <w:p>
            <w:pPr>
              <w:pStyle w:val="16"/>
            </w:pPr>
            <w:r>
              <w:t>122.87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39.67</w:t>
            </w:r>
          </w:p>
        </w:tc>
        <w:tc>
          <w:tcPr>
            <w:tcW w:w="2551" w:type="dxa"/>
            <w:vAlign w:val="center"/>
          </w:tcPr>
          <w:p>
            <w:pPr>
              <w:pStyle w:val="16"/>
            </w:pPr>
            <w:r>
              <w:t>39.67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3.59</w:t>
            </w:r>
          </w:p>
        </w:tc>
        <w:tc>
          <w:tcPr>
            <w:tcW w:w="2551" w:type="dxa"/>
            <w:vAlign w:val="center"/>
          </w:tcPr>
          <w:p>
            <w:pPr>
              <w:pStyle w:val="16"/>
            </w:pPr>
            <w:r>
              <w:t>3.59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102.18</w:t>
            </w:r>
          </w:p>
        </w:tc>
        <w:tc>
          <w:tcPr>
            <w:tcW w:w="2551" w:type="dxa"/>
            <w:vAlign w:val="center"/>
          </w:tcPr>
          <w:p>
            <w:pPr>
              <w:pStyle w:val="16"/>
            </w:pPr>
            <w:r>
              <w:t>102.18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1.84</w:t>
            </w:r>
          </w:p>
        </w:tc>
        <w:tc>
          <w:tcPr>
            <w:tcW w:w="2551" w:type="dxa"/>
            <w:vAlign w:val="center"/>
          </w:tcPr>
          <w:p>
            <w:pPr>
              <w:pStyle w:val="16"/>
            </w:pPr>
            <w:r>
              <w:t>1.84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176.52</w:t>
            </w:r>
          </w:p>
        </w:tc>
        <w:tc>
          <w:tcPr>
            <w:tcW w:w="2551" w:type="dxa"/>
            <w:vAlign w:val="center"/>
          </w:tcPr>
          <w:p>
            <w:pPr>
              <w:pStyle w:val="16"/>
            </w:pPr>
          </w:p>
        </w:tc>
        <w:tc>
          <w:tcPr>
            <w:tcW w:w="2551" w:type="dxa"/>
            <w:vAlign w:val="center"/>
          </w:tcPr>
          <w:p>
            <w:pPr>
              <w:pStyle w:val="16"/>
            </w:pPr>
            <w:r>
              <w:t>176.52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29.92</w:t>
            </w:r>
          </w:p>
        </w:tc>
        <w:tc>
          <w:tcPr>
            <w:tcW w:w="2551" w:type="dxa"/>
            <w:vAlign w:val="center"/>
          </w:tcPr>
          <w:p>
            <w:pPr>
              <w:pStyle w:val="16"/>
            </w:pPr>
          </w:p>
        </w:tc>
        <w:tc>
          <w:tcPr>
            <w:tcW w:w="2551" w:type="dxa"/>
            <w:vAlign w:val="center"/>
          </w:tcPr>
          <w:p>
            <w:pPr>
              <w:pStyle w:val="16"/>
            </w:pPr>
            <w:r>
              <w:t>29.92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2.35</w:t>
            </w:r>
          </w:p>
        </w:tc>
        <w:tc>
          <w:tcPr>
            <w:tcW w:w="2551" w:type="dxa"/>
            <w:vAlign w:val="center"/>
          </w:tcPr>
          <w:p>
            <w:pPr>
              <w:pStyle w:val="16"/>
            </w:pPr>
          </w:p>
        </w:tc>
        <w:tc>
          <w:tcPr>
            <w:tcW w:w="2551" w:type="dxa"/>
            <w:vAlign w:val="center"/>
          </w:tcPr>
          <w:p>
            <w:pPr>
              <w:pStyle w:val="16"/>
            </w:pPr>
            <w: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2.78</w:t>
            </w:r>
          </w:p>
        </w:tc>
        <w:tc>
          <w:tcPr>
            <w:tcW w:w="2551" w:type="dxa"/>
            <w:vAlign w:val="center"/>
          </w:tcPr>
          <w:p>
            <w:pPr>
              <w:pStyle w:val="16"/>
            </w:pPr>
          </w:p>
        </w:tc>
        <w:tc>
          <w:tcPr>
            <w:tcW w:w="2551" w:type="dxa"/>
            <w:vAlign w:val="center"/>
          </w:tcPr>
          <w:p>
            <w:pPr>
              <w:pStyle w:val="16"/>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7.83</w:t>
            </w:r>
          </w:p>
        </w:tc>
        <w:tc>
          <w:tcPr>
            <w:tcW w:w="2551" w:type="dxa"/>
            <w:vAlign w:val="center"/>
          </w:tcPr>
          <w:p>
            <w:pPr>
              <w:pStyle w:val="16"/>
            </w:pPr>
          </w:p>
        </w:tc>
        <w:tc>
          <w:tcPr>
            <w:tcW w:w="2551" w:type="dxa"/>
            <w:vAlign w:val="center"/>
          </w:tcPr>
          <w:p>
            <w:pPr>
              <w:pStyle w:val="16"/>
            </w:pPr>
            <w:r>
              <w:t>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45.44</w:t>
            </w:r>
          </w:p>
        </w:tc>
        <w:tc>
          <w:tcPr>
            <w:tcW w:w="2551" w:type="dxa"/>
            <w:vAlign w:val="center"/>
          </w:tcPr>
          <w:p>
            <w:pPr>
              <w:pStyle w:val="16"/>
            </w:pPr>
          </w:p>
        </w:tc>
        <w:tc>
          <w:tcPr>
            <w:tcW w:w="2551" w:type="dxa"/>
            <w:vAlign w:val="center"/>
          </w:tcPr>
          <w:p>
            <w:pPr>
              <w:pStyle w:val="16"/>
            </w:pPr>
            <w:r>
              <w:t>45.44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5.75</w:t>
            </w:r>
          </w:p>
        </w:tc>
        <w:tc>
          <w:tcPr>
            <w:tcW w:w="2551" w:type="dxa"/>
            <w:vAlign w:val="center"/>
          </w:tcPr>
          <w:p>
            <w:pPr>
              <w:pStyle w:val="16"/>
            </w:pPr>
          </w:p>
        </w:tc>
        <w:tc>
          <w:tcPr>
            <w:tcW w:w="2551" w:type="dxa"/>
            <w:vAlign w:val="center"/>
          </w:tcPr>
          <w:p>
            <w:pPr>
              <w:pStyle w:val="16"/>
            </w:pPr>
            <w:r>
              <w:t>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5.05</w:t>
            </w:r>
          </w:p>
        </w:tc>
        <w:tc>
          <w:tcPr>
            <w:tcW w:w="2551" w:type="dxa"/>
            <w:vAlign w:val="center"/>
          </w:tcPr>
          <w:p>
            <w:pPr>
              <w:pStyle w:val="16"/>
            </w:pPr>
          </w:p>
        </w:tc>
        <w:tc>
          <w:tcPr>
            <w:tcW w:w="2551" w:type="dxa"/>
            <w:vAlign w:val="center"/>
          </w:tcPr>
          <w:p>
            <w:pPr>
              <w:pStyle w:val="16"/>
            </w:pPr>
            <w: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18.10</w:t>
            </w:r>
          </w:p>
        </w:tc>
        <w:tc>
          <w:tcPr>
            <w:tcW w:w="2551" w:type="dxa"/>
            <w:vAlign w:val="center"/>
          </w:tcPr>
          <w:p>
            <w:pPr>
              <w:pStyle w:val="16"/>
            </w:pPr>
          </w:p>
        </w:tc>
        <w:tc>
          <w:tcPr>
            <w:tcW w:w="2551" w:type="dxa"/>
            <w:vAlign w:val="center"/>
          </w:tcPr>
          <w:p>
            <w:pPr>
              <w:pStyle w:val="16"/>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4.35</w:t>
            </w:r>
          </w:p>
        </w:tc>
        <w:tc>
          <w:tcPr>
            <w:tcW w:w="2551" w:type="dxa"/>
            <w:vAlign w:val="center"/>
          </w:tcPr>
          <w:p>
            <w:pPr>
              <w:pStyle w:val="16"/>
            </w:pPr>
          </w:p>
        </w:tc>
        <w:tc>
          <w:tcPr>
            <w:tcW w:w="2551" w:type="dxa"/>
            <w:vAlign w:val="center"/>
          </w:tcPr>
          <w:p>
            <w:pPr>
              <w:pStyle w:val="16"/>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7.10</w:t>
            </w:r>
          </w:p>
        </w:tc>
        <w:tc>
          <w:tcPr>
            <w:tcW w:w="2551" w:type="dxa"/>
            <w:vAlign w:val="center"/>
          </w:tcPr>
          <w:p>
            <w:pPr>
              <w:pStyle w:val="16"/>
            </w:pPr>
          </w:p>
        </w:tc>
        <w:tc>
          <w:tcPr>
            <w:tcW w:w="2551" w:type="dxa"/>
            <w:vAlign w:val="center"/>
          </w:tcPr>
          <w:p>
            <w:pPr>
              <w:pStyle w:val="16"/>
            </w:pPr>
            <w:r>
              <w:t>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6.27</w:t>
            </w:r>
          </w:p>
        </w:tc>
        <w:tc>
          <w:tcPr>
            <w:tcW w:w="2551" w:type="dxa"/>
            <w:vAlign w:val="center"/>
          </w:tcPr>
          <w:p>
            <w:pPr>
              <w:pStyle w:val="16"/>
            </w:pPr>
          </w:p>
        </w:tc>
        <w:tc>
          <w:tcPr>
            <w:tcW w:w="2551" w:type="dxa"/>
            <w:vAlign w:val="center"/>
          </w:tcPr>
          <w:p>
            <w:pPr>
              <w:pStyle w:val="16"/>
            </w:pPr>
            <w:r>
              <w:t>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37.20</w:t>
            </w:r>
          </w:p>
        </w:tc>
        <w:tc>
          <w:tcPr>
            <w:tcW w:w="2551" w:type="dxa"/>
            <w:vAlign w:val="center"/>
          </w:tcPr>
          <w:p>
            <w:pPr>
              <w:pStyle w:val="16"/>
            </w:pPr>
          </w:p>
        </w:tc>
        <w:tc>
          <w:tcPr>
            <w:tcW w:w="2551" w:type="dxa"/>
            <w:vAlign w:val="center"/>
          </w:tcPr>
          <w:p>
            <w:pPr>
              <w:pStyle w:val="16"/>
            </w:pPr>
            <w:r>
              <w:t>37.20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214.74</w:t>
            </w:r>
          </w:p>
        </w:tc>
        <w:tc>
          <w:tcPr>
            <w:tcW w:w="2551" w:type="dxa"/>
            <w:vAlign w:val="center"/>
          </w:tcPr>
          <w:p>
            <w:pPr>
              <w:pStyle w:val="16"/>
            </w:pPr>
            <w:r>
              <w:t>214.74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211.76</w:t>
            </w:r>
          </w:p>
        </w:tc>
        <w:tc>
          <w:tcPr>
            <w:tcW w:w="2551" w:type="dxa"/>
            <w:vAlign w:val="center"/>
          </w:tcPr>
          <w:p>
            <w:pPr>
              <w:pStyle w:val="16"/>
            </w:pPr>
            <w:r>
              <w:t>211.76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2.88</w:t>
            </w:r>
          </w:p>
        </w:tc>
        <w:tc>
          <w:tcPr>
            <w:tcW w:w="2551" w:type="dxa"/>
            <w:vAlign w:val="center"/>
          </w:tcPr>
          <w:p>
            <w:pPr>
              <w:pStyle w:val="16"/>
            </w:pPr>
            <w:r>
              <w:t>2.88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0.11</w:t>
            </w:r>
          </w:p>
        </w:tc>
        <w:tc>
          <w:tcPr>
            <w:tcW w:w="2551" w:type="dxa"/>
            <w:vAlign w:val="center"/>
          </w:tcPr>
          <w:p>
            <w:pPr>
              <w:pStyle w:val="16"/>
            </w:pPr>
            <w:r>
              <w:t>0.11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917廊坊市广阳区银河北路街道办事处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917廊坊市广阳区银河北路街道办事处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21.32</w:t>
            </w:r>
          </w:p>
        </w:tc>
        <w:tc>
          <w:tcPr>
            <w:tcW w:w="2551" w:type="dxa"/>
            <w:vAlign w:val="center"/>
          </w:tcPr>
          <w:p>
            <w:pPr>
              <w:pStyle w:val="20"/>
            </w:pPr>
          </w:p>
        </w:tc>
        <w:tc>
          <w:tcPr>
            <w:tcW w:w="2551" w:type="dxa"/>
            <w:vAlign w:val="center"/>
          </w:tcPr>
          <w:p>
            <w:pPr>
              <w:pStyle w:val="20"/>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21.32</w:t>
            </w:r>
          </w:p>
        </w:tc>
        <w:tc>
          <w:tcPr>
            <w:tcW w:w="2551" w:type="dxa"/>
            <w:vAlign w:val="center"/>
          </w:tcPr>
          <w:p>
            <w:pPr>
              <w:pStyle w:val="16"/>
            </w:pPr>
          </w:p>
        </w:tc>
        <w:tc>
          <w:tcPr>
            <w:tcW w:w="2551" w:type="dxa"/>
            <w:vAlign w:val="center"/>
          </w:tcPr>
          <w:p>
            <w:pPr>
              <w:pStyle w:val="16"/>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21.32</w:t>
            </w:r>
          </w:p>
        </w:tc>
        <w:tc>
          <w:tcPr>
            <w:tcW w:w="2551" w:type="dxa"/>
            <w:vAlign w:val="center"/>
          </w:tcPr>
          <w:p>
            <w:pPr>
              <w:pStyle w:val="16"/>
            </w:pPr>
          </w:p>
        </w:tc>
        <w:tc>
          <w:tcPr>
            <w:tcW w:w="2551" w:type="dxa"/>
            <w:vAlign w:val="center"/>
          </w:tcPr>
          <w:p>
            <w:pPr>
              <w:pStyle w:val="16"/>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2230105</w:t>
            </w:r>
          </w:p>
        </w:tc>
        <w:tc>
          <w:tcPr>
            <w:tcW w:w="4535" w:type="dxa"/>
            <w:vAlign w:val="center"/>
          </w:tcPr>
          <w:p>
            <w:pPr>
              <w:pStyle w:val="17"/>
            </w:pPr>
            <w:r>
              <w:t>国有企业退休人员社会化管理补助支出</w:t>
            </w:r>
          </w:p>
        </w:tc>
        <w:tc>
          <w:tcPr>
            <w:tcW w:w="2551" w:type="dxa"/>
            <w:vAlign w:val="center"/>
          </w:tcPr>
          <w:p>
            <w:pPr>
              <w:pStyle w:val="16"/>
            </w:pPr>
            <w:r>
              <w:t>21.32</w:t>
            </w:r>
          </w:p>
        </w:tc>
        <w:tc>
          <w:tcPr>
            <w:tcW w:w="2551" w:type="dxa"/>
            <w:vAlign w:val="center"/>
          </w:tcPr>
          <w:p>
            <w:pPr>
              <w:pStyle w:val="16"/>
            </w:pPr>
          </w:p>
        </w:tc>
        <w:tc>
          <w:tcPr>
            <w:tcW w:w="2551" w:type="dxa"/>
            <w:vAlign w:val="center"/>
          </w:tcPr>
          <w:p>
            <w:pPr>
              <w:pStyle w:val="16"/>
            </w:pPr>
            <w:r>
              <w:t>21.32</w:t>
            </w:r>
          </w:p>
        </w:tc>
      </w:tr>
    </w:tbl>
    <w:p>
      <w:pPr>
        <w:sectPr>
          <w:pgSz w:w="16840" w:h="11900" w:orient="landscape"/>
          <w:pgMar w:top="1361" w:right="1020" w:bottom="1134" w:left="1020" w:header="720" w:footer="720" w:gutter="0"/>
          <w:cols w:space="720" w:num="1"/>
        </w:sectPr>
      </w:pP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917廊坊市广阳区银河北路街道办事处</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廊坊市广阳区银河北路街道办事处2023年部门预算信息公开情况说明</w:t>
      </w:r>
    </w:p>
    <w:p>
      <w:pPr>
        <w:jc w:val="center"/>
      </w:pPr>
      <w:r>
        <w:rPr>
          <w:rFonts w:ascii="方正小标宋_GBK" w:hAnsi="方正小标宋_GBK" w:eastAsia="方正小标宋_GBK" w:cs="方正小标宋_GBK"/>
          <w:color w:val="000000"/>
          <w:sz w:val="44"/>
        </w:rPr>
        <w:t>廊坊市广阳区银河北路街道办事处2023年部门预算信息公开情况说明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预算法》、《地方预决算公开操作规程》和《关于进一步推进预算公开工作的实施意见》规定，现将廊坊市广阳区银河北路街道办事处2023年部门预算公开如下：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（一）党政综合办公室：</w:t>
      </w:r>
    </w:p>
    <w:p>
      <w:pPr>
        <w:pStyle w:val="22"/>
      </w:pPr>
      <w:r>
        <w:t>1.负责监督检查和指导所属单位和行政村的档案工作。</w:t>
      </w:r>
    </w:p>
    <w:p>
      <w:pPr>
        <w:pStyle w:val="22"/>
      </w:pPr>
      <w:r>
        <w:t>2.做好信访工作，畅通信访渠道、处理来信、接待来访。</w:t>
      </w:r>
    </w:p>
    <w:p>
      <w:pPr>
        <w:pStyle w:val="22"/>
      </w:pPr>
      <w:r>
        <w:t>3.负责辖区内的统计工作。履行统计职责，广泛引导、动员和组织社会力量积极参与并认真配合做好国家规定的周期性普查工作。</w:t>
      </w:r>
    </w:p>
    <w:p>
      <w:pPr>
        <w:pStyle w:val="22"/>
      </w:pPr>
      <w:r>
        <w:t>（二）党建工作办公室</w:t>
      </w:r>
    </w:p>
    <w:p>
      <w:pPr>
        <w:pStyle w:val="22"/>
      </w:pPr>
      <w:r>
        <w:t>1.宣传执行党的路线、方针、政策，宣传和执行党中央、上级党组织和本级党组织的决议，团结、组织党内外的干部和群众，努力完成本单位所担负的任务。</w:t>
      </w:r>
    </w:p>
    <w:p>
      <w:pPr>
        <w:pStyle w:val="22"/>
      </w:pPr>
      <w:r>
        <w:t>2.维护和执行党的纪律，监督党员干部和其他任何工作人员严格遵守国家法律法规。</w:t>
      </w:r>
    </w:p>
    <w:p>
      <w:pPr>
        <w:pStyle w:val="22"/>
      </w:pPr>
      <w:r>
        <w:t>3.负责乡镇和街道党（工）委自身建设和基层党组织建设，以及其他隶属乡镇和街道党（工）委的党组织建设。</w:t>
      </w:r>
    </w:p>
    <w:p>
      <w:pPr>
        <w:pStyle w:val="22"/>
      </w:pPr>
      <w:r>
        <w:t>4.负责下级党的基层组织选举工作、对下级党组织的成立或撤销作出决定。</w:t>
      </w:r>
    </w:p>
    <w:p>
      <w:pPr>
        <w:pStyle w:val="22"/>
      </w:pPr>
      <w:r>
        <w:t>5.负责非公有制企业和社会组织党建工作、扩大新兴领域党建有效覆盖。</w:t>
      </w:r>
    </w:p>
    <w:p>
      <w:pPr>
        <w:pStyle w:val="22"/>
      </w:pPr>
      <w:r>
        <w:t>6.加强党员队伍建设，对党员进行教育、管理、监督和服务，做好经常性的发展党员工作。加强流动党员管理。</w:t>
      </w:r>
    </w:p>
    <w:p>
      <w:pPr>
        <w:pStyle w:val="22"/>
      </w:pPr>
      <w:r>
        <w:t>7.做好人才服务工作，发现、培养、推荐党员和群众中的优秀人才。</w:t>
      </w:r>
    </w:p>
    <w:p>
      <w:pPr>
        <w:pStyle w:val="22"/>
      </w:pPr>
      <w:r>
        <w:t>8.落实意识形态工作责任制，组织党员群众学习习近平新时代中国特色社会主义思想，培育和践行社会主义核心价值观，加强精神文明建设和文化建设。</w:t>
      </w:r>
    </w:p>
    <w:p>
      <w:pPr>
        <w:pStyle w:val="22"/>
      </w:pPr>
      <w:r>
        <w:t>9.落实统一战线工作任务要求，做好民族事务工作。</w:t>
      </w:r>
    </w:p>
    <w:p>
      <w:pPr>
        <w:pStyle w:val="22"/>
      </w:pPr>
      <w:r>
        <w:t>10.领导辖区内人大工作，以及工会、共青团、妇联等工作。</w:t>
      </w:r>
    </w:p>
    <w:p>
      <w:pPr>
        <w:pStyle w:val="22"/>
      </w:pPr>
      <w:r>
        <w:t>11.根据委托授权负责本辖区内的宗教事务管理工作。</w:t>
      </w:r>
    </w:p>
    <w:p>
      <w:pPr>
        <w:pStyle w:val="22"/>
      </w:pPr>
      <w:r>
        <w:t>12.依照法定权限，做好本辖区的征兵、民兵、预备役、国防教育、国民经济动员、人民防空、国防交通、国防设施保护等工作。</w:t>
      </w:r>
    </w:p>
    <w:p>
      <w:pPr>
        <w:pStyle w:val="22"/>
      </w:pPr>
      <w:r>
        <w:t>13.负责联系街道辖区内的人民代表大会代表，组织代表开展活动，反映代表和群众的建议、批评和意见，办理常务委员会交办的监督、选举以及其他工作，并向常务委员会报告工作。</w:t>
      </w:r>
    </w:p>
    <w:p>
      <w:pPr>
        <w:pStyle w:val="22"/>
      </w:pPr>
      <w:r>
        <w:t>（三）应急管理办公室</w:t>
      </w:r>
    </w:p>
    <w:p>
      <w:pPr>
        <w:pStyle w:val="22"/>
      </w:pPr>
      <w:r>
        <w:t>1.负责辖区内的食品安全隐患排查、信息报告、协助执法和宣传教育等工作、做好本行政区域内小作坊、小餐饮、小摊点的监督管理工作。</w:t>
      </w:r>
    </w:p>
    <w:p>
      <w:pPr>
        <w:pStyle w:val="22"/>
      </w:pPr>
      <w:r>
        <w:t>2.加强本辖区生产经营单位安全生产状况的监督检查、协助上级有关部门依法履行安全生产监督管理职责。</w:t>
      </w:r>
    </w:p>
    <w:p>
      <w:pPr>
        <w:pStyle w:val="22"/>
      </w:pPr>
      <w:r>
        <w:t>3.负责本辖区的消防工作、开展消防宣传、防火巡查、隐患查改。指导村（居）民委员会开展群众性的消防工作。</w:t>
      </w:r>
    </w:p>
    <w:p>
      <w:pPr>
        <w:pStyle w:val="22"/>
      </w:pPr>
      <w:r>
        <w:t>4.负责辖区防汛抗洪、抗旱等相关工作。</w:t>
      </w:r>
    </w:p>
    <w:p>
      <w:pPr>
        <w:pStyle w:val="22"/>
      </w:pPr>
      <w:r>
        <w:t>5.负责辖区防灾减灾等相关工作。</w:t>
      </w:r>
    </w:p>
    <w:p>
      <w:pPr>
        <w:pStyle w:val="22"/>
      </w:pPr>
      <w:r>
        <w:t>6.依法做好本辖区的突发事件应对工作，制定本级突发事件应急预案，组织开展应急演练。</w:t>
      </w:r>
    </w:p>
    <w:p>
      <w:pPr>
        <w:pStyle w:val="22"/>
      </w:pPr>
      <w:r>
        <w:t>7.负责辖区应急管理工作，建立健全应急联动机制，严格落实应急管理责任，加强基层综合应急队伍建设和应急保障能力建设。</w:t>
      </w:r>
    </w:p>
    <w:p>
      <w:pPr>
        <w:pStyle w:val="22"/>
      </w:pPr>
      <w:r>
        <w:t>8.负责本辖区内自然灾害救助工作，做好自然灾害风险排查、隐患治理、救助准备、信息报告、先期处置、应急救助、灾后救助和救助款物管理等工作。</w:t>
      </w:r>
    </w:p>
    <w:p>
      <w:pPr>
        <w:pStyle w:val="22"/>
      </w:pPr>
      <w:r>
        <w:t>（四）自然资源和生态环境办公室</w:t>
      </w:r>
    </w:p>
    <w:p>
      <w:pPr>
        <w:pStyle w:val="22"/>
      </w:pPr>
      <w:r>
        <w:t>1.动员和组织社会力量参与土地调查工作。</w:t>
      </w:r>
    </w:p>
    <w:p>
      <w:pPr>
        <w:pStyle w:val="22"/>
      </w:pPr>
      <w:r>
        <w:t>2.按照职责分工负责辖区市容、村容和环境卫生、农村生活污水管理责任。</w:t>
      </w:r>
    </w:p>
    <w:p>
      <w:pPr>
        <w:pStyle w:val="22"/>
      </w:pPr>
      <w:r>
        <w:t>3.按照职责分工负责本辖区河湖的水资源保护、水域岸线管理、水污染防治、水环境治理等工作，协助上级人民政府及其有关部门做好地下水相关管理和监督工作。</w:t>
      </w:r>
    </w:p>
    <w:p>
      <w:pPr>
        <w:pStyle w:val="22"/>
      </w:pPr>
      <w:r>
        <w:t>4.根据本地区的实际，组织开展大气污染防治工作。</w:t>
      </w:r>
    </w:p>
    <w:p>
      <w:pPr>
        <w:pStyle w:val="22"/>
      </w:pPr>
      <w:r>
        <w:t>5.落实属地监管责任，做好禁止露天焚烧秸秆工作。</w:t>
      </w:r>
    </w:p>
    <w:p>
      <w:pPr>
        <w:pStyle w:val="22"/>
      </w:pPr>
      <w:r>
        <w:t>6．根据本地区的实际，组织开展扬尘污染防治工作。</w:t>
      </w:r>
    </w:p>
    <w:p>
      <w:pPr>
        <w:pStyle w:val="22"/>
      </w:pPr>
      <w:r>
        <w:t>7.按照职责分工做好“散乱污”企业综合整治工作。</w:t>
      </w:r>
    </w:p>
    <w:p>
      <w:pPr>
        <w:pStyle w:val="22"/>
      </w:pPr>
      <w:r>
        <w:t>8.按照职责分工和相关预案开展突发环境事件应急处置工作，按照有关规定向上级报告。</w:t>
      </w:r>
    </w:p>
    <w:p>
      <w:pPr>
        <w:pStyle w:val="22"/>
      </w:pPr>
      <w:r>
        <w:t>（五）综合行政执法队</w:t>
      </w:r>
    </w:p>
    <w:p>
      <w:pPr>
        <w:pStyle w:val="22"/>
      </w:pPr>
      <w:r>
        <w:t>1.根据法律法规和省政府授权，承担综合行政执法工作。</w:t>
      </w:r>
    </w:p>
    <w:p>
      <w:pPr>
        <w:pStyle w:val="22"/>
      </w:pPr>
      <w:r>
        <w:t>2.协助有关部门查处传销行为。</w:t>
      </w:r>
    </w:p>
    <w:p>
      <w:pPr>
        <w:pStyle w:val="22"/>
      </w:pPr>
      <w:r>
        <w:t>3.加大信用信息归集应用力度，落实守信联合激励和失信联合惩戒制度、推进信用分级分类监管。</w:t>
      </w:r>
    </w:p>
    <w:p>
      <w:pPr>
        <w:pStyle w:val="22"/>
      </w:pPr>
      <w:r>
        <w:t>4.制定本辖区社会治安综合治理规划、检查、推动社会治安综合治理措施的落实，协调和督促有关部门开展法制宣传教育工作、调解各类纠纷。</w:t>
      </w:r>
    </w:p>
    <w:p>
      <w:pPr>
        <w:pStyle w:val="22"/>
      </w:pPr>
      <w:r>
        <w:t>5.组织群众开展各种形式的治安防范活动和军民、警民联防活动；指导、帮助村（居）民委员会做好社会治安综合治理工作。</w:t>
      </w:r>
    </w:p>
    <w:p>
      <w:pPr>
        <w:pStyle w:val="22"/>
      </w:pPr>
      <w:r>
        <w:t>6.组织协调辖区社会治安防控体系建设及普法工作，开展基层平安创建活动及各种形式的治安防范活动。加强群防群治组织建设，动员、组织人民群众维护社会治安和社会秩序，做好防范邪教工作。</w:t>
      </w:r>
    </w:p>
    <w:p>
      <w:pPr>
        <w:pStyle w:val="22"/>
      </w:pPr>
      <w:r>
        <w:t>7.承担民间纠纷调解相关工作。</w:t>
      </w:r>
    </w:p>
    <w:p>
      <w:pPr>
        <w:pStyle w:val="22"/>
      </w:pPr>
      <w:r>
        <w:t>8.协调有关部门做好未成年人的保护工作。</w:t>
      </w:r>
    </w:p>
    <w:p>
      <w:pPr>
        <w:pStyle w:val="22"/>
      </w:pPr>
      <w:r>
        <w:t>9.承担企业劳动争议调解相关工作。</w:t>
      </w:r>
    </w:p>
    <w:p>
      <w:pPr>
        <w:pStyle w:val="22"/>
      </w:pPr>
      <w:r>
        <w:t>10.组织相关单位开展社区矫正工作和对户籍或居住地在本辖区的刑满释放人员做好接收建档和安置帮教工作，做好重点帮教对象的衔接工作。</w:t>
      </w:r>
    </w:p>
    <w:p>
      <w:pPr>
        <w:pStyle w:val="22"/>
      </w:pPr>
      <w:r>
        <w:t>11.负责社区戒毒、社区康复工作。</w:t>
      </w:r>
    </w:p>
    <w:p>
      <w:pPr>
        <w:pStyle w:val="22"/>
      </w:pPr>
      <w:r>
        <w:t>（六）行政综合服务中心</w:t>
      </w:r>
    </w:p>
    <w:p>
      <w:pPr>
        <w:pStyle w:val="22"/>
      </w:pPr>
      <w:r>
        <w:t>1.负责指导居民委员会的换届选举工作。</w:t>
      </w:r>
    </w:p>
    <w:p>
      <w:pPr>
        <w:pStyle w:val="22"/>
      </w:pPr>
      <w:r>
        <w:t>2.指导村（居）民委员会建立健全各项自治制度，并予以备案。</w:t>
      </w:r>
    </w:p>
    <w:p>
      <w:pPr>
        <w:pStyle w:val="22"/>
      </w:pPr>
      <w:r>
        <w:t>3.按权限负责基层社区社会组织的分类指导和业务指导。</w:t>
      </w:r>
    </w:p>
    <w:p>
      <w:pPr>
        <w:pStyle w:val="22"/>
      </w:pPr>
      <w:r>
        <w:t>4.负责加强本辖区健康教育工作及其专业人才培养、建立健康知识和技能核心信息发布制度、普及健康科学知识、向公众提供科学、准确的健康信息。</w:t>
      </w:r>
    </w:p>
    <w:p>
      <w:pPr>
        <w:pStyle w:val="22"/>
      </w:pPr>
      <w:r>
        <w:t>5.负责本辖区健康中国建设，健全实施健康中国行动领导推进工作机制，逐项抓好任务落实。</w:t>
      </w:r>
    </w:p>
    <w:p>
      <w:pPr>
        <w:pStyle w:val="22"/>
      </w:pPr>
      <w:r>
        <w:t>6.根据法律法规和省政府授权，承担行政审批服务工作。</w:t>
      </w:r>
    </w:p>
    <w:p>
      <w:pPr>
        <w:pStyle w:val="22"/>
      </w:pPr>
      <w:r>
        <w:t>7.开展就业政策宣传、就业援助等就业服务工作。</w:t>
      </w:r>
    </w:p>
    <w:p>
      <w:pPr>
        <w:pStyle w:val="22"/>
      </w:pPr>
      <w:r>
        <w:t>8.负责辖区内人口与计划生育工作。</w:t>
      </w:r>
    </w:p>
    <w:p>
      <w:pPr>
        <w:pStyle w:val="22"/>
      </w:pPr>
      <w:r>
        <w:t>9.组织开展全民健身活动，建立健全全民健身工作协调机制。</w:t>
      </w:r>
    </w:p>
    <w:p>
      <w:pPr>
        <w:pStyle w:val="22"/>
      </w:pPr>
      <w:r>
        <w:t>10.负责本辖区爱国卫生日常工作。</w:t>
      </w:r>
    </w:p>
    <w:p>
      <w:pPr>
        <w:pStyle w:val="22"/>
      </w:pPr>
      <w:r>
        <w:t>11.按权限开展社会救助工作。</w:t>
      </w:r>
    </w:p>
    <w:p>
      <w:pPr>
        <w:pStyle w:val="22"/>
      </w:pPr>
      <w:r>
        <w:t>12.按权限做好残疾人保障工作。</w:t>
      </w:r>
    </w:p>
    <w:p>
      <w:pPr>
        <w:pStyle w:val="22"/>
      </w:pPr>
      <w:r>
        <w:t>13.负责组织开展预防精神障碍发生、促进精神障碍患者康复等工作。</w:t>
      </w:r>
    </w:p>
    <w:p>
      <w:pPr>
        <w:pStyle w:val="22"/>
      </w:pPr>
      <w:r>
        <w:t>14.按照职责分工负责做好辖区城乡居民基本养老保险工作。</w:t>
      </w:r>
    </w:p>
    <w:p>
      <w:pPr>
        <w:pStyle w:val="22"/>
      </w:pPr>
      <w:r>
        <w:t>（七）社区建设和物业监督管理办公室</w:t>
      </w:r>
    </w:p>
    <w:p>
      <w:pPr>
        <w:pStyle w:val="22"/>
      </w:pPr>
      <w:r>
        <w:t>1.组织实施居家养老服务工作，建设居家养老服务设施，落实政府购买服务、经费补贴等扶持政策措施、组织、指导社会各界参与居家养老和空巢、留守老年人关爱服务。</w:t>
      </w:r>
    </w:p>
    <w:p>
      <w:pPr>
        <w:pStyle w:val="22"/>
      </w:pPr>
      <w:r>
        <w:t>2.负责指导辖区内业主大会的成立和业主委员会的选举工作。</w:t>
      </w:r>
    </w:p>
    <w:p>
      <w:pPr>
        <w:pStyle w:val="22"/>
      </w:pPr>
      <w:r>
        <w:t>3.按权限负责社区工作者的日常管理工作。</w:t>
      </w:r>
    </w:p>
    <w:p>
      <w:pPr>
        <w:pStyle w:val="22"/>
      </w:pPr>
      <w:r>
        <w:t>（八）综合文化服务站</w:t>
      </w:r>
    </w:p>
    <w:p>
      <w:pPr>
        <w:pStyle w:val="22"/>
      </w:pPr>
      <w:r>
        <w:t>1.组织开展本辖区科普活动，宣传科学、文明的生产和生活方式。</w:t>
      </w:r>
    </w:p>
    <w:p>
      <w:pPr>
        <w:pStyle w:val="22"/>
      </w:pPr>
      <w:r>
        <w:t>2.负责本辖区综合文化站、新时代文明实践中心（所、站）建设和日常管理、实施免费开放。</w:t>
      </w:r>
    </w:p>
    <w:p>
      <w:pPr>
        <w:pStyle w:val="22"/>
      </w:pPr>
      <w:r>
        <w:t>（九）退役军人服务站</w:t>
      </w:r>
    </w:p>
    <w:p>
      <w:pPr>
        <w:pStyle w:val="22"/>
      </w:pPr>
      <w:r>
        <w:t>负责拥军优属、退役军人服务等工作。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廊坊市广阳区银河北路街道办事处本级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按照预算管理有关规定，目前我区部门预算的编制实行综合预算管理，即全部收入和支出都反映在预算中。廊坊市广阳区银河北路街道办事处机关及所属事业单位的收支包含在部门预算中。</w:t>
      </w:r>
    </w:p>
    <w:p>
      <w:pPr>
        <w:pStyle w:val="23"/>
      </w:pPr>
      <w:r>
        <w:t>1、收入说明</w:t>
      </w:r>
    </w:p>
    <w:p>
      <w:pPr>
        <w:pStyle w:val="23"/>
      </w:pPr>
      <w:r>
        <w:t>反映本部门当年全部收入。2023年预算收入2294.9万元，其中：一般公共预算收入2273.58万元，基金预算收入0万元，财政专户核拨收入0万元，其他来源收入0万元，上年结转21.32万元。</w:t>
      </w:r>
    </w:p>
    <w:p>
      <w:pPr>
        <w:pStyle w:val="23"/>
      </w:pPr>
      <w:r>
        <w:t>2、支出说明</w:t>
      </w:r>
    </w:p>
    <w:p>
      <w:pPr>
        <w:pStyle w:val="23"/>
      </w:pPr>
      <w:r>
        <w:t>收支预算总表支出栏、基本支出表、项目支出表按经济分类和支出功能分类科目编制，反映廊坊市广阳区银河北路街道办事处2023年度部门预算中支出预算的总体情况。2023年支出预算2294.9万元，其中：基本支出1704.98万元，包括人员经费1528.46万元和日常公用经费176.52万元；项目支出589.92万元，全部为本级支出，主要为社区招聘人员经费，国有企业退休人员社会化管理补助资金等项目。</w:t>
      </w:r>
    </w:p>
    <w:p>
      <w:pPr>
        <w:pStyle w:val="23"/>
      </w:pPr>
      <w:r>
        <w:t>3、比上年增减情况</w:t>
      </w:r>
    </w:p>
    <w:p>
      <w:pPr>
        <w:pStyle w:val="23"/>
      </w:pPr>
      <w:r>
        <w:t>2023年预算收支安排2294.9万元，较2022年预算减少91.93万元，其中：基本支出减少125.57万元，减少原因主要为人员经费支出，项目支出增加33.64万元,增加原因主要为国有企业退休人员社会化管理补助资金等项目。</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2023年，我部门运行经费共计安排176.52万元，主要用于办公区的日常维修、办公费用、办公用房水电费、办公用房取暖费、邮电费、差旅费、办公用房物业管理费、公务用车运行维护费等日常运行支出。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4.38万元。其中，因公出国（境）0万元；公务用车购置及运维费4.38万元，（其中，公务接待费0万元，公务用车及运维费4.38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1、紧盯项目谋划，推动招商引资上台阶。</w:t>
      </w:r>
    </w:p>
    <w:p>
      <w:pPr>
        <w:pStyle w:val="26"/>
      </w:pPr>
      <w:r>
        <w:t>一是强化组织领导，求真务实抓招商。每周组织班子会对招商进展进行调度，细化网格责任，明确奖惩措施，以项目论英雄，凭招商比能力。以社区为单位，广泛挖掘招商项目线索，形成“千方百计动脑筋，千山万水找项目，千辛万苦引资金”的浓厚氛围。</w:t>
      </w:r>
    </w:p>
    <w:p>
      <w:pPr>
        <w:pStyle w:val="26"/>
      </w:pPr>
      <w:r>
        <w:t>二是深化理论学习，整合力量抓招商。邀请商务领域专家、企业家代表，每月对班子成员、招商小组进行业务培训；对辖区5000平米以上的8栋商业楼宇入驻企业逐个建立工作台账；</w:t>
      </w:r>
    </w:p>
    <w:p>
      <w:pPr>
        <w:pStyle w:val="26"/>
      </w:pPr>
      <w:r>
        <w:t>三是借助协会纽带，聚焦外贸抓招商。</w:t>
      </w:r>
    </w:p>
    <w:p>
      <w:pPr>
        <w:pStyle w:val="26"/>
      </w:pPr>
      <w:r>
        <w:t>2、发力万达商圈，打造城市经济新地标。</w:t>
      </w:r>
    </w:p>
    <w:p>
      <w:pPr>
        <w:pStyle w:val="26"/>
      </w:pPr>
      <w:r>
        <w:t>充分发挥万达商圈强有力的经济辐射作用，把握地理位置优越、消费群体多元、商业业态丰富的特色优势，全力打造消费新地标。将现代化服务业列为重点发展领域，聚焦总部经济、科技研发、文化创意、金融服务、互联网服务等周期短、见效快的轻资产企业。</w:t>
      </w:r>
    </w:p>
    <w:p>
      <w:pPr>
        <w:pStyle w:val="26"/>
      </w:pPr>
      <w:r>
        <w:t>3、改造街道面貌，共筑美丽宜居新形象。</w:t>
      </w:r>
    </w:p>
    <w:p>
      <w:pPr>
        <w:pStyle w:val="26"/>
      </w:pPr>
      <w:r>
        <w:t>将有限财力用在刀刃上，进一步提升社区综合服务站软硬件水平；深挖“老三角地”文化内涵，谋划网红打卡点；着力推进六小、大官庄片区改造，提高居民生活品质；助推万达商圈与天利得益商圈汇集连片，形成相互借力、共谋发展的商业氛围。</w:t>
      </w:r>
    </w:p>
    <w:p>
      <w:pPr>
        <w:pStyle w:val="26"/>
      </w:pPr>
      <w:r>
        <w:t>4、开展大气治理，打好污染防控攻坚战。</w:t>
      </w:r>
    </w:p>
    <w:p>
      <w:pPr>
        <w:pStyle w:val="26"/>
      </w:pPr>
      <w:r>
        <w:t>坚持科学管控，压实网格职责，强化餐饮油烟、VOCs企业、扬尘及散煤管控等日常污染源的常态化管控。建立街道巡查员和社区网格员双重巡查制度，发现问题第一时间处置到位，确保“五防”管控目标取得实效。</w:t>
      </w:r>
    </w:p>
    <w:p>
      <w:pPr>
        <w:pStyle w:val="26"/>
      </w:pPr>
      <w:r>
        <w:t>5、落实管控政策，打赢疫情防控阻击战。</w:t>
      </w:r>
    </w:p>
    <w:p>
      <w:pPr>
        <w:pStyle w:val="26"/>
      </w:pPr>
      <w:r>
        <w:t>按照“外防输入、内防扩散”工作要求，严格落实上级要求，强化网格化管理，确保社区防控、流调、消杀、健康教育等八支队伍管理无盲点。在做好常态化管控的基础上，定期组织演练，确保突发情况发生时，第一时间启动应急机制，实现快速响应，及时处置，妥善解决。</w:t>
      </w:r>
    </w:p>
    <w:p>
      <w:pPr>
        <w:pStyle w:val="26"/>
      </w:pPr>
      <w:r>
        <w:t>6、建设平安街道，织密安全生产防护网。</w:t>
      </w:r>
    </w:p>
    <w:p>
      <w:pPr>
        <w:pStyle w:val="26"/>
      </w:pPr>
      <w:r>
        <w:t>聚焦安全生产、食药安全、金融安全、卫生防疫、环境安全和社区综治等重点领域，强化人防、物防和技防措施，建立健全消除隐患和解决问题的长效机制，全面创建平安街道。</w:t>
      </w:r>
    </w:p>
    <w:p>
      <w:pPr>
        <w:spacing w:line="500" w:lineRule="exact"/>
        <w:ind w:firstLine="560"/>
      </w:pPr>
      <w:r>
        <w:rPr>
          <w:rFonts w:eastAsia="方正仿宋_GBK"/>
          <w:color w:val="000000"/>
          <w:sz w:val="28"/>
        </w:rPr>
        <w:t>（二）分项绩效目标</w:t>
      </w:r>
    </w:p>
    <w:p>
      <w:pPr>
        <w:pStyle w:val="27"/>
      </w:pPr>
      <w:r>
        <w:t xml:space="preserve">1、人员类支出绩效目标主要用于人员工资福利等支出，社会保障缴纳，进一步增强干部职工的归属感，保障办公正常运转。    </w:t>
      </w:r>
    </w:p>
    <w:p>
      <w:pPr>
        <w:pStyle w:val="27"/>
      </w:pPr>
      <w:r>
        <w:t>数量指标 保障单位实有人数的各项工资、保险的发放缴纳</w:t>
      </w:r>
    </w:p>
    <w:p>
      <w:pPr>
        <w:pStyle w:val="27"/>
      </w:pPr>
      <w:r>
        <w:t>质量指标 社会保障准确缴纳</w:t>
      </w:r>
    </w:p>
    <w:p>
      <w:pPr>
        <w:pStyle w:val="27"/>
      </w:pPr>
      <w:r>
        <w:t>时效指标 社会保障及时性缴纳</w:t>
      </w:r>
    </w:p>
    <w:p>
      <w:pPr>
        <w:pStyle w:val="27"/>
      </w:pPr>
      <w:r>
        <w:t>成本指标 严格按照标准缴纳社会保障业务。</w:t>
      </w:r>
    </w:p>
    <w:p>
      <w:pPr>
        <w:pStyle w:val="27"/>
      </w:pPr>
      <w:r>
        <w:t>2、公用类支出绩效目标主要是经费保障工作，保障办公正常运转。</w:t>
      </w:r>
    </w:p>
    <w:p>
      <w:pPr>
        <w:pStyle w:val="27"/>
      </w:pPr>
      <w:r>
        <w:t>数量指标 保障单位实有人数的办公。</w:t>
      </w:r>
    </w:p>
    <w:p>
      <w:pPr>
        <w:pStyle w:val="27"/>
      </w:pPr>
      <w:r>
        <w:t>质量指标 保障单位的运转保障次第</w:t>
      </w:r>
    </w:p>
    <w:p>
      <w:pPr>
        <w:pStyle w:val="27"/>
      </w:pPr>
      <w:r>
        <w:t>时效指标 及时保障日常工作经费的支出。</w:t>
      </w:r>
    </w:p>
    <w:p>
      <w:pPr>
        <w:pStyle w:val="27"/>
      </w:pPr>
      <w:r>
        <w:t>成本指标 严格按照标准保障单位日常公用经费开支。</w:t>
      </w:r>
    </w:p>
    <w:p>
      <w:pPr>
        <w:pStyle w:val="27"/>
      </w:pPr>
      <w:r>
        <w:t>3、项目类支出绩效目标主要是上级专款拨付，及时拨付到位。</w:t>
      </w:r>
    </w:p>
    <w:p>
      <w:pPr>
        <w:pStyle w:val="27"/>
      </w:pPr>
      <w:r>
        <w:t>数量指标 保障与上级文件要求的企业数及奖金数一致。</w:t>
      </w:r>
    </w:p>
    <w:p>
      <w:pPr>
        <w:pStyle w:val="27"/>
      </w:pPr>
      <w:r>
        <w:t>质量指标 专项资金按上级文件要求的资金拨付企业</w:t>
      </w:r>
    </w:p>
    <w:p>
      <w:pPr>
        <w:pStyle w:val="27"/>
      </w:pPr>
      <w:r>
        <w:t>时效指标 专项资金及时拨付企业。</w:t>
      </w:r>
    </w:p>
    <w:p>
      <w:pPr>
        <w:spacing w:line="500" w:lineRule="exact"/>
        <w:ind w:firstLine="560"/>
      </w:pPr>
      <w:r>
        <w:rPr>
          <w:rFonts w:eastAsia="方正仿宋_GBK"/>
          <w:color w:val="000000"/>
          <w:sz w:val="28"/>
        </w:rPr>
        <w:t>（三）工作保障措施</w:t>
      </w:r>
    </w:p>
    <w:p>
      <w:pPr>
        <w:pStyle w:val="28"/>
      </w:pPr>
      <w:r>
        <w:t>1、严格预算支出管理：强化预算约束，从源头上管控好预算指标的实际执行，始终完善经费支出审批程序。</w:t>
      </w:r>
    </w:p>
    <w:p>
      <w:pPr>
        <w:pStyle w:val="28"/>
      </w:pPr>
      <w:r>
        <w:t>2、加强预算管理监督：切实严肃财经纪律，严格执行各项法律法规，切实把财经纪律和各项管理制度</w:t>
      </w:r>
      <w:r>
        <w:rPr>
          <w:rFonts w:hint="eastAsia"/>
          <w:lang w:eastAsia="zh-CN"/>
        </w:rPr>
        <w:t>落到实处</w:t>
      </w:r>
      <w:r>
        <w:t>，着力强化单位内部管理，把各环节责任明确到人、落实到位</w:t>
      </w:r>
    </w:p>
    <w:p>
      <w:pPr>
        <w:pStyle w:val="28"/>
      </w:pPr>
      <w:r>
        <w:t>3、完善内控制度：保障工作相互协调、相互制约，有利于查错防弊、堵塞漏洞、消除隐患，有利于提高工作效率，防范风险。</w:t>
      </w:r>
    </w:p>
    <w:p>
      <w:pPr>
        <w:pStyle w:val="28"/>
      </w:pPr>
      <w:r>
        <w:t>4、加强绩效运行监控：落实责任主体，明确职责分工、监控范围、监控对象和监控时间。按照“谁支出、谁负责”“谁使用、谁监控”的原则。</w:t>
      </w:r>
    </w:p>
    <w:p>
      <w:pPr>
        <w:pStyle w:val="28"/>
      </w:pPr>
      <w:r>
        <w:t>5、做好绩效自评方面：按照财政局的绩效评价工作要求，严格执行年初财政预算，特别是三公经费严格控制，严把财政资金出入关，实行绩效评价，各项工作开展效果明显。</w:t>
      </w:r>
    </w:p>
    <w:p>
      <w:pPr>
        <w:pStyle w:val="28"/>
      </w:pPr>
      <w:r>
        <w:t>6、 坚持会计核算管理“三规范”，执行制度规范、报支结算规范和财务监督规范。</w:t>
      </w:r>
    </w:p>
    <w:p>
      <w:pPr>
        <w:pStyle w:val="28"/>
      </w:pPr>
      <w:r>
        <w:t>7、 严把会计核算质量，规范会计核算口径、规范会计核算规则、规范“日清月结”。</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29"/>
        <w:gridCol w:w="529"/>
        <w:gridCol w:w="1959"/>
        <w:gridCol w:w="3754"/>
        <w:gridCol w:w="5309"/>
        <w:gridCol w:w="529"/>
        <w:gridCol w:w="418"/>
        <w:gridCol w:w="1087"/>
        <w:gridCol w:w="7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项目保障社区数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完成任务得权重分的100%，未完成一次扣减权重分的50%，扣完为止</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实现社区党组织的主导作用</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8</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个</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预算绩效目标管理覆盖率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达到目标值得权重分的100%，每降低1%扣10%权重分，扣完为止</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纳入绩效目标管理的部门和项目占所有部门和项目的比例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89</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日常公用支出</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公用经费控制率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日常公用经费决算数≤日常公用经费调整预算数，得权重分的50%，否则不得分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部门本年度实际支出的公用经费总额与预算安排的公用经费总额的比率，反映和考核部门对机构运转成本的实际可控制程度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社会效益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日常办公保障满意度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达到目标得权重分的100%，每降低5%扣减权重分的10%，低于60%不得分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保障办公满意度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调查问卷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社会群众满意度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达到目标得权重分的100%，每降低5%扣减权重分的10%，低于60%不得分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1、社区工作经费[区级]绩效目标表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1.通过社区各项日常办公费用支出，达到社区各项日常工作正常运转</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经费保障社区个数</w:t>
            </w:r>
          </w:p>
        </w:tc>
        <w:tc>
          <w:tcPr>
            <w:tcW w:w="2835" w:type="dxa"/>
            <w:vAlign w:val="center"/>
          </w:tcPr>
          <w:p>
            <w:pPr>
              <w:pStyle w:val="17"/>
            </w:pPr>
            <w:r>
              <w:t>反映经费保障社区个数</w:t>
            </w:r>
          </w:p>
        </w:tc>
        <w:tc>
          <w:tcPr>
            <w:tcW w:w="2551" w:type="dxa"/>
            <w:vAlign w:val="center"/>
          </w:tcPr>
          <w:p>
            <w:pPr>
              <w:pStyle w:val="17"/>
            </w:pPr>
            <w:r>
              <w:t>8个</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反映及时保障各项日常办公需要</w:t>
            </w:r>
          </w:p>
        </w:tc>
        <w:tc>
          <w:tcPr>
            <w:tcW w:w="2551" w:type="dxa"/>
            <w:vAlign w:val="center"/>
          </w:tcPr>
          <w:p>
            <w:pPr>
              <w:pStyle w:val="17"/>
            </w:pPr>
            <w:r>
              <w:t>≥95%</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反映单位资金成本</w:t>
            </w:r>
          </w:p>
        </w:tc>
        <w:tc>
          <w:tcPr>
            <w:tcW w:w="2551" w:type="dxa"/>
            <w:vAlign w:val="center"/>
          </w:tcPr>
          <w:p>
            <w:pPr>
              <w:pStyle w:val="17"/>
            </w:pPr>
            <w:r>
              <w:t>≤5万元/社区/年</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保障社区工作有序开展</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保障日常办公需要，维持社区正常运转</w:t>
            </w:r>
          </w:p>
        </w:tc>
        <w:tc>
          <w:tcPr>
            <w:tcW w:w="2835" w:type="dxa"/>
            <w:vAlign w:val="center"/>
          </w:tcPr>
          <w:p>
            <w:pPr>
              <w:pStyle w:val="17"/>
            </w:pPr>
            <w:r>
              <w:t>反映保障日常办公需要，维持社区正常运转</w:t>
            </w:r>
          </w:p>
        </w:tc>
        <w:tc>
          <w:tcPr>
            <w:tcW w:w="2551" w:type="dxa"/>
            <w:vAlign w:val="center"/>
          </w:tcPr>
          <w:p>
            <w:pPr>
              <w:pStyle w:val="17"/>
            </w:pPr>
            <w:r>
              <w:t>维持社区正常运转</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社区居民对社区服务的满意度</w:t>
            </w:r>
          </w:p>
        </w:tc>
        <w:tc>
          <w:tcPr>
            <w:tcW w:w="2835" w:type="dxa"/>
            <w:vAlign w:val="center"/>
          </w:tcPr>
          <w:p>
            <w:pPr>
              <w:pStyle w:val="17"/>
            </w:pPr>
            <w:r>
              <w:t>社区居民对社区当年工作满意度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2、国有企业退休人员社会化管理补助资金[市级]绩效目标表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1.国有企业已退休人员管理服务工作与原企业分离</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已退休人员管理服务工作与原企业分离比例</w:t>
            </w:r>
          </w:p>
        </w:tc>
        <w:tc>
          <w:tcPr>
            <w:tcW w:w="2835" w:type="dxa"/>
            <w:vAlign w:val="center"/>
          </w:tcPr>
          <w:p>
            <w:pPr>
              <w:pStyle w:val="17"/>
            </w:pPr>
            <w:r>
              <w:t>已退休人员管理服务工作与原企业分离比例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廊财建[2022]110号关于下达国有企业退休人员社会化管理市级补助资金的通知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68595元</w:t>
            </w:r>
          </w:p>
        </w:tc>
        <w:tc>
          <w:tcPr>
            <w:tcW w:w="2268" w:type="dxa"/>
            <w:vAlign w:val="center"/>
          </w:tcPr>
          <w:p>
            <w:pPr>
              <w:pStyle w:val="17"/>
            </w:pPr>
            <w:r>
              <w:t>廊财建[2022]110号关于下达国有企业退休人员社会化管理市级补助资金的通知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保障工作正常运转</w:t>
            </w:r>
          </w:p>
        </w:tc>
        <w:tc>
          <w:tcPr>
            <w:tcW w:w="2268" w:type="dxa"/>
            <w:vAlign w:val="center"/>
          </w:tcPr>
          <w:p>
            <w:pPr>
              <w:pStyle w:val="17"/>
            </w:pPr>
            <w:r>
              <w:t>廊财建[2022]110号关于下达国有企业退休人员社会化管理市级补助资金的通知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退休人员满意度</w:t>
            </w:r>
          </w:p>
        </w:tc>
        <w:tc>
          <w:tcPr>
            <w:tcW w:w="2835" w:type="dxa"/>
            <w:vAlign w:val="center"/>
          </w:tcPr>
          <w:p>
            <w:pPr>
              <w:pStyle w:val="17"/>
            </w:pPr>
            <w:r>
              <w:t>退休人员满意度</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3、国有企业退休人员社会化管理财政补助资金[中央]绩效目标表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 xml:space="preserve">1."保障离退休中心的正常运转，提高国有企业退休人员社会管理的归属感和幸福感。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已退休人员管理服务工作与原企业分离比例</w:t>
            </w:r>
          </w:p>
        </w:tc>
        <w:tc>
          <w:tcPr>
            <w:tcW w:w="2835" w:type="dxa"/>
            <w:vAlign w:val="center"/>
          </w:tcPr>
          <w:p>
            <w:pPr>
              <w:pStyle w:val="17"/>
            </w:pPr>
            <w:r>
              <w:t>已退休人员管理服务工作与原企业分离比例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144580元</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4、社区党组织服务群众专项经费[区级]绩效目标表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1.通过项目的开展解决好关系群众切身利益问题和联系服务群众工作，促进社区基层党建工作顺利开展。</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项目保障社区数</w:t>
            </w:r>
          </w:p>
        </w:tc>
        <w:tc>
          <w:tcPr>
            <w:tcW w:w="2835" w:type="dxa"/>
            <w:vAlign w:val="center"/>
          </w:tcPr>
          <w:p>
            <w:pPr>
              <w:pStyle w:val="17"/>
            </w:pPr>
            <w:r>
              <w:t>反映项目保障服务人数</w:t>
            </w:r>
          </w:p>
        </w:tc>
        <w:tc>
          <w:tcPr>
            <w:tcW w:w="2551" w:type="dxa"/>
            <w:vAlign w:val="center"/>
          </w:tcPr>
          <w:p>
            <w:pPr>
              <w:pStyle w:val="17"/>
            </w:pPr>
            <w:r>
              <w:t>8个</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反映党组织日常工作保障情况</w:t>
            </w:r>
          </w:p>
        </w:tc>
        <w:tc>
          <w:tcPr>
            <w:tcW w:w="2551" w:type="dxa"/>
            <w:vAlign w:val="center"/>
          </w:tcPr>
          <w:p>
            <w:pPr>
              <w:pStyle w:val="17"/>
            </w:pPr>
            <w:r>
              <w:t>100%</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反应工作完成及时率</w:t>
            </w:r>
          </w:p>
        </w:tc>
        <w:tc>
          <w:tcPr>
            <w:tcW w:w="2551" w:type="dxa"/>
            <w:vAlign w:val="center"/>
          </w:tcPr>
          <w:p>
            <w:pPr>
              <w:pStyle w:val="17"/>
            </w:pPr>
            <w:r>
              <w:t>≥95%</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反映单位资金成本</w:t>
            </w:r>
          </w:p>
        </w:tc>
        <w:tc>
          <w:tcPr>
            <w:tcW w:w="2551" w:type="dxa"/>
            <w:vAlign w:val="center"/>
          </w:tcPr>
          <w:p>
            <w:pPr>
              <w:pStyle w:val="17"/>
            </w:pPr>
            <w:r>
              <w:t>≤5万元/社区/年</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保障社区工作有序开展</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提升专业化服务水平</w:t>
            </w:r>
          </w:p>
        </w:tc>
        <w:tc>
          <w:tcPr>
            <w:tcW w:w="2835" w:type="dxa"/>
            <w:vAlign w:val="center"/>
          </w:tcPr>
          <w:p>
            <w:pPr>
              <w:pStyle w:val="17"/>
            </w:pPr>
            <w:r>
              <w:t>反映专业化服务水平情况</w:t>
            </w:r>
          </w:p>
        </w:tc>
        <w:tc>
          <w:tcPr>
            <w:tcW w:w="2551" w:type="dxa"/>
            <w:vAlign w:val="center"/>
          </w:tcPr>
          <w:p>
            <w:pPr>
              <w:pStyle w:val="17"/>
            </w:pPr>
            <w:r>
              <w:t>进一步提升</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社区居民对社区服务的满意度</w:t>
            </w:r>
          </w:p>
        </w:tc>
        <w:tc>
          <w:tcPr>
            <w:tcW w:w="2835" w:type="dxa"/>
            <w:vAlign w:val="center"/>
          </w:tcPr>
          <w:p>
            <w:pPr>
              <w:pStyle w:val="17"/>
            </w:pPr>
            <w:r>
              <w:t>社区居民对社区当年工作满意度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5、社区招聘人员补助资金[市级]绩效目标表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基本形成社区党组织领导、基层政府主导的多方参与、共同治理的城乡社区治理系统，形成以社区自治组织为骨干、社区居民为主体、社区社会组织和驻区单位为补充的现代治理格局，城乡社区体制更加完善，城乡社区治理功能显著提高。</w:t>
            </w:r>
            <w:r>
              <w:tab/>
            </w:r>
            <w:r>
              <w:tab/>
            </w:r>
            <w:r>
              <w:tab/>
            </w:r>
            <w:r>
              <w:tab/>
            </w:r>
            <w:r>
              <w:tab/>
            </w:r>
            <w:r>
              <w:tab/>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社区工作人员数量</w:t>
            </w:r>
          </w:p>
        </w:tc>
        <w:tc>
          <w:tcPr>
            <w:tcW w:w="2835" w:type="dxa"/>
            <w:vAlign w:val="center"/>
          </w:tcPr>
          <w:p>
            <w:pPr>
              <w:pStyle w:val="17"/>
            </w:pPr>
            <w:r>
              <w:t>社区工作人员数量</w:t>
            </w:r>
          </w:p>
        </w:tc>
        <w:tc>
          <w:tcPr>
            <w:tcW w:w="2551" w:type="dxa"/>
            <w:vAlign w:val="center"/>
          </w:tcPr>
          <w:p>
            <w:pPr>
              <w:pStyle w:val="17"/>
            </w:pPr>
            <w:r>
              <w:t>56人</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应补尽补率</w:t>
            </w:r>
          </w:p>
        </w:tc>
        <w:tc>
          <w:tcPr>
            <w:tcW w:w="2551" w:type="dxa"/>
            <w:vAlign w:val="center"/>
          </w:tcPr>
          <w:p>
            <w:pPr>
              <w:pStyle w:val="17"/>
            </w:pPr>
            <w:r>
              <w:t>100%</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补助资金发放及时性</w:t>
            </w:r>
          </w:p>
        </w:tc>
        <w:tc>
          <w:tcPr>
            <w:tcW w:w="2551" w:type="dxa"/>
            <w:vAlign w:val="center"/>
          </w:tcPr>
          <w:p>
            <w:pPr>
              <w:pStyle w:val="17"/>
            </w:pPr>
            <w:r>
              <w:t>及时</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人均工资及保险成本</w:t>
            </w:r>
          </w:p>
        </w:tc>
        <w:tc>
          <w:tcPr>
            <w:tcW w:w="2835" w:type="dxa"/>
            <w:vAlign w:val="center"/>
          </w:tcPr>
          <w:p>
            <w:pPr>
              <w:pStyle w:val="17"/>
            </w:pPr>
            <w:r>
              <w:t>每人每月工资及保险平均数</w:t>
            </w:r>
          </w:p>
        </w:tc>
        <w:tc>
          <w:tcPr>
            <w:tcW w:w="2551" w:type="dxa"/>
            <w:vAlign w:val="center"/>
          </w:tcPr>
          <w:p>
            <w:pPr>
              <w:pStyle w:val="17"/>
            </w:pPr>
            <w:r>
              <w:t>≤6900元/月/人</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招聘社区专干人员稳定性</w:t>
            </w:r>
          </w:p>
        </w:tc>
        <w:tc>
          <w:tcPr>
            <w:tcW w:w="2835" w:type="dxa"/>
            <w:vAlign w:val="center"/>
          </w:tcPr>
          <w:p>
            <w:pPr>
              <w:pStyle w:val="17"/>
            </w:pPr>
            <w:r>
              <w:t>招聘社区专干人员稳定性</w:t>
            </w:r>
          </w:p>
        </w:tc>
        <w:tc>
          <w:tcPr>
            <w:tcW w:w="2551" w:type="dxa"/>
            <w:vAlign w:val="center"/>
          </w:tcPr>
          <w:p>
            <w:pPr>
              <w:pStyle w:val="17"/>
            </w:pPr>
            <w:r>
              <w:t>稳定</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保障社区工作有序开展</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长效管理机制健全性</w:t>
            </w:r>
          </w:p>
        </w:tc>
        <w:tc>
          <w:tcPr>
            <w:tcW w:w="2835" w:type="dxa"/>
            <w:vAlign w:val="center"/>
          </w:tcPr>
          <w:p>
            <w:pPr>
              <w:pStyle w:val="17"/>
            </w:pPr>
            <w:r>
              <w:t>长效管理机制健全性</w:t>
            </w:r>
          </w:p>
        </w:tc>
        <w:tc>
          <w:tcPr>
            <w:tcW w:w="2551" w:type="dxa"/>
            <w:vAlign w:val="center"/>
          </w:tcPr>
          <w:p>
            <w:pPr>
              <w:pStyle w:val="17"/>
            </w:pPr>
            <w:r>
              <w:t>健全</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档案管理机制健全性</w:t>
            </w:r>
          </w:p>
        </w:tc>
        <w:tc>
          <w:tcPr>
            <w:tcW w:w="2835" w:type="dxa"/>
            <w:vAlign w:val="center"/>
          </w:tcPr>
          <w:p>
            <w:pPr>
              <w:pStyle w:val="17"/>
            </w:pPr>
            <w:r>
              <w:t>档案管理机制健全性</w:t>
            </w:r>
          </w:p>
        </w:tc>
        <w:tc>
          <w:tcPr>
            <w:tcW w:w="2551" w:type="dxa"/>
            <w:vAlign w:val="center"/>
          </w:tcPr>
          <w:p>
            <w:pPr>
              <w:pStyle w:val="17"/>
            </w:pPr>
            <w:r>
              <w:t>健全</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社区聘用人员的满意度</w:t>
            </w:r>
          </w:p>
        </w:tc>
        <w:tc>
          <w:tcPr>
            <w:tcW w:w="2835" w:type="dxa"/>
            <w:vAlign w:val="center"/>
          </w:tcPr>
          <w:p>
            <w:pPr>
              <w:pStyle w:val="17"/>
            </w:pPr>
            <w:r>
              <w:t>社区聘用人员满意的占总人数的比例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6、社区招聘人员经费[区级]绩效目标表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按标准发放工资福利等，进一步增强干部职工得归属感，保持干部队伍相对稳定，保障办公正常运转，及时缴纳社会保险，确保人员稳定。社区工作顺利开展，加强和完善社区治理，事关基层和谐稳定，进一步健全城乡社区治理体系，推进治理能力现代化。</w:t>
            </w:r>
            <w:r>
              <w:tab/>
            </w:r>
            <w:r>
              <w:tab/>
            </w:r>
            <w:r>
              <w:tab/>
            </w:r>
            <w:r>
              <w:tab/>
            </w:r>
            <w:r>
              <w:tab/>
            </w:r>
          </w:p>
          <w:p>
            <w:pPr>
              <w:pStyle w:val="17"/>
            </w:pP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≥56人</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工资的足额发放率</w:t>
            </w:r>
          </w:p>
        </w:tc>
        <w:tc>
          <w:tcPr>
            <w:tcW w:w="2835" w:type="dxa"/>
            <w:vAlign w:val="center"/>
          </w:tcPr>
          <w:p>
            <w:pPr>
              <w:pStyle w:val="17"/>
            </w:pPr>
            <w:r>
              <w:t>足额发放人数与总人数比率</w:t>
            </w:r>
          </w:p>
        </w:tc>
        <w:tc>
          <w:tcPr>
            <w:tcW w:w="2551" w:type="dxa"/>
            <w:vAlign w:val="center"/>
          </w:tcPr>
          <w:p>
            <w:pPr>
              <w:pStyle w:val="17"/>
            </w:pPr>
            <w:r>
              <w:t>100%</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社会保险的申报率</w:t>
            </w:r>
          </w:p>
        </w:tc>
        <w:tc>
          <w:tcPr>
            <w:tcW w:w="2835" w:type="dxa"/>
            <w:vAlign w:val="center"/>
          </w:tcPr>
          <w:p>
            <w:pPr>
              <w:pStyle w:val="17"/>
            </w:pPr>
            <w:r>
              <w:t>保险申报人数与总人数比率</w:t>
            </w:r>
          </w:p>
        </w:tc>
        <w:tc>
          <w:tcPr>
            <w:tcW w:w="2551" w:type="dxa"/>
            <w:vAlign w:val="center"/>
          </w:tcPr>
          <w:p>
            <w:pPr>
              <w:pStyle w:val="17"/>
            </w:pPr>
            <w:r>
              <w:t>100%</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工资及时发放率</w:t>
            </w:r>
          </w:p>
        </w:tc>
        <w:tc>
          <w:tcPr>
            <w:tcW w:w="2835" w:type="dxa"/>
            <w:vAlign w:val="center"/>
          </w:tcPr>
          <w:p>
            <w:pPr>
              <w:pStyle w:val="17"/>
            </w:pPr>
            <w:r>
              <w:t>工资发放的时效情况</w:t>
            </w:r>
          </w:p>
        </w:tc>
        <w:tc>
          <w:tcPr>
            <w:tcW w:w="2551" w:type="dxa"/>
            <w:vAlign w:val="center"/>
          </w:tcPr>
          <w:p>
            <w:pPr>
              <w:pStyle w:val="17"/>
            </w:pPr>
            <w:r>
              <w:t>100%</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社会保险及时缴纳率</w:t>
            </w:r>
          </w:p>
        </w:tc>
        <w:tc>
          <w:tcPr>
            <w:tcW w:w="2835" w:type="dxa"/>
            <w:vAlign w:val="center"/>
          </w:tcPr>
          <w:p>
            <w:pPr>
              <w:pStyle w:val="17"/>
            </w:pPr>
            <w:r>
              <w:t>社会保险缴纳的时效情况</w:t>
            </w:r>
          </w:p>
        </w:tc>
        <w:tc>
          <w:tcPr>
            <w:tcW w:w="2551" w:type="dxa"/>
            <w:vAlign w:val="center"/>
          </w:tcPr>
          <w:p>
            <w:pPr>
              <w:pStyle w:val="17"/>
            </w:pPr>
            <w:r>
              <w:t>100%</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人均工资及保险成本</w:t>
            </w:r>
          </w:p>
        </w:tc>
        <w:tc>
          <w:tcPr>
            <w:tcW w:w="2835" w:type="dxa"/>
            <w:vAlign w:val="center"/>
          </w:tcPr>
          <w:p>
            <w:pPr>
              <w:pStyle w:val="17"/>
            </w:pPr>
            <w:r>
              <w:t>每人每月工资及保险平均数</w:t>
            </w:r>
          </w:p>
        </w:tc>
        <w:tc>
          <w:tcPr>
            <w:tcW w:w="2551" w:type="dxa"/>
            <w:vAlign w:val="center"/>
          </w:tcPr>
          <w:p>
            <w:pPr>
              <w:pStyle w:val="17"/>
            </w:pPr>
            <w:r>
              <w:t>≥6900元/月/人</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社区工作水平有所提高</w:t>
            </w:r>
          </w:p>
        </w:tc>
        <w:tc>
          <w:tcPr>
            <w:tcW w:w="2835" w:type="dxa"/>
            <w:vAlign w:val="center"/>
          </w:tcPr>
          <w:p>
            <w:pPr>
              <w:pStyle w:val="17"/>
            </w:pPr>
            <w:r>
              <w:t>通过按时按标准发放工资福利等，进一步增强干部职工得归属感，保持干部队伍相对稳定，保障办公正常运转，社区工作水平有所提高</w:t>
            </w:r>
          </w:p>
        </w:tc>
        <w:tc>
          <w:tcPr>
            <w:tcW w:w="2551" w:type="dxa"/>
            <w:vAlign w:val="center"/>
          </w:tcPr>
          <w:p>
            <w:pPr>
              <w:pStyle w:val="17"/>
            </w:pPr>
            <w:r>
              <w:t>全面提高</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保障社区工作有序开展</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社区聘用人员满意度</w:t>
            </w:r>
          </w:p>
        </w:tc>
        <w:tc>
          <w:tcPr>
            <w:tcW w:w="2835" w:type="dxa"/>
            <w:vAlign w:val="center"/>
          </w:tcPr>
          <w:p>
            <w:pPr>
              <w:pStyle w:val="17"/>
            </w:pPr>
            <w:r>
              <w:t>满意人员与总人数的比率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2023年，廊坊市广阳区银河北路街道办事处安排政府采购预算0.00万元。具体内容见下表。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917廊坊市广阳区银河北路街道办事处</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廊坊市广阳区银河北路街道办事处（含所属单位）上年末固定资产金额为175.15万元（详见下表）。本年度拟购置固定资产总额为0.00万元，已按要求列入政府采购预算，详见政府采购预算表。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917廊坊市广阳区银河北路街道办事处</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175.15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pPr>
            <w:r>
              <w:t>23.88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899</w:t>
            </w:r>
          </w:p>
        </w:tc>
        <w:tc>
          <w:tcPr>
            <w:tcW w:w="2835" w:type="dxa"/>
            <w:vAlign w:val="center"/>
          </w:tcPr>
          <w:p>
            <w:pPr>
              <w:pStyle w:val="16"/>
            </w:pPr>
            <w:r>
              <w:t>151.27</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71"/>
    <w:rsid w:val="00434703"/>
    <w:rsid w:val="00461531"/>
    <w:rsid w:val="00744F6F"/>
    <w:rsid w:val="00941187"/>
    <w:rsid w:val="00AC78B3"/>
    <w:rsid w:val="00E34D33"/>
    <w:rsid w:val="00E40C71"/>
    <w:rsid w:val="6D0302B5"/>
    <w:rsid w:val="7C153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2023-03-13T11:14:06Z</dcterms:created>
  <dcterms:modified xsi:type="dcterms:W3CDTF">2023-03-13T03:14:06Z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2023-03-13T11:14:06Z</dcterms:created>
  <dcterms:modified xsi:type="dcterms:W3CDTF">2023-03-13T03:14:06Z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2023-03-13T11:14:02Z</dcterms:created>
  <dcterms:modified xsi:type="dcterms:W3CDTF">2023-03-13T03:14:02Z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2023-03-13T11:14:07Z</dcterms:created>
  <dcterms:modified xsi:type="dcterms:W3CDTF">2023-03-13T03:14:07Z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2023-03-13T11:14:06Z</dcterms:created>
  <dcterms:modified xsi:type="dcterms:W3CDTF">2023-03-13T03:14:06Z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2023-03-13T11:14:02Z</dcterms:created>
  <dcterms:modified xsi:type="dcterms:W3CDTF">2023-03-13T03:14:02Z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2023-03-13T11:14:02Z</dcterms:created>
  <dcterms:modified xsi:type="dcterms:W3CDTF">2023-03-13T03:14:02Z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2023-03-13T11:14:06Z</dcterms:created>
  <dcterms:modified xsi:type="dcterms:W3CDTF">2023-03-13T03:14:06Z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2023-03-13T11:14:02Z</dcterms:created>
  <dcterms:modified xsi:type="dcterms:W3CDTF">2023-03-13T03:14:02Z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2023-03-13T11:14:01Z</dcterms:created>
  <dcterms:modified xsi:type="dcterms:W3CDTF">2023-03-13T03:14:00Z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2023-03-13T11:14:01Z</dcterms:created>
  <dcterms:modified xsi:type="dcterms:W3CDTF">2023-03-13T03:14:01Z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2023-03-13T11:14:05Z</dcterms:created>
  <dcterms:modified xsi:type="dcterms:W3CDTF">2023-03-13T03:14:05Z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2023-03-13T11:14:03Z</dcterms:created>
  <dcterms:modified xsi:type="dcterms:W3CDTF">2023-03-13T03:14:03Z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2023-03-13T11:14:01Z</dcterms:created>
  <dcterms:modified xsi:type="dcterms:W3CDTF">2023-03-13T03:14:01Z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2023-03-13T11:14:06Z</dcterms:created>
  <dcterms:modified xsi:type="dcterms:W3CDTF">2023-03-13T03:14:06Z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2023-03-13T11:14:02Z</dcterms:created>
  <dcterms:modified xsi:type="dcterms:W3CDTF">2023-03-13T03:14:02Z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2023-03-13T11:14:06Z</dcterms:created>
  <dcterms:modified xsi:type="dcterms:W3CDTF">2023-03-13T03:14:06Z</dcterms:modified>
</cp:coreProperties>
</file>

<file path=customXml/itemProps1.xml><?xml version="1.0" encoding="utf-8"?>
<ds:datastoreItem xmlns:ds="http://schemas.openxmlformats.org/officeDocument/2006/customXml" ds:itemID="{6808BDB4-90DC-457F-8083-B3A2ECDC485C}">
  <ds:schemaRefs/>
</ds:datastoreItem>
</file>

<file path=customXml/itemProps10.xml><?xml version="1.0" encoding="utf-8"?>
<ds:datastoreItem xmlns:ds="http://schemas.openxmlformats.org/officeDocument/2006/customXml" ds:itemID="{9DF3FE5D-96B0-421C-A7C5-5173F3149AC6}">
  <ds:schemaRefs/>
</ds:datastoreItem>
</file>

<file path=customXml/itemProps11.xml><?xml version="1.0" encoding="utf-8"?>
<ds:datastoreItem xmlns:ds="http://schemas.openxmlformats.org/officeDocument/2006/customXml" ds:itemID="{0B7AA78C-A0C6-4690-9459-047D4987949A}">
  <ds:schemaRefs/>
</ds:datastoreItem>
</file>

<file path=customXml/itemProps12.xml><?xml version="1.0" encoding="utf-8"?>
<ds:datastoreItem xmlns:ds="http://schemas.openxmlformats.org/officeDocument/2006/customXml" ds:itemID="{1A0FC875-BC8C-453D-9BB3-5C38BE9CBEB3}">
  <ds:schemaRefs/>
</ds:datastoreItem>
</file>

<file path=customXml/itemProps13.xml><?xml version="1.0" encoding="utf-8"?>
<ds:datastoreItem xmlns:ds="http://schemas.openxmlformats.org/officeDocument/2006/customXml" ds:itemID="{C1738574-72D8-4CB2-98E4-28FD9CE54C22}">
  <ds:schemaRefs/>
</ds:datastoreItem>
</file>

<file path=customXml/itemProps14.xml><?xml version="1.0" encoding="utf-8"?>
<ds:datastoreItem xmlns:ds="http://schemas.openxmlformats.org/officeDocument/2006/customXml" ds:itemID="{458C39DE-6274-44E4-9238-A5EA29FE70BE}">
  <ds:schemaRefs/>
</ds:datastoreItem>
</file>

<file path=customXml/itemProps15.xml><?xml version="1.0" encoding="utf-8"?>
<ds:datastoreItem xmlns:ds="http://schemas.openxmlformats.org/officeDocument/2006/customXml" ds:itemID="{27BA235B-C5C4-4079-8616-33F9FDD9210F}">
  <ds:schemaRefs/>
</ds:datastoreItem>
</file>

<file path=customXml/itemProps16.xml><?xml version="1.0" encoding="utf-8"?>
<ds:datastoreItem xmlns:ds="http://schemas.openxmlformats.org/officeDocument/2006/customXml" ds:itemID="{E9080F39-2F49-43ED-8F7A-497863FC6F11}">
  <ds:schemaRefs/>
</ds:datastoreItem>
</file>

<file path=customXml/itemProps17.xml><?xml version="1.0" encoding="utf-8"?>
<ds:datastoreItem xmlns:ds="http://schemas.openxmlformats.org/officeDocument/2006/customXml" ds:itemID="{F61D8A46-8F65-45F7-B3A9-F7E50D49DC40}">
  <ds:schemaRefs/>
</ds:datastoreItem>
</file>

<file path=customXml/itemProps18.xml><?xml version="1.0" encoding="utf-8"?>
<ds:datastoreItem xmlns:ds="http://schemas.openxmlformats.org/officeDocument/2006/customXml" ds:itemID="{2C8D1EA4-2E4B-453B-8111-6748D69905B8}">
  <ds:schemaRefs/>
</ds:datastoreItem>
</file>

<file path=customXml/itemProps19.xml><?xml version="1.0" encoding="utf-8"?>
<ds:datastoreItem xmlns:ds="http://schemas.openxmlformats.org/officeDocument/2006/customXml" ds:itemID="{A6D7A58F-AA1C-477A-802A-439A0276CEEE}">
  <ds:schemaRefs/>
</ds:datastoreItem>
</file>

<file path=customXml/itemProps2.xml><?xml version="1.0" encoding="utf-8"?>
<ds:datastoreItem xmlns:ds="http://schemas.openxmlformats.org/officeDocument/2006/customXml" ds:itemID="{69A7D351-8920-46E4-9E05-E3D50C9BA323}">
  <ds:schemaRefs/>
</ds:datastoreItem>
</file>

<file path=customXml/itemProps20.xml><?xml version="1.0" encoding="utf-8"?>
<ds:datastoreItem xmlns:ds="http://schemas.openxmlformats.org/officeDocument/2006/customXml" ds:itemID="{05CEB2D1-05EA-4D21-A1E3-4A1B9DC90FC0}">
  <ds:schemaRefs/>
</ds:datastoreItem>
</file>

<file path=customXml/itemProps21.xml><?xml version="1.0" encoding="utf-8"?>
<ds:datastoreItem xmlns:ds="http://schemas.openxmlformats.org/officeDocument/2006/customXml" ds:itemID="{DDDD59C5-AF95-497B-A926-C29EE8407B18}">
  <ds:schemaRefs/>
</ds:datastoreItem>
</file>

<file path=customXml/itemProps22.xml><?xml version="1.0" encoding="utf-8"?>
<ds:datastoreItem xmlns:ds="http://schemas.openxmlformats.org/officeDocument/2006/customXml" ds:itemID="{4766E5AE-7319-45D5-8B9D-9C39FB541455}">
  <ds:schemaRefs/>
</ds:datastoreItem>
</file>

<file path=customXml/itemProps23.xml><?xml version="1.0" encoding="utf-8"?>
<ds:datastoreItem xmlns:ds="http://schemas.openxmlformats.org/officeDocument/2006/customXml" ds:itemID="{0B3D7917-5B6B-48F1-8981-D67E4A1CBECF}">
  <ds:schemaRefs/>
</ds:datastoreItem>
</file>

<file path=customXml/itemProps24.xml><?xml version="1.0" encoding="utf-8"?>
<ds:datastoreItem xmlns:ds="http://schemas.openxmlformats.org/officeDocument/2006/customXml" ds:itemID="{52EAAE0F-A7B5-41E5-BC32-5D8DC93975EB}">
  <ds:schemaRefs/>
</ds:datastoreItem>
</file>

<file path=customXml/itemProps25.xml><?xml version="1.0" encoding="utf-8"?>
<ds:datastoreItem xmlns:ds="http://schemas.openxmlformats.org/officeDocument/2006/customXml" ds:itemID="{895DFBFA-5571-460C-ADEF-174E02A0DDC2}">
  <ds:schemaRefs/>
</ds:datastoreItem>
</file>

<file path=customXml/itemProps26.xml><?xml version="1.0" encoding="utf-8"?>
<ds:datastoreItem xmlns:ds="http://schemas.openxmlformats.org/officeDocument/2006/customXml" ds:itemID="{3E9112ED-43F6-4B02-B8DE-04850E2622CB}">
  <ds:schemaRefs/>
</ds:datastoreItem>
</file>

<file path=customXml/itemProps27.xml><?xml version="1.0" encoding="utf-8"?>
<ds:datastoreItem xmlns:ds="http://schemas.openxmlformats.org/officeDocument/2006/customXml" ds:itemID="{5EC93369-70FE-4BF2-8A0D-06069B42A638}">
  <ds:schemaRefs/>
</ds:datastoreItem>
</file>

<file path=customXml/itemProps28.xml><?xml version="1.0" encoding="utf-8"?>
<ds:datastoreItem xmlns:ds="http://schemas.openxmlformats.org/officeDocument/2006/customXml" ds:itemID="{C9318E71-C15F-49F3-B034-CF2FD3AFFC85}">
  <ds:schemaRefs/>
</ds:datastoreItem>
</file>

<file path=customXml/itemProps29.xml><?xml version="1.0" encoding="utf-8"?>
<ds:datastoreItem xmlns:ds="http://schemas.openxmlformats.org/officeDocument/2006/customXml" ds:itemID="{76AC5D16-DC33-43B3-8686-D00CFEA051F3}">
  <ds:schemaRefs/>
</ds:datastoreItem>
</file>

<file path=customXml/itemProps3.xml><?xml version="1.0" encoding="utf-8"?>
<ds:datastoreItem xmlns:ds="http://schemas.openxmlformats.org/officeDocument/2006/customXml" ds:itemID="{9130FD94-229D-4FB9-B4A6-839FBCC4DEBE}">
  <ds:schemaRefs/>
</ds:datastoreItem>
</file>

<file path=customXml/itemProps30.xml><?xml version="1.0" encoding="utf-8"?>
<ds:datastoreItem xmlns:ds="http://schemas.openxmlformats.org/officeDocument/2006/customXml" ds:itemID="{484868AF-D13E-4EFF-BF86-25DE4F6866D3}">
  <ds:schemaRefs/>
</ds:datastoreItem>
</file>

<file path=customXml/itemProps31.xml><?xml version="1.0" encoding="utf-8"?>
<ds:datastoreItem xmlns:ds="http://schemas.openxmlformats.org/officeDocument/2006/customXml" ds:itemID="{D480E251-21B5-44E6-B6C6-27F8125CF210}">
  <ds:schemaRefs/>
</ds:datastoreItem>
</file>

<file path=customXml/itemProps32.xml><?xml version="1.0" encoding="utf-8"?>
<ds:datastoreItem xmlns:ds="http://schemas.openxmlformats.org/officeDocument/2006/customXml" ds:itemID="{C1D9019D-425D-4A6B-9BCC-0A10ACFF0A25}">
  <ds:schemaRefs/>
</ds:datastoreItem>
</file>

<file path=customXml/itemProps33.xml><?xml version="1.0" encoding="utf-8"?>
<ds:datastoreItem xmlns:ds="http://schemas.openxmlformats.org/officeDocument/2006/customXml" ds:itemID="{BC91E7F0-C4EE-401F-8D11-B7A75DA9B8C8}">
  <ds:schemaRefs/>
</ds:datastoreItem>
</file>

<file path=customXml/itemProps34.xml><?xml version="1.0" encoding="utf-8"?>
<ds:datastoreItem xmlns:ds="http://schemas.openxmlformats.org/officeDocument/2006/customXml" ds:itemID="{02257B90-9732-4E3A-99CE-913EBBE5062B}">
  <ds:schemaRefs/>
</ds:datastoreItem>
</file>

<file path=customXml/itemProps4.xml><?xml version="1.0" encoding="utf-8"?>
<ds:datastoreItem xmlns:ds="http://schemas.openxmlformats.org/officeDocument/2006/customXml" ds:itemID="{58654ABE-15FD-439F-ADAF-3689CB59A1F3}">
  <ds:schemaRefs/>
</ds:datastoreItem>
</file>

<file path=customXml/itemProps5.xml><?xml version="1.0" encoding="utf-8"?>
<ds:datastoreItem xmlns:ds="http://schemas.openxmlformats.org/officeDocument/2006/customXml" ds:itemID="{AAF099C3-C9F4-41F0-AFA3-684F117A05C0}">
  <ds:schemaRefs/>
</ds:datastoreItem>
</file>

<file path=customXml/itemProps6.xml><?xml version="1.0" encoding="utf-8"?>
<ds:datastoreItem xmlns:ds="http://schemas.openxmlformats.org/officeDocument/2006/customXml" ds:itemID="{871DA3F2-AD17-4908-A4E7-A500898CBD37}">
  <ds:schemaRefs/>
</ds:datastoreItem>
</file>

<file path=customXml/itemProps7.xml><?xml version="1.0" encoding="utf-8"?>
<ds:datastoreItem xmlns:ds="http://schemas.openxmlformats.org/officeDocument/2006/customXml" ds:itemID="{B9424CAD-780C-4F3B-A7E1-2943B6C44AB4}">
  <ds:schemaRefs/>
</ds:datastoreItem>
</file>

<file path=customXml/itemProps8.xml><?xml version="1.0" encoding="utf-8"?>
<ds:datastoreItem xmlns:ds="http://schemas.openxmlformats.org/officeDocument/2006/customXml" ds:itemID="{924EE3F4-D03C-47DE-AF6C-161B529CDEBE}">
  <ds:schemaRefs/>
</ds:datastoreItem>
</file>

<file path=customXml/itemProps9.xml><?xml version="1.0" encoding="utf-8"?>
<ds:datastoreItem xmlns:ds="http://schemas.openxmlformats.org/officeDocument/2006/customXml" ds:itemID="{1DF45111-82A0-4920-AC58-1D37722210E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2708</Words>
  <Characters>15436</Characters>
  <Lines>128</Lines>
  <Paragraphs>36</Paragraphs>
  <TotalTime>0</TotalTime>
  <ScaleCrop>false</ScaleCrop>
  <LinksUpToDate>false</LinksUpToDate>
  <CharactersWithSpaces>18108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2023-03-15T08:11:00Z</dcterms:created>
  <dc:creator>Liz</dc:creator>
  <cp:lastModifiedBy>111</cp:lastModifiedBy>
  <dcterms:modified xsi:type="dcterms:W3CDTF">2024-05-14T09:08:37Z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F564437775C04022AA16960595F84980</vt:lpwstr>
  </property>
</Properties>
</file>