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31</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31</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32</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33</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721廊坊市广阳区应急管理局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650.43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88.27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bookmarkStart w:id="36" w:name="_GoBack"/>
            <w:bookmarkEnd w:id="36"/>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40.45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r>
              <w:t>505.80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650.43</w:t>
            </w:r>
          </w:p>
        </w:tc>
        <w:tc>
          <w:tcPr>
            <w:tcW w:w="4535" w:type="dxa"/>
            <w:vAlign w:val="center"/>
          </w:tcPr>
          <w:p>
            <w:pPr>
              <w:pStyle w:val="19"/>
            </w:pPr>
            <w:r>
              <w:t>本年支出合计</w:t>
            </w:r>
          </w:p>
        </w:tc>
        <w:tc>
          <w:tcPr>
            <w:tcW w:w="2126" w:type="dxa"/>
            <w:vAlign w:val="center"/>
          </w:tcPr>
          <w:p>
            <w:pPr>
              <w:pStyle w:val="20"/>
            </w:pPr>
            <w:r>
              <w:t>650.43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650.43</w:t>
            </w:r>
          </w:p>
        </w:tc>
        <w:tc>
          <w:tcPr>
            <w:tcW w:w="4535" w:type="dxa"/>
            <w:vAlign w:val="center"/>
          </w:tcPr>
          <w:p>
            <w:pPr>
              <w:pStyle w:val="19"/>
            </w:pPr>
            <w:r>
              <w:t>支出总计</w:t>
            </w:r>
          </w:p>
        </w:tc>
        <w:tc>
          <w:tcPr>
            <w:tcW w:w="2126" w:type="dxa"/>
            <w:vAlign w:val="center"/>
          </w:tcPr>
          <w:p>
            <w:pPr>
              <w:pStyle w:val="20"/>
            </w:pPr>
            <w:r>
              <w:t>650.43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721廊坊市广阳区应急管理局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650.43</w:t>
            </w:r>
          </w:p>
        </w:tc>
        <w:tc>
          <w:tcPr>
            <w:tcW w:w="1134" w:type="dxa"/>
            <w:vAlign w:val="center"/>
          </w:tcPr>
          <w:p>
            <w:pPr>
              <w:pStyle w:val="20"/>
            </w:pPr>
            <w:r>
              <w:t>650.43</w:t>
            </w:r>
          </w:p>
        </w:tc>
        <w:tc>
          <w:tcPr>
            <w:tcW w:w="1134" w:type="dxa"/>
            <w:vAlign w:val="center"/>
          </w:tcPr>
          <w:p>
            <w:pPr>
              <w:pStyle w:val="20"/>
            </w:pPr>
            <w:r>
              <w:t>650.43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88.27</w:t>
            </w:r>
          </w:p>
        </w:tc>
        <w:tc>
          <w:tcPr>
            <w:tcW w:w="1134" w:type="dxa"/>
            <w:vAlign w:val="center"/>
          </w:tcPr>
          <w:p>
            <w:pPr>
              <w:pStyle w:val="16"/>
            </w:pPr>
            <w:r>
              <w:t>88.27</w:t>
            </w:r>
          </w:p>
        </w:tc>
        <w:tc>
          <w:tcPr>
            <w:tcW w:w="1134" w:type="dxa"/>
            <w:vAlign w:val="center"/>
          </w:tcPr>
          <w:p>
            <w:pPr>
              <w:pStyle w:val="16"/>
            </w:pPr>
            <w:r>
              <w:t>88.27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88.27</w:t>
            </w:r>
          </w:p>
        </w:tc>
        <w:tc>
          <w:tcPr>
            <w:tcW w:w="1134" w:type="dxa"/>
            <w:vAlign w:val="center"/>
          </w:tcPr>
          <w:p>
            <w:pPr>
              <w:pStyle w:val="16"/>
            </w:pPr>
            <w:r>
              <w:t>88.27</w:t>
            </w:r>
          </w:p>
        </w:tc>
        <w:tc>
          <w:tcPr>
            <w:tcW w:w="1134" w:type="dxa"/>
            <w:vAlign w:val="center"/>
          </w:tcPr>
          <w:p>
            <w:pPr>
              <w:pStyle w:val="16"/>
            </w:pPr>
            <w:r>
              <w:t>88.27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39.57</w:t>
            </w:r>
          </w:p>
        </w:tc>
        <w:tc>
          <w:tcPr>
            <w:tcW w:w="1134" w:type="dxa"/>
            <w:vAlign w:val="center"/>
          </w:tcPr>
          <w:p>
            <w:pPr>
              <w:pStyle w:val="16"/>
            </w:pPr>
            <w:r>
              <w:t>39.57</w:t>
            </w:r>
          </w:p>
        </w:tc>
        <w:tc>
          <w:tcPr>
            <w:tcW w:w="1134" w:type="dxa"/>
            <w:vAlign w:val="center"/>
          </w:tcPr>
          <w:p>
            <w:pPr>
              <w:pStyle w:val="16"/>
            </w:pPr>
            <w:r>
              <w:t>39.57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48.71</w:t>
            </w:r>
          </w:p>
        </w:tc>
        <w:tc>
          <w:tcPr>
            <w:tcW w:w="1134" w:type="dxa"/>
            <w:vAlign w:val="center"/>
          </w:tcPr>
          <w:p>
            <w:pPr>
              <w:pStyle w:val="16"/>
            </w:pPr>
            <w:r>
              <w:t>48.71</w:t>
            </w:r>
          </w:p>
        </w:tc>
        <w:tc>
          <w:tcPr>
            <w:tcW w:w="1134" w:type="dxa"/>
            <w:vAlign w:val="center"/>
          </w:tcPr>
          <w:p>
            <w:pPr>
              <w:pStyle w:val="16"/>
            </w:pPr>
            <w:r>
              <w:t>48.71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15.91</w:t>
            </w:r>
          </w:p>
        </w:tc>
        <w:tc>
          <w:tcPr>
            <w:tcW w:w="1134" w:type="dxa"/>
            <w:vAlign w:val="center"/>
          </w:tcPr>
          <w:p>
            <w:pPr>
              <w:pStyle w:val="16"/>
            </w:pPr>
            <w:r>
              <w:t>15.91</w:t>
            </w:r>
          </w:p>
        </w:tc>
        <w:tc>
          <w:tcPr>
            <w:tcW w:w="1134" w:type="dxa"/>
            <w:vAlign w:val="center"/>
          </w:tcPr>
          <w:p>
            <w:pPr>
              <w:pStyle w:val="16"/>
            </w:pPr>
            <w:r>
              <w:t>15.91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15.91</w:t>
            </w:r>
          </w:p>
        </w:tc>
        <w:tc>
          <w:tcPr>
            <w:tcW w:w="1134" w:type="dxa"/>
            <w:vAlign w:val="center"/>
          </w:tcPr>
          <w:p>
            <w:pPr>
              <w:pStyle w:val="16"/>
            </w:pPr>
            <w:r>
              <w:t>15.91</w:t>
            </w:r>
          </w:p>
        </w:tc>
        <w:tc>
          <w:tcPr>
            <w:tcW w:w="1134" w:type="dxa"/>
            <w:vAlign w:val="center"/>
          </w:tcPr>
          <w:p>
            <w:pPr>
              <w:pStyle w:val="16"/>
            </w:pPr>
            <w:r>
              <w:t>15.91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15.91</w:t>
            </w:r>
          </w:p>
        </w:tc>
        <w:tc>
          <w:tcPr>
            <w:tcW w:w="1134" w:type="dxa"/>
            <w:vAlign w:val="center"/>
          </w:tcPr>
          <w:p>
            <w:pPr>
              <w:pStyle w:val="16"/>
            </w:pPr>
            <w:r>
              <w:t>15.91</w:t>
            </w:r>
          </w:p>
        </w:tc>
        <w:tc>
          <w:tcPr>
            <w:tcW w:w="1134" w:type="dxa"/>
            <w:vAlign w:val="center"/>
          </w:tcPr>
          <w:p>
            <w:pPr>
              <w:pStyle w:val="16"/>
            </w:pPr>
            <w:r>
              <w:t>15.91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224</w:t>
            </w:r>
          </w:p>
        </w:tc>
        <w:tc>
          <w:tcPr>
            <w:tcW w:w="1559" w:type="dxa"/>
            <w:vAlign w:val="center"/>
          </w:tcPr>
          <w:p>
            <w:pPr>
              <w:pStyle w:val="17"/>
            </w:pPr>
            <w:r>
              <w:t>灾害防治及应急管理支出</w:t>
            </w:r>
          </w:p>
        </w:tc>
        <w:tc>
          <w:tcPr>
            <w:tcW w:w="1134" w:type="dxa"/>
            <w:vAlign w:val="center"/>
          </w:tcPr>
          <w:p>
            <w:pPr>
              <w:pStyle w:val="16"/>
            </w:pPr>
            <w:r>
              <w:t>505.80</w:t>
            </w:r>
          </w:p>
        </w:tc>
        <w:tc>
          <w:tcPr>
            <w:tcW w:w="1134" w:type="dxa"/>
            <w:vAlign w:val="center"/>
          </w:tcPr>
          <w:p>
            <w:pPr>
              <w:pStyle w:val="16"/>
            </w:pPr>
            <w:r>
              <w:t>505.80</w:t>
            </w:r>
          </w:p>
        </w:tc>
        <w:tc>
          <w:tcPr>
            <w:tcW w:w="1134" w:type="dxa"/>
            <w:vAlign w:val="center"/>
          </w:tcPr>
          <w:p>
            <w:pPr>
              <w:pStyle w:val="16"/>
            </w:pPr>
            <w:r>
              <w:t>505.80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22401</w:t>
            </w:r>
          </w:p>
        </w:tc>
        <w:tc>
          <w:tcPr>
            <w:tcW w:w="1559" w:type="dxa"/>
            <w:vAlign w:val="center"/>
          </w:tcPr>
          <w:p>
            <w:pPr>
              <w:pStyle w:val="17"/>
            </w:pPr>
            <w:r>
              <w:t>应急管理事务</w:t>
            </w:r>
          </w:p>
        </w:tc>
        <w:tc>
          <w:tcPr>
            <w:tcW w:w="1134" w:type="dxa"/>
            <w:vAlign w:val="center"/>
          </w:tcPr>
          <w:p>
            <w:pPr>
              <w:pStyle w:val="16"/>
            </w:pPr>
            <w:r>
              <w:t>494.29</w:t>
            </w:r>
          </w:p>
        </w:tc>
        <w:tc>
          <w:tcPr>
            <w:tcW w:w="1134" w:type="dxa"/>
            <w:vAlign w:val="center"/>
          </w:tcPr>
          <w:p>
            <w:pPr>
              <w:pStyle w:val="16"/>
            </w:pPr>
            <w:r>
              <w:t>494.29</w:t>
            </w:r>
          </w:p>
        </w:tc>
        <w:tc>
          <w:tcPr>
            <w:tcW w:w="1134" w:type="dxa"/>
            <w:vAlign w:val="center"/>
          </w:tcPr>
          <w:p>
            <w:pPr>
              <w:pStyle w:val="16"/>
            </w:pPr>
            <w:r>
              <w:t>494.29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2240101</w:t>
            </w:r>
          </w:p>
        </w:tc>
        <w:tc>
          <w:tcPr>
            <w:tcW w:w="1559" w:type="dxa"/>
            <w:vAlign w:val="center"/>
          </w:tcPr>
          <w:p>
            <w:pPr>
              <w:pStyle w:val="17"/>
            </w:pPr>
            <w:r>
              <w:t>行政运行</w:t>
            </w:r>
          </w:p>
        </w:tc>
        <w:tc>
          <w:tcPr>
            <w:tcW w:w="1134" w:type="dxa"/>
            <w:vAlign w:val="center"/>
          </w:tcPr>
          <w:p>
            <w:pPr>
              <w:pStyle w:val="16"/>
            </w:pPr>
            <w:r>
              <w:t>488.29</w:t>
            </w:r>
          </w:p>
        </w:tc>
        <w:tc>
          <w:tcPr>
            <w:tcW w:w="1134" w:type="dxa"/>
            <w:vAlign w:val="center"/>
          </w:tcPr>
          <w:p>
            <w:pPr>
              <w:pStyle w:val="16"/>
            </w:pPr>
            <w:r>
              <w:t>488.29</w:t>
            </w:r>
          </w:p>
        </w:tc>
        <w:tc>
          <w:tcPr>
            <w:tcW w:w="1134" w:type="dxa"/>
            <w:vAlign w:val="center"/>
          </w:tcPr>
          <w:p>
            <w:pPr>
              <w:pStyle w:val="16"/>
            </w:pPr>
            <w:r>
              <w:t>488.29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2240109</w:t>
            </w:r>
          </w:p>
        </w:tc>
        <w:tc>
          <w:tcPr>
            <w:tcW w:w="1559" w:type="dxa"/>
            <w:vAlign w:val="center"/>
          </w:tcPr>
          <w:p>
            <w:pPr>
              <w:pStyle w:val="17"/>
            </w:pPr>
            <w:r>
              <w:t>应急管理</w:t>
            </w:r>
          </w:p>
        </w:tc>
        <w:tc>
          <w:tcPr>
            <w:tcW w:w="1134" w:type="dxa"/>
            <w:vAlign w:val="center"/>
          </w:tcPr>
          <w:p>
            <w:pPr>
              <w:pStyle w:val="16"/>
            </w:pPr>
            <w:r>
              <w:t>6.00</w:t>
            </w:r>
          </w:p>
        </w:tc>
        <w:tc>
          <w:tcPr>
            <w:tcW w:w="1134" w:type="dxa"/>
            <w:vAlign w:val="center"/>
          </w:tcPr>
          <w:p>
            <w:pPr>
              <w:pStyle w:val="16"/>
            </w:pPr>
            <w:r>
              <w:t>6.00</w:t>
            </w:r>
          </w:p>
        </w:tc>
        <w:tc>
          <w:tcPr>
            <w:tcW w:w="1134" w:type="dxa"/>
            <w:vAlign w:val="center"/>
          </w:tcPr>
          <w:p>
            <w:pPr>
              <w:pStyle w:val="16"/>
            </w:pPr>
            <w:r>
              <w:t>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22407</w:t>
            </w:r>
          </w:p>
        </w:tc>
        <w:tc>
          <w:tcPr>
            <w:tcW w:w="1559" w:type="dxa"/>
            <w:vAlign w:val="center"/>
          </w:tcPr>
          <w:p>
            <w:pPr>
              <w:pStyle w:val="17"/>
            </w:pPr>
            <w:r>
              <w:t>自然灾害救灾及恢复重建支出</w:t>
            </w:r>
          </w:p>
        </w:tc>
        <w:tc>
          <w:tcPr>
            <w:tcW w:w="1134" w:type="dxa"/>
            <w:vAlign w:val="center"/>
          </w:tcPr>
          <w:p>
            <w:pPr>
              <w:pStyle w:val="16"/>
            </w:pPr>
            <w:r>
              <w:t>11.51</w:t>
            </w:r>
          </w:p>
        </w:tc>
        <w:tc>
          <w:tcPr>
            <w:tcW w:w="1134" w:type="dxa"/>
            <w:vAlign w:val="center"/>
          </w:tcPr>
          <w:p>
            <w:pPr>
              <w:pStyle w:val="16"/>
            </w:pPr>
            <w:r>
              <w:t>11.51</w:t>
            </w:r>
          </w:p>
        </w:tc>
        <w:tc>
          <w:tcPr>
            <w:tcW w:w="1134" w:type="dxa"/>
            <w:vAlign w:val="center"/>
          </w:tcPr>
          <w:p>
            <w:pPr>
              <w:pStyle w:val="16"/>
            </w:pPr>
            <w:r>
              <w:t>11.51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2240703</w:t>
            </w:r>
          </w:p>
        </w:tc>
        <w:tc>
          <w:tcPr>
            <w:tcW w:w="1559" w:type="dxa"/>
            <w:vAlign w:val="center"/>
          </w:tcPr>
          <w:p>
            <w:pPr>
              <w:pStyle w:val="17"/>
            </w:pPr>
            <w:r>
              <w:t>自然灾害救灾补助</w:t>
            </w:r>
          </w:p>
        </w:tc>
        <w:tc>
          <w:tcPr>
            <w:tcW w:w="1134" w:type="dxa"/>
            <w:vAlign w:val="center"/>
          </w:tcPr>
          <w:p>
            <w:pPr>
              <w:pStyle w:val="16"/>
            </w:pPr>
            <w:r>
              <w:t>11.51</w:t>
            </w:r>
          </w:p>
        </w:tc>
        <w:tc>
          <w:tcPr>
            <w:tcW w:w="1134" w:type="dxa"/>
            <w:vAlign w:val="center"/>
          </w:tcPr>
          <w:p>
            <w:pPr>
              <w:pStyle w:val="16"/>
            </w:pPr>
            <w:r>
              <w:t>11.51</w:t>
            </w:r>
          </w:p>
        </w:tc>
        <w:tc>
          <w:tcPr>
            <w:tcW w:w="1134" w:type="dxa"/>
            <w:vAlign w:val="center"/>
          </w:tcPr>
          <w:p>
            <w:pPr>
              <w:pStyle w:val="16"/>
            </w:pPr>
            <w:r>
              <w:t>11.51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721廊坊市广阳区应急管理局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650.43</w:t>
            </w:r>
          </w:p>
        </w:tc>
        <w:tc>
          <w:tcPr>
            <w:tcW w:w="1361" w:type="dxa"/>
            <w:vAlign w:val="center"/>
          </w:tcPr>
          <w:p>
            <w:pPr>
              <w:pStyle w:val="20"/>
            </w:pPr>
            <w:r>
              <w:t>632.92</w:t>
            </w:r>
          </w:p>
        </w:tc>
        <w:tc>
          <w:tcPr>
            <w:tcW w:w="1361" w:type="dxa"/>
            <w:vAlign w:val="center"/>
          </w:tcPr>
          <w:p>
            <w:pPr>
              <w:pStyle w:val="20"/>
            </w:pPr>
            <w:r>
              <w:t>17.51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88.27</w:t>
            </w:r>
          </w:p>
        </w:tc>
        <w:tc>
          <w:tcPr>
            <w:tcW w:w="1361" w:type="dxa"/>
            <w:vAlign w:val="center"/>
          </w:tcPr>
          <w:p>
            <w:pPr>
              <w:pStyle w:val="16"/>
            </w:pPr>
            <w:r>
              <w:t>88.27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88.27</w:t>
            </w:r>
          </w:p>
        </w:tc>
        <w:tc>
          <w:tcPr>
            <w:tcW w:w="1361" w:type="dxa"/>
            <w:vAlign w:val="center"/>
          </w:tcPr>
          <w:p>
            <w:pPr>
              <w:pStyle w:val="16"/>
            </w:pPr>
            <w:r>
              <w:t>88.27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39.57</w:t>
            </w:r>
          </w:p>
        </w:tc>
        <w:tc>
          <w:tcPr>
            <w:tcW w:w="1361" w:type="dxa"/>
            <w:vAlign w:val="center"/>
          </w:tcPr>
          <w:p>
            <w:pPr>
              <w:pStyle w:val="16"/>
            </w:pPr>
            <w:r>
              <w:t>39.57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48.71</w:t>
            </w:r>
          </w:p>
        </w:tc>
        <w:tc>
          <w:tcPr>
            <w:tcW w:w="1361" w:type="dxa"/>
            <w:vAlign w:val="center"/>
          </w:tcPr>
          <w:p>
            <w:pPr>
              <w:pStyle w:val="16"/>
            </w:pPr>
            <w:r>
              <w:t>48.71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15.91</w:t>
            </w:r>
          </w:p>
        </w:tc>
        <w:tc>
          <w:tcPr>
            <w:tcW w:w="1361" w:type="dxa"/>
            <w:vAlign w:val="center"/>
          </w:tcPr>
          <w:p>
            <w:pPr>
              <w:pStyle w:val="16"/>
            </w:pPr>
            <w:r>
              <w:t>15.91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15.91</w:t>
            </w:r>
          </w:p>
        </w:tc>
        <w:tc>
          <w:tcPr>
            <w:tcW w:w="1361" w:type="dxa"/>
            <w:vAlign w:val="center"/>
          </w:tcPr>
          <w:p>
            <w:pPr>
              <w:pStyle w:val="16"/>
            </w:pPr>
            <w:r>
              <w:t>15.91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15.91</w:t>
            </w:r>
          </w:p>
        </w:tc>
        <w:tc>
          <w:tcPr>
            <w:tcW w:w="1361" w:type="dxa"/>
            <w:vAlign w:val="center"/>
          </w:tcPr>
          <w:p>
            <w:pPr>
              <w:pStyle w:val="16"/>
            </w:pPr>
            <w:r>
              <w:t>15.91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40.45</w:t>
            </w:r>
          </w:p>
        </w:tc>
        <w:tc>
          <w:tcPr>
            <w:tcW w:w="1361" w:type="dxa"/>
            <w:vAlign w:val="center"/>
          </w:tcPr>
          <w:p>
            <w:pPr>
              <w:pStyle w:val="16"/>
            </w:pPr>
            <w:r>
              <w:t>40.45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40.45</w:t>
            </w:r>
          </w:p>
        </w:tc>
        <w:tc>
          <w:tcPr>
            <w:tcW w:w="1361" w:type="dxa"/>
            <w:vAlign w:val="center"/>
          </w:tcPr>
          <w:p>
            <w:pPr>
              <w:pStyle w:val="16"/>
            </w:pPr>
            <w:r>
              <w:t>40.45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40.45</w:t>
            </w:r>
          </w:p>
        </w:tc>
        <w:tc>
          <w:tcPr>
            <w:tcW w:w="1361" w:type="dxa"/>
            <w:vAlign w:val="center"/>
          </w:tcPr>
          <w:p>
            <w:pPr>
              <w:pStyle w:val="16"/>
            </w:pPr>
            <w:r>
              <w:t>40.45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224</w:t>
            </w:r>
          </w:p>
        </w:tc>
        <w:tc>
          <w:tcPr>
            <w:tcW w:w="4535" w:type="dxa"/>
            <w:vAlign w:val="center"/>
          </w:tcPr>
          <w:p>
            <w:pPr>
              <w:pStyle w:val="17"/>
            </w:pPr>
            <w:r>
              <w:t>灾害防治及应急管理支出</w:t>
            </w:r>
          </w:p>
        </w:tc>
        <w:tc>
          <w:tcPr>
            <w:tcW w:w="1361" w:type="dxa"/>
            <w:vAlign w:val="center"/>
          </w:tcPr>
          <w:p>
            <w:pPr>
              <w:pStyle w:val="16"/>
            </w:pPr>
            <w:r>
              <w:t>505.80</w:t>
            </w:r>
          </w:p>
        </w:tc>
        <w:tc>
          <w:tcPr>
            <w:tcW w:w="1361" w:type="dxa"/>
            <w:vAlign w:val="center"/>
          </w:tcPr>
          <w:p>
            <w:pPr>
              <w:pStyle w:val="16"/>
            </w:pPr>
            <w:r>
              <w:t>488.29</w:t>
            </w:r>
          </w:p>
        </w:tc>
        <w:tc>
          <w:tcPr>
            <w:tcW w:w="1361" w:type="dxa"/>
            <w:vAlign w:val="center"/>
          </w:tcPr>
          <w:p>
            <w:pPr>
              <w:pStyle w:val="16"/>
            </w:pPr>
            <w:r>
              <w:t>17.51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22401</w:t>
            </w:r>
          </w:p>
        </w:tc>
        <w:tc>
          <w:tcPr>
            <w:tcW w:w="4535" w:type="dxa"/>
            <w:vAlign w:val="center"/>
          </w:tcPr>
          <w:p>
            <w:pPr>
              <w:pStyle w:val="17"/>
            </w:pPr>
            <w:r>
              <w:t>应急管理事务</w:t>
            </w:r>
          </w:p>
        </w:tc>
        <w:tc>
          <w:tcPr>
            <w:tcW w:w="1361" w:type="dxa"/>
            <w:vAlign w:val="center"/>
          </w:tcPr>
          <w:p>
            <w:pPr>
              <w:pStyle w:val="16"/>
            </w:pPr>
            <w:r>
              <w:t>494.29</w:t>
            </w:r>
          </w:p>
        </w:tc>
        <w:tc>
          <w:tcPr>
            <w:tcW w:w="1361" w:type="dxa"/>
            <w:vAlign w:val="center"/>
          </w:tcPr>
          <w:p>
            <w:pPr>
              <w:pStyle w:val="16"/>
            </w:pPr>
            <w:r>
              <w:t>488.29</w:t>
            </w:r>
          </w:p>
        </w:tc>
        <w:tc>
          <w:tcPr>
            <w:tcW w:w="1361" w:type="dxa"/>
            <w:vAlign w:val="center"/>
          </w:tcPr>
          <w:p>
            <w:pPr>
              <w:pStyle w:val="16"/>
            </w:pPr>
            <w:r>
              <w:t>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2240101</w:t>
            </w:r>
          </w:p>
        </w:tc>
        <w:tc>
          <w:tcPr>
            <w:tcW w:w="4535" w:type="dxa"/>
            <w:vAlign w:val="center"/>
          </w:tcPr>
          <w:p>
            <w:pPr>
              <w:pStyle w:val="17"/>
            </w:pPr>
            <w:r>
              <w:t>行政运行</w:t>
            </w:r>
          </w:p>
        </w:tc>
        <w:tc>
          <w:tcPr>
            <w:tcW w:w="1361" w:type="dxa"/>
            <w:vAlign w:val="center"/>
          </w:tcPr>
          <w:p>
            <w:pPr>
              <w:pStyle w:val="16"/>
            </w:pPr>
            <w:r>
              <w:t>488.29</w:t>
            </w:r>
          </w:p>
        </w:tc>
        <w:tc>
          <w:tcPr>
            <w:tcW w:w="1361" w:type="dxa"/>
            <w:vAlign w:val="center"/>
          </w:tcPr>
          <w:p>
            <w:pPr>
              <w:pStyle w:val="16"/>
            </w:pPr>
            <w:r>
              <w:t>488.29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2240109</w:t>
            </w:r>
          </w:p>
        </w:tc>
        <w:tc>
          <w:tcPr>
            <w:tcW w:w="4535" w:type="dxa"/>
            <w:vAlign w:val="center"/>
          </w:tcPr>
          <w:p>
            <w:pPr>
              <w:pStyle w:val="17"/>
            </w:pPr>
            <w:r>
              <w:t>应急管理</w:t>
            </w:r>
          </w:p>
        </w:tc>
        <w:tc>
          <w:tcPr>
            <w:tcW w:w="1361" w:type="dxa"/>
            <w:vAlign w:val="center"/>
          </w:tcPr>
          <w:p>
            <w:pPr>
              <w:pStyle w:val="16"/>
            </w:pPr>
            <w:r>
              <w:t>6.00</w:t>
            </w:r>
          </w:p>
        </w:tc>
        <w:tc>
          <w:tcPr>
            <w:tcW w:w="1361" w:type="dxa"/>
            <w:vAlign w:val="center"/>
          </w:tcPr>
          <w:p>
            <w:pPr>
              <w:pStyle w:val="16"/>
            </w:pPr>
          </w:p>
        </w:tc>
        <w:tc>
          <w:tcPr>
            <w:tcW w:w="1361" w:type="dxa"/>
            <w:vAlign w:val="center"/>
          </w:tcPr>
          <w:p>
            <w:pPr>
              <w:pStyle w:val="16"/>
            </w:pPr>
            <w:r>
              <w:t>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22407</w:t>
            </w:r>
          </w:p>
        </w:tc>
        <w:tc>
          <w:tcPr>
            <w:tcW w:w="4535" w:type="dxa"/>
            <w:vAlign w:val="center"/>
          </w:tcPr>
          <w:p>
            <w:pPr>
              <w:pStyle w:val="17"/>
            </w:pPr>
            <w:r>
              <w:t>自然灾害救灾及恢复重建支出</w:t>
            </w:r>
          </w:p>
        </w:tc>
        <w:tc>
          <w:tcPr>
            <w:tcW w:w="1361" w:type="dxa"/>
            <w:vAlign w:val="center"/>
          </w:tcPr>
          <w:p>
            <w:pPr>
              <w:pStyle w:val="16"/>
            </w:pPr>
            <w:r>
              <w:t>11.51</w:t>
            </w:r>
          </w:p>
        </w:tc>
        <w:tc>
          <w:tcPr>
            <w:tcW w:w="1361" w:type="dxa"/>
            <w:vAlign w:val="center"/>
          </w:tcPr>
          <w:p>
            <w:pPr>
              <w:pStyle w:val="16"/>
            </w:pPr>
          </w:p>
        </w:tc>
        <w:tc>
          <w:tcPr>
            <w:tcW w:w="1361" w:type="dxa"/>
            <w:vAlign w:val="center"/>
          </w:tcPr>
          <w:p>
            <w:pPr>
              <w:pStyle w:val="16"/>
            </w:pPr>
            <w:r>
              <w:t>11.51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2240703</w:t>
            </w:r>
          </w:p>
        </w:tc>
        <w:tc>
          <w:tcPr>
            <w:tcW w:w="4535" w:type="dxa"/>
            <w:vAlign w:val="center"/>
          </w:tcPr>
          <w:p>
            <w:pPr>
              <w:pStyle w:val="17"/>
            </w:pPr>
            <w:r>
              <w:t>自然灾害救灾补助</w:t>
            </w:r>
          </w:p>
        </w:tc>
        <w:tc>
          <w:tcPr>
            <w:tcW w:w="1361" w:type="dxa"/>
            <w:vAlign w:val="center"/>
          </w:tcPr>
          <w:p>
            <w:pPr>
              <w:pStyle w:val="16"/>
            </w:pPr>
            <w:r>
              <w:t>11.51</w:t>
            </w:r>
          </w:p>
        </w:tc>
        <w:tc>
          <w:tcPr>
            <w:tcW w:w="1361" w:type="dxa"/>
            <w:vAlign w:val="center"/>
          </w:tcPr>
          <w:p>
            <w:pPr>
              <w:pStyle w:val="16"/>
            </w:pPr>
          </w:p>
        </w:tc>
        <w:tc>
          <w:tcPr>
            <w:tcW w:w="1361" w:type="dxa"/>
            <w:vAlign w:val="center"/>
          </w:tcPr>
          <w:p>
            <w:pPr>
              <w:pStyle w:val="16"/>
            </w:pPr>
            <w:r>
              <w:t>11.51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721廊坊市广阳区应急管理局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650.43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88.27</w:t>
            </w:r>
          </w:p>
        </w:tc>
        <w:tc>
          <w:tcPr>
            <w:tcW w:w="1474" w:type="dxa"/>
            <w:vAlign w:val="center"/>
          </w:tcPr>
          <w:p>
            <w:pPr>
              <w:pStyle w:val="16"/>
            </w:pPr>
            <w:r>
              <w:t>88.27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15.91</w:t>
            </w:r>
          </w:p>
        </w:tc>
        <w:tc>
          <w:tcPr>
            <w:tcW w:w="1474" w:type="dxa"/>
            <w:vAlign w:val="center"/>
          </w:tcPr>
          <w:p>
            <w:pPr>
              <w:pStyle w:val="16"/>
            </w:pPr>
            <w:r>
              <w:t>15.91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40.45</w:t>
            </w:r>
          </w:p>
        </w:tc>
        <w:tc>
          <w:tcPr>
            <w:tcW w:w="1474" w:type="dxa"/>
            <w:vAlign w:val="center"/>
          </w:tcPr>
          <w:p>
            <w:pPr>
              <w:pStyle w:val="16"/>
            </w:pPr>
            <w:r>
              <w:t>40.45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r>
              <w:t>505.80</w:t>
            </w:r>
          </w:p>
        </w:tc>
        <w:tc>
          <w:tcPr>
            <w:tcW w:w="1474" w:type="dxa"/>
            <w:vAlign w:val="center"/>
          </w:tcPr>
          <w:p>
            <w:pPr>
              <w:pStyle w:val="16"/>
            </w:pPr>
            <w:r>
              <w:t>505.80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650.43</w:t>
            </w:r>
          </w:p>
        </w:tc>
        <w:tc>
          <w:tcPr>
            <w:tcW w:w="3402" w:type="dxa"/>
            <w:vAlign w:val="center"/>
          </w:tcPr>
          <w:p>
            <w:pPr>
              <w:pStyle w:val="19"/>
            </w:pPr>
            <w:r>
              <w:t>本年支出合计</w:t>
            </w:r>
          </w:p>
        </w:tc>
        <w:tc>
          <w:tcPr>
            <w:tcW w:w="1474" w:type="dxa"/>
            <w:vAlign w:val="center"/>
          </w:tcPr>
          <w:p>
            <w:pPr>
              <w:pStyle w:val="20"/>
            </w:pPr>
            <w:r>
              <w:t>650.43</w:t>
            </w:r>
          </w:p>
        </w:tc>
        <w:tc>
          <w:tcPr>
            <w:tcW w:w="1474" w:type="dxa"/>
            <w:vAlign w:val="center"/>
          </w:tcPr>
          <w:p>
            <w:pPr>
              <w:pStyle w:val="20"/>
            </w:pPr>
            <w:r>
              <w:t>650.43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650.43</w:t>
            </w:r>
          </w:p>
        </w:tc>
        <w:tc>
          <w:tcPr>
            <w:tcW w:w="3402" w:type="dxa"/>
            <w:vAlign w:val="center"/>
          </w:tcPr>
          <w:p>
            <w:pPr>
              <w:pStyle w:val="19"/>
            </w:pPr>
            <w:r>
              <w:t>支出总计</w:t>
            </w:r>
          </w:p>
        </w:tc>
        <w:tc>
          <w:tcPr>
            <w:tcW w:w="1474" w:type="dxa"/>
            <w:vAlign w:val="center"/>
          </w:tcPr>
          <w:p>
            <w:pPr>
              <w:pStyle w:val="20"/>
            </w:pPr>
            <w:r>
              <w:t>650.43</w:t>
            </w:r>
          </w:p>
        </w:tc>
        <w:tc>
          <w:tcPr>
            <w:tcW w:w="1474" w:type="dxa"/>
            <w:vAlign w:val="center"/>
          </w:tcPr>
          <w:p>
            <w:pPr>
              <w:pStyle w:val="20"/>
            </w:pPr>
            <w:r>
              <w:t>650.43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721廊坊市广阳区应急管理局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650.43</w:t>
            </w:r>
          </w:p>
        </w:tc>
        <w:tc>
          <w:tcPr>
            <w:tcW w:w="2551" w:type="dxa"/>
            <w:vAlign w:val="center"/>
          </w:tcPr>
          <w:p>
            <w:pPr>
              <w:pStyle w:val="20"/>
            </w:pPr>
            <w:r>
              <w:t>632.92</w:t>
            </w:r>
          </w:p>
        </w:tc>
        <w:tc>
          <w:tcPr>
            <w:tcW w:w="2551" w:type="dxa"/>
            <w:vAlign w:val="center"/>
          </w:tcPr>
          <w:p>
            <w:pPr>
              <w:pStyle w:val="20"/>
            </w:pPr>
            <w:r>
              <w:t>17.51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88.27</w:t>
            </w:r>
          </w:p>
        </w:tc>
        <w:tc>
          <w:tcPr>
            <w:tcW w:w="2551" w:type="dxa"/>
            <w:vAlign w:val="center"/>
          </w:tcPr>
          <w:p>
            <w:pPr>
              <w:pStyle w:val="16"/>
            </w:pPr>
            <w:r>
              <w:t>88.27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88.27</w:t>
            </w:r>
          </w:p>
        </w:tc>
        <w:tc>
          <w:tcPr>
            <w:tcW w:w="2551" w:type="dxa"/>
            <w:vAlign w:val="center"/>
          </w:tcPr>
          <w:p>
            <w:pPr>
              <w:pStyle w:val="16"/>
            </w:pPr>
            <w:r>
              <w:t>88.27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39.57</w:t>
            </w:r>
          </w:p>
        </w:tc>
        <w:tc>
          <w:tcPr>
            <w:tcW w:w="2551" w:type="dxa"/>
            <w:vAlign w:val="center"/>
          </w:tcPr>
          <w:p>
            <w:pPr>
              <w:pStyle w:val="16"/>
            </w:pPr>
            <w:r>
              <w:t>39.57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48.71</w:t>
            </w:r>
          </w:p>
        </w:tc>
        <w:tc>
          <w:tcPr>
            <w:tcW w:w="2551" w:type="dxa"/>
            <w:vAlign w:val="center"/>
          </w:tcPr>
          <w:p>
            <w:pPr>
              <w:pStyle w:val="16"/>
            </w:pPr>
            <w:r>
              <w:t>48.71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15.91</w:t>
            </w:r>
          </w:p>
        </w:tc>
        <w:tc>
          <w:tcPr>
            <w:tcW w:w="2551" w:type="dxa"/>
            <w:vAlign w:val="center"/>
          </w:tcPr>
          <w:p>
            <w:pPr>
              <w:pStyle w:val="16"/>
            </w:pPr>
            <w:r>
              <w:t>15.91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15.91</w:t>
            </w:r>
          </w:p>
        </w:tc>
        <w:tc>
          <w:tcPr>
            <w:tcW w:w="2551" w:type="dxa"/>
            <w:vAlign w:val="center"/>
          </w:tcPr>
          <w:p>
            <w:pPr>
              <w:pStyle w:val="16"/>
            </w:pPr>
            <w:r>
              <w:t>15.91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15.91</w:t>
            </w:r>
          </w:p>
        </w:tc>
        <w:tc>
          <w:tcPr>
            <w:tcW w:w="2551" w:type="dxa"/>
            <w:vAlign w:val="center"/>
          </w:tcPr>
          <w:p>
            <w:pPr>
              <w:pStyle w:val="16"/>
            </w:pPr>
            <w:r>
              <w:t>15.91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40.45</w:t>
            </w:r>
          </w:p>
        </w:tc>
        <w:tc>
          <w:tcPr>
            <w:tcW w:w="2551" w:type="dxa"/>
            <w:vAlign w:val="center"/>
          </w:tcPr>
          <w:p>
            <w:pPr>
              <w:pStyle w:val="16"/>
            </w:pPr>
            <w:r>
              <w:t>40.45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40.45</w:t>
            </w:r>
          </w:p>
        </w:tc>
        <w:tc>
          <w:tcPr>
            <w:tcW w:w="2551" w:type="dxa"/>
            <w:vAlign w:val="center"/>
          </w:tcPr>
          <w:p>
            <w:pPr>
              <w:pStyle w:val="16"/>
            </w:pPr>
            <w:r>
              <w:t>40.45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40.45</w:t>
            </w:r>
          </w:p>
        </w:tc>
        <w:tc>
          <w:tcPr>
            <w:tcW w:w="2551" w:type="dxa"/>
            <w:vAlign w:val="center"/>
          </w:tcPr>
          <w:p>
            <w:pPr>
              <w:pStyle w:val="16"/>
            </w:pPr>
            <w:r>
              <w:t>40.45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224</w:t>
            </w:r>
          </w:p>
        </w:tc>
        <w:tc>
          <w:tcPr>
            <w:tcW w:w="4535" w:type="dxa"/>
            <w:vAlign w:val="center"/>
          </w:tcPr>
          <w:p>
            <w:pPr>
              <w:pStyle w:val="17"/>
            </w:pPr>
            <w:r>
              <w:t>灾害防治及应急管理支出</w:t>
            </w:r>
          </w:p>
        </w:tc>
        <w:tc>
          <w:tcPr>
            <w:tcW w:w="2551" w:type="dxa"/>
            <w:vAlign w:val="center"/>
          </w:tcPr>
          <w:p>
            <w:pPr>
              <w:pStyle w:val="16"/>
            </w:pPr>
            <w:r>
              <w:t>505.80</w:t>
            </w:r>
          </w:p>
        </w:tc>
        <w:tc>
          <w:tcPr>
            <w:tcW w:w="2551" w:type="dxa"/>
            <w:vAlign w:val="center"/>
          </w:tcPr>
          <w:p>
            <w:pPr>
              <w:pStyle w:val="16"/>
            </w:pPr>
            <w:r>
              <w:t>488.29</w:t>
            </w:r>
          </w:p>
        </w:tc>
        <w:tc>
          <w:tcPr>
            <w:tcW w:w="2551" w:type="dxa"/>
            <w:vAlign w:val="center"/>
          </w:tcPr>
          <w:p>
            <w:pPr>
              <w:pStyle w:val="16"/>
            </w:pPr>
            <w:r>
              <w:t>17.51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22401</w:t>
            </w:r>
          </w:p>
        </w:tc>
        <w:tc>
          <w:tcPr>
            <w:tcW w:w="4535" w:type="dxa"/>
            <w:vAlign w:val="center"/>
          </w:tcPr>
          <w:p>
            <w:pPr>
              <w:pStyle w:val="17"/>
            </w:pPr>
            <w:r>
              <w:t>应急管理事务</w:t>
            </w:r>
          </w:p>
        </w:tc>
        <w:tc>
          <w:tcPr>
            <w:tcW w:w="2551" w:type="dxa"/>
            <w:vAlign w:val="center"/>
          </w:tcPr>
          <w:p>
            <w:pPr>
              <w:pStyle w:val="16"/>
            </w:pPr>
            <w:r>
              <w:t>494.29</w:t>
            </w:r>
          </w:p>
        </w:tc>
        <w:tc>
          <w:tcPr>
            <w:tcW w:w="2551" w:type="dxa"/>
            <w:vAlign w:val="center"/>
          </w:tcPr>
          <w:p>
            <w:pPr>
              <w:pStyle w:val="16"/>
            </w:pPr>
            <w:r>
              <w:t>488.29</w:t>
            </w:r>
          </w:p>
        </w:tc>
        <w:tc>
          <w:tcPr>
            <w:tcW w:w="2551" w:type="dxa"/>
            <w:vAlign w:val="center"/>
          </w:tcPr>
          <w:p>
            <w:pPr>
              <w:pStyle w:val="16"/>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2240101</w:t>
            </w:r>
          </w:p>
        </w:tc>
        <w:tc>
          <w:tcPr>
            <w:tcW w:w="4535" w:type="dxa"/>
            <w:vAlign w:val="center"/>
          </w:tcPr>
          <w:p>
            <w:pPr>
              <w:pStyle w:val="17"/>
            </w:pPr>
            <w:r>
              <w:t>行政运行</w:t>
            </w:r>
          </w:p>
        </w:tc>
        <w:tc>
          <w:tcPr>
            <w:tcW w:w="2551" w:type="dxa"/>
            <w:vAlign w:val="center"/>
          </w:tcPr>
          <w:p>
            <w:pPr>
              <w:pStyle w:val="16"/>
            </w:pPr>
            <w:r>
              <w:t>488.29</w:t>
            </w:r>
          </w:p>
        </w:tc>
        <w:tc>
          <w:tcPr>
            <w:tcW w:w="2551" w:type="dxa"/>
            <w:vAlign w:val="center"/>
          </w:tcPr>
          <w:p>
            <w:pPr>
              <w:pStyle w:val="16"/>
            </w:pPr>
            <w:r>
              <w:t>488.29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2240109</w:t>
            </w:r>
          </w:p>
        </w:tc>
        <w:tc>
          <w:tcPr>
            <w:tcW w:w="4535" w:type="dxa"/>
            <w:vAlign w:val="center"/>
          </w:tcPr>
          <w:p>
            <w:pPr>
              <w:pStyle w:val="17"/>
            </w:pPr>
            <w:r>
              <w:t>应急管理</w:t>
            </w:r>
          </w:p>
        </w:tc>
        <w:tc>
          <w:tcPr>
            <w:tcW w:w="2551" w:type="dxa"/>
            <w:vAlign w:val="center"/>
          </w:tcPr>
          <w:p>
            <w:pPr>
              <w:pStyle w:val="16"/>
            </w:pPr>
            <w:r>
              <w:t>6.00</w:t>
            </w:r>
          </w:p>
        </w:tc>
        <w:tc>
          <w:tcPr>
            <w:tcW w:w="2551" w:type="dxa"/>
            <w:vAlign w:val="center"/>
          </w:tcPr>
          <w:p>
            <w:pPr>
              <w:pStyle w:val="16"/>
            </w:pPr>
          </w:p>
        </w:tc>
        <w:tc>
          <w:tcPr>
            <w:tcW w:w="2551" w:type="dxa"/>
            <w:vAlign w:val="center"/>
          </w:tcPr>
          <w:p>
            <w:pPr>
              <w:pStyle w:val="16"/>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22407</w:t>
            </w:r>
          </w:p>
        </w:tc>
        <w:tc>
          <w:tcPr>
            <w:tcW w:w="4535" w:type="dxa"/>
            <w:vAlign w:val="center"/>
          </w:tcPr>
          <w:p>
            <w:pPr>
              <w:pStyle w:val="17"/>
            </w:pPr>
            <w:r>
              <w:t>自然灾害救灾及恢复重建支出</w:t>
            </w:r>
          </w:p>
        </w:tc>
        <w:tc>
          <w:tcPr>
            <w:tcW w:w="2551" w:type="dxa"/>
            <w:vAlign w:val="center"/>
          </w:tcPr>
          <w:p>
            <w:pPr>
              <w:pStyle w:val="16"/>
            </w:pPr>
            <w:r>
              <w:t>11.51</w:t>
            </w:r>
          </w:p>
        </w:tc>
        <w:tc>
          <w:tcPr>
            <w:tcW w:w="2551" w:type="dxa"/>
            <w:vAlign w:val="center"/>
          </w:tcPr>
          <w:p>
            <w:pPr>
              <w:pStyle w:val="16"/>
            </w:pPr>
          </w:p>
        </w:tc>
        <w:tc>
          <w:tcPr>
            <w:tcW w:w="2551" w:type="dxa"/>
            <w:vAlign w:val="center"/>
          </w:tcPr>
          <w:p>
            <w:pPr>
              <w:pStyle w:val="16"/>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2240703</w:t>
            </w:r>
          </w:p>
        </w:tc>
        <w:tc>
          <w:tcPr>
            <w:tcW w:w="4535" w:type="dxa"/>
            <w:vAlign w:val="center"/>
          </w:tcPr>
          <w:p>
            <w:pPr>
              <w:pStyle w:val="17"/>
            </w:pPr>
            <w:r>
              <w:t>自然灾害救灾补助</w:t>
            </w:r>
          </w:p>
        </w:tc>
        <w:tc>
          <w:tcPr>
            <w:tcW w:w="2551" w:type="dxa"/>
            <w:vAlign w:val="center"/>
          </w:tcPr>
          <w:p>
            <w:pPr>
              <w:pStyle w:val="16"/>
            </w:pPr>
            <w:r>
              <w:t>11.51</w:t>
            </w:r>
          </w:p>
        </w:tc>
        <w:tc>
          <w:tcPr>
            <w:tcW w:w="2551" w:type="dxa"/>
            <w:vAlign w:val="center"/>
          </w:tcPr>
          <w:p>
            <w:pPr>
              <w:pStyle w:val="16"/>
            </w:pPr>
          </w:p>
        </w:tc>
        <w:tc>
          <w:tcPr>
            <w:tcW w:w="2551" w:type="dxa"/>
            <w:vAlign w:val="center"/>
          </w:tcPr>
          <w:p>
            <w:pPr>
              <w:pStyle w:val="16"/>
            </w:pPr>
            <w:r>
              <w:t>11.51</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721廊坊市广阳区应急管理局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632.92</w:t>
            </w:r>
          </w:p>
        </w:tc>
        <w:tc>
          <w:tcPr>
            <w:tcW w:w="2551" w:type="dxa"/>
            <w:vAlign w:val="center"/>
          </w:tcPr>
          <w:p>
            <w:pPr>
              <w:pStyle w:val="20"/>
            </w:pPr>
            <w:r>
              <w:t>565.51</w:t>
            </w:r>
          </w:p>
        </w:tc>
        <w:tc>
          <w:tcPr>
            <w:tcW w:w="2551" w:type="dxa"/>
            <w:vAlign w:val="center"/>
          </w:tcPr>
          <w:p>
            <w:pPr>
              <w:pStyle w:val="20"/>
            </w:pPr>
            <w:r>
              <w:t>67.41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525.86</w:t>
            </w:r>
          </w:p>
        </w:tc>
        <w:tc>
          <w:tcPr>
            <w:tcW w:w="2551" w:type="dxa"/>
            <w:vAlign w:val="center"/>
          </w:tcPr>
          <w:p>
            <w:pPr>
              <w:pStyle w:val="16"/>
            </w:pPr>
            <w:r>
              <w:t>525.86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137.48</w:t>
            </w:r>
          </w:p>
        </w:tc>
        <w:tc>
          <w:tcPr>
            <w:tcW w:w="2551" w:type="dxa"/>
            <w:vAlign w:val="center"/>
          </w:tcPr>
          <w:p>
            <w:pPr>
              <w:pStyle w:val="16"/>
            </w:pPr>
            <w:r>
              <w:t>137.48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153.43</w:t>
            </w:r>
          </w:p>
        </w:tc>
        <w:tc>
          <w:tcPr>
            <w:tcW w:w="2551" w:type="dxa"/>
            <w:vAlign w:val="center"/>
          </w:tcPr>
          <w:p>
            <w:pPr>
              <w:pStyle w:val="16"/>
            </w:pPr>
            <w:r>
              <w:t>153.43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102.19</w:t>
            </w:r>
          </w:p>
        </w:tc>
        <w:tc>
          <w:tcPr>
            <w:tcW w:w="2551" w:type="dxa"/>
            <w:vAlign w:val="center"/>
          </w:tcPr>
          <w:p>
            <w:pPr>
              <w:pStyle w:val="16"/>
            </w:pPr>
            <w:r>
              <w:t>102.19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26.07</w:t>
            </w:r>
          </w:p>
        </w:tc>
        <w:tc>
          <w:tcPr>
            <w:tcW w:w="2551" w:type="dxa"/>
            <w:vAlign w:val="center"/>
          </w:tcPr>
          <w:p>
            <w:pPr>
              <w:pStyle w:val="16"/>
            </w:pPr>
            <w:r>
              <w:t>26.07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48.71</w:t>
            </w:r>
          </w:p>
        </w:tc>
        <w:tc>
          <w:tcPr>
            <w:tcW w:w="2551" w:type="dxa"/>
            <w:vAlign w:val="center"/>
          </w:tcPr>
          <w:p>
            <w:pPr>
              <w:pStyle w:val="16"/>
            </w:pPr>
            <w:r>
              <w:t>48.71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15.70</w:t>
            </w:r>
          </w:p>
        </w:tc>
        <w:tc>
          <w:tcPr>
            <w:tcW w:w="2551" w:type="dxa"/>
            <w:vAlign w:val="center"/>
          </w:tcPr>
          <w:p>
            <w:pPr>
              <w:pStyle w:val="16"/>
            </w:pPr>
            <w:r>
              <w:t>15.70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1.42</w:t>
            </w:r>
          </w:p>
        </w:tc>
        <w:tc>
          <w:tcPr>
            <w:tcW w:w="2551" w:type="dxa"/>
            <w:vAlign w:val="center"/>
          </w:tcPr>
          <w:p>
            <w:pPr>
              <w:pStyle w:val="16"/>
            </w:pPr>
            <w:r>
              <w:t>1.42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40.45</w:t>
            </w:r>
          </w:p>
        </w:tc>
        <w:tc>
          <w:tcPr>
            <w:tcW w:w="2551" w:type="dxa"/>
            <w:vAlign w:val="center"/>
          </w:tcPr>
          <w:p>
            <w:pPr>
              <w:pStyle w:val="16"/>
            </w:pPr>
            <w:r>
              <w:t>40.45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0.40</w:t>
            </w:r>
          </w:p>
        </w:tc>
        <w:tc>
          <w:tcPr>
            <w:tcW w:w="2551" w:type="dxa"/>
            <w:vAlign w:val="center"/>
          </w:tcPr>
          <w:p>
            <w:pPr>
              <w:pStyle w:val="16"/>
            </w:pPr>
            <w:r>
              <w:t>0.40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67.41</w:t>
            </w:r>
          </w:p>
        </w:tc>
        <w:tc>
          <w:tcPr>
            <w:tcW w:w="2551" w:type="dxa"/>
            <w:vAlign w:val="center"/>
          </w:tcPr>
          <w:p>
            <w:pPr>
              <w:pStyle w:val="16"/>
            </w:pPr>
          </w:p>
        </w:tc>
        <w:tc>
          <w:tcPr>
            <w:tcW w:w="2551" w:type="dxa"/>
            <w:vAlign w:val="center"/>
          </w:tcPr>
          <w:p>
            <w:pPr>
              <w:pStyle w:val="16"/>
            </w:pPr>
            <w:r>
              <w:t>67.41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5.44</w:t>
            </w:r>
          </w:p>
        </w:tc>
        <w:tc>
          <w:tcPr>
            <w:tcW w:w="2551" w:type="dxa"/>
            <w:vAlign w:val="center"/>
          </w:tcPr>
          <w:p>
            <w:pPr>
              <w:pStyle w:val="16"/>
            </w:pPr>
          </w:p>
        </w:tc>
        <w:tc>
          <w:tcPr>
            <w:tcW w:w="2551" w:type="dxa"/>
            <w:vAlign w:val="center"/>
          </w:tcPr>
          <w:p>
            <w:pPr>
              <w:pStyle w:val="16"/>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0.41</w:t>
            </w:r>
          </w:p>
        </w:tc>
        <w:tc>
          <w:tcPr>
            <w:tcW w:w="2551" w:type="dxa"/>
            <w:vAlign w:val="center"/>
          </w:tcPr>
          <w:p>
            <w:pPr>
              <w:pStyle w:val="16"/>
            </w:pPr>
          </w:p>
        </w:tc>
        <w:tc>
          <w:tcPr>
            <w:tcW w:w="2551" w:type="dxa"/>
            <w:vAlign w:val="center"/>
          </w:tcPr>
          <w:p>
            <w:pPr>
              <w:pStyle w:val="16"/>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1.09</w:t>
            </w:r>
          </w:p>
        </w:tc>
        <w:tc>
          <w:tcPr>
            <w:tcW w:w="2551" w:type="dxa"/>
            <w:vAlign w:val="center"/>
          </w:tcPr>
          <w:p>
            <w:pPr>
              <w:pStyle w:val="16"/>
            </w:pPr>
          </w:p>
        </w:tc>
        <w:tc>
          <w:tcPr>
            <w:tcW w:w="2551" w:type="dxa"/>
            <w:vAlign w:val="center"/>
          </w:tcPr>
          <w:p>
            <w:pPr>
              <w:pStyle w:val="16"/>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3.06</w:t>
            </w:r>
          </w:p>
        </w:tc>
        <w:tc>
          <w:tcPr>
            <w:tcW w:w="2551" w:type="dxa"/>
            <w:vAlign w:val="center"/>
          </w:tcPr>
          <w:p>
            <w:pPr>
              <w:pStyle w:val="16"/>
            </w:pPr>
          </w:p>
        </w:tc>
        <w:tc>
          <w:tcPr>
            <w:tcW w:w="2551" w:type="dxa"/>
            <w:vAlign w:val="center"/>
          </w:tcPr>
          <w:p>
            <w:pPr>
              <w:pStyle w:val="16"/>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16.56</w:t>
            </w:r>
          </w:p>
        </w:tc>
        <w:tc>
          <w:tcPr>
            <w:tcW w:w="2551" w:type="dxa"/>
            <w:vAlign w:val="center"/>
          </w:tcPr>
          <w:p>
            <w:pPr>
              <w:pStyle w:val="16"/>
            </w:pPr>
          </w:p>
        </w:tc>
        <w:tc>
          <w:tcPr>
            <w:tcW w:w="2551" w:type="dxa"/>
            <w:vAlign w:val="center"/>
          </w:tcPr>
          <w:p>
            <w:pPr>
              <w:pStyle w:val="16"/>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1.97</w:t>
            </w:r>
          </w:p>
        </w:tc>
        <w:tc>
          <w:tcPr>
            <w:tcW w:w="2551" w:type="dxa"/>
            <w:vAlign w:val="center"/>
          </w:tcPr>
          <w:p>
            <w:pPr>
              <w:pStyle w:val="16"/>
            </w:pPr>
          </w:p>
        </w:tc>
        <w:tc>
          <w:tcPr>
            <w:tcW w:w="2551" w:type="dxa"/>
            <w:vAlign w:val="center"/>
          </w:tcPr>
          <w:p>
            <w:pPr>
              <w:pStyle w:val="16"/>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5.44</w:t>
            </w:r>
          </w:p>
        </w:tc>
        <w:tc>
          <w:tcPr>
            <w:tcW w:w="2551" w:type="dxa"/>
            <w:vAlign w:val="center"/>
          </w:tcPr>
          <w:p>
            <w:pPr>
              <w:pStyle w:val="16"/>
            </w:pPr>
          </w:p>
        </w:tc>
        <w:tc>
          <w:tcPr>
            <w:tcW w:w="2551" w:type="dxa"/>
            <w:vAlign w:val="center"/>
          </w:tcPr>
          <w:p>
            <w:pPr>
              <w:pStyle w:val="16"/>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0.34</w:t>
            </w:r>
          </w:p>
        </w:tc>
        <w:tc>
          <w:tcPr>
            <w:tcW w:w="2551" w:type="dxa"/>
            <w:vAlign w:val="center"/>
          </w:tcPr>
          <w:p>
            <w:pPr>
              <w:pStyle w:val="16"/>
            </w:pPr>
          </w:p>
        </w:tc>
        <w:tc>
          <w:tcPr>
            <w:tcW w:w="2551" w:type="dxa"/>
            <w:vAlign w:val="center"/>
          </w:tcPr>
          <w:p>
            <w:pPr>
              <w:pStyle w:val="16"/>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2.82</w:t>
            </w:r>
          </w:p>
        </w:tc>
        <w:tc>
          <w:tcPr>
            <w:tcW w:w="2551" w:type="dxa"/>
            <w:vAlign w:val="center"/>
          </w:tcPr>
          <w:p>
            <w:pPr>
              <w:pStyle w:val="16"/>
            </w:pPr>
          </w:p>
        </w:tc>
        <w:tc>
          <w:tcPr>
            <w:tcW w:w="2551" w:type="dxa"/>
            <w:vAlign w:val="center"/>
          </w:tcPr>
          <w:p>
            <w:pPr>
              <w:pStyle w:val="16"/>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2.50</w:t>
            </w:r>
          </w:p>
        </w:tc>
        <w:tc>
          <w:tcPr>
            <w:tcW w:w="2551" w:type="dxa"/>
            <w:vAlign w:val="center"/>
          </w:tcPr>
          <w:p>
            <w:pPr>
              <w:pStyle w:val="16"/>
            </w:pPr>
          </w:p>
        </w:tc>
        <w:tc>
          <w:tcPr>
            <w:tcW w:w="2551"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13.14</w:t>
            </w:r>
          </w:p>
        </w:tc>
        <w:tc>
          <w:tcPr>
            <w:tcW w:w="2551" w:type="dxa"/>
            <w:vAlign w:val="center"/>
          </w:tcPr>
          <w:p>
            <w:pPr>
              <w:pStyle w:val="16"/>
            </w:pPr>
          </w:p>
        </w:tc>
        <w:tc>
          <w:tcPr>
            <w:tcW w:w="2551" w:type="dxa"/>
            <w:vAlign w:val="center"/>
          </w:tcPr>
          <w:p>
            <w:pPr>
              <w:pStyle w:val="16"/>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14.64</w:t>
            </w:r>
          </w:p>
        </w:tc>
        <w:tc>
          <w:tcPr>
            <w:tcW w:w="2551" w:type="dxa"/>
            <w:vAlign w:val="center"/>
          </w:tcPr>
          <w:p>
            <w:pPr>
              <w:pStyle w:val="16"/>
            </w:pPr>
          </w:p>
        </w:tc>
        <w:tc>
          <w:tcPr>
            <w:tcW w:w="2551" w:type="dxa"/>
            <w:vAlign w:val="center"/>
          </w:tcPr>
          <w:p>
            <w:pPr>
              <w:pStyle w:val="16"/>
            </w:pPr>
            <w:r>
              <w:t>14.64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39.65</w:t>
            </w:r>
          </w:p>
        </w:tc>
        <w:tc>
          <w:tcPr>
            <w:tcW w:w="2551" w:type="dxa"/>
            <w:vAlign w:val="center"/>
          </w:tcPr>
          <w:p>
            <w:pPr>
              <w:pStyle w:val="16"/>
            </w:pPr>
            <w:r>
              <w:t>39.65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39.57</w:t>
            </w:r>
          </w:p>
        </w:tc>
        <w:tc>
          <w:tcPr>
            <w:tcW w:w="2551" w:type="dxa"/>
            <w:vAlign w:val="center"/>
          </w:tcPr>
          <w:p>
            <w:pPr>
              <w:pStyle w:val="16"/>
            </w:pPr>
            <w:r>
              <w:t>39.57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721廊坊市广阳区应急管理局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721廊坊市广阳区应急管理局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721廊坊市广阳区应急管理局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13.14</w:t>
            </w:r>
          </w:p>
        </w:tc>
        <w:tc>
          <w:tcPr>
            <w:tcW w:w="2381" w:type="dxa"/>
            <w:vAlign w:val="center"/>
          </w:tcPr>
          <w:p>
            <w:pPr>
              <w:pStyle w:val="20"/>
            </w:pPr>
            <w:r>
              <w:t>13.14</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13.14</w:t>
            </w:r>
          </w:p>
        </w:tc>
        <w:tc>
          <w:tcPr>
            <w:tcW w:w="2381" w:type="dxa"/>
            <w:vAlign w:val="center"/>
          </w:tcPr>
          <w:p>
            <w:pPr>
              <w:pStyle w:val="16"/>
            </w:pPr>
            <w:r>
              <w:t>13.14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13.14</w:t>
            </w:r>
          </w:p>
        </w:tc>
        <w:tc>
          <w:tcPr>
            <w:tcW w:w="2381" w:type="dxa"/>
            <w:vAlign w:val="center"/>
          </w:tcPr>
          <w:p>
            <w:pPr>
              <w:pStyle w:val="16"/>
            </w:pPr>
            <w:r>
              <w:t>13.14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廊坊市广阳区应急管理局2023年部门预算信息公开情况说明</w:t>
      </w:r>
    </w:p>
    <w:p>
      <w:pPr>
        <w:jc w:val="center"/>
      </w:pPr>
      <w:r>
        <w:rPr>
          <w:rFonts w:ascii="方正小标宋_GBK" w:hAnsi="方正小标宋_GBK" w:eastAsia="方正小标宋_GBK" w:cs="方正小标宋_GBK"/>
          <w:color w:val="000000"/>
          <w:sz w:val="44"/>
        </w:rPr>
        <w:t>廊坊市广阳区应急管理局2023年部门预算信息公开情况说明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按照《预算法》、《地方预决算公开操作规程》和《关于进一步推进预算公开工作的实施意见》规定，现将廊坊市广阳区应急管理局2023年部门预算公开如下：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（一）负责应急管理工作，指导各级各部门应对安全生产类、自然灾害类等突发事件和综合防灾减灾救灾工作。负责安全生产综合监督管理和工贸商贸行业安全生产监督管理工作。</w:t>
      </w:r>
    </w:p>
    <w:p>
      <w:pPr>
        <w:pStyle w:val="22"/>
      </w:pPr>
      <w:r>
        <w:t>（二）拟订应急管理、安全生产等政策规定，组织编制区应急体系建设、安全生产和综合防灾减灾规划，组织编制防震减灾规划、计划，组织制定相关规程和标准并监督实施。</w:t>
      </w:r>
    </w:p>
    <w:p>
      <w:pPr>
        <w:pStyle w:val="22"/>
      </w:pPr>
      <w:r>
        <w:t>（三）指导应急预案体系建设，建立完善事故灾害和自然灾害分类应对制度，组织编制区总体应急预案和安全生产类、自然灾害类专项预案，综合协调应急预案衔接工作，组织开展预案演练，推动应急避难设施建设。</w:t>
      </w:r>
    </w:p>
    <w:p>
      <w:pPr>
        <w:pStyle w:val="22"/>
      </w:pPr>
      <w:r>
        <w:t>（四）牵头建立统一的全区应急管理信息系统，负责信息传输渠道的规划和布局，建立监测预警和灾情报告制度，健全自然灾害信息资源获取和共享机制，依法统一发布灾情</w:t>
      </w:r>
    </w:p>
    <w:p>
      <w:pPr>
        <w:pStyle w:val="22"/>
      </w:pPr>
      <w:r>
        <w:t>（五）组织指导协调安全生产类、自然灾害类等突发事件应急救援，承担区应对重大灾害指挥部工作，综合研判突发事件发展态势并提出应对建议，协助区委、区政府指定的负责同志组织重大灾害应急处置工作。</w:t>
      </w:r>
    </w:p>
    <w:p>
      <w:pPr>
        <w:pStyle w:val="22"/>
      </w:pPr>
      <w:r>
        <w:t>（六）统一协调指挥各类应急专业队伍，建立应急协调联动机制，推进指挥平台对接，衔接解放军和武警部队参与应急救援工作。</w:t>
      </w:r>
    </w:p>
    <w:p>
      <w:pPr>
        <w:pStyle w:val="22"/>
      </w:pPr>
      <w:r>
        <w:t>（七）统筹应急救援力量建设，负责消防、森林和草原火灾扑救、抗洪抢险、地震和地质灾害救援、生产安全事故救援等专业应急救援力量建设，管理区综合性应急救援队伍，指导各级及社会应急救援力量建设。</w:t>
      </w:r>
    </w:p>
    <w:p>
      <w:pPr>
        <w:pStyle w:val="22"/>
      </w:pPr>
      <w:r>
        <w:t>（八）组织协调消防工作，指导各级消防监督、火灾预防、火灾扑救等工作。</w:t>
      </w:r>
    </w:p>
    <w:p>
      <w:pPr>
        <w:pStyle w:val="22"/>
      </w:pPr>
      <w:r>
        <w:t>（九）指导协调森林和草原火灾、水旱灾害、地质灾害等防治工作，组织开展地震监测预报工作和地震灾害预防工作，负责自然灾害和综合监测预警工作，指导开展自然灾害综合风险评估工作。</w:t>
      </w:r>
    </w:p>
    <w:p>
      <w:pPr>
        <w:pStyle w:val="22"/>
      </w:pPr>
      <w:r>
        <w:t>（十）组织协调灾害救助工作，组织指导灾情核查、损失评估、救灾捐赠工作，管理、分配区救灾款物并监督使用。</w:t>
      </w:r>
    </w:p>
    <w:p>
      <w:pPr>
        <w:pStyle w:val="22"/>
      </w:pPr>
      <w:r>
        <w:t>（十一）依法行使区安全生产综合监督管理职权，指导协调、监督检查区有关部门和各乡镇政府、街道办事处、广阳经济开发区管委会安全生产工作，组织开展安全生产巡查、考核工作。</w:t>
      </w:r>
    </w:p>
    <w:p>
      <w:pPr>
        <w:pStyle w:val="22"/>
      </w:pPr>
      <w:r>
        <w:t>（十二）按照分级、属地原则，依法监督检查工矿商贸生产经营单位贯彻执行安全生产法律法规情况，及其安全生产条件和有关设备（特种设备除外）、材料、劳动防护用品的安全生产管理工作；负责监督管理工矿商贸行业区属企业的安全生产工作；依法组织并指导监督实施安全生产准入制度；负责危险化学品安全监管综合工作和烟花爆竹安全生产监管工作。</w:t>
      </w:r>
    </w:p>
    <w:p>
      <w:pPr>
        <w:pStyle w:val="22"/>
      </w:pPr>
      <w:r>
        <w:t>（十三）依法组织指导生产安全事故调查处理，监督事故查处和责任追究落实情况。组织开展自然灾害类突发事件的调查评估工作。</w:t>
      </w:r>
    </w:p>
    <w:p>
      <w:pPr>
        <w:pStyle w:val="22"/>
      </w:pPr>
      <w:r>
        <w:t>（十四）制定应急物资储备和应急救援装备规划并组织实施，会同区粮食和物资储备等部门建立健全应急物资信息平台和调拨制度，在救灾时统一调度。</w:t>
      </w:r>
    </w:p>
    <w:p>
      <w:pPr>
        <w:pStyle w:val="22"/>
      </w:pPr>
      <w:r>
        <w:t>（十五）负责应急管理、安全生产宣传教育和培训工作，组织指导应急管理、安全生产的科学技术研究、推广应用和信息化建设工作。</w:t>
      </w:r>
    </w:p>
    <w:p>
      <w:pPr>
        <w:pStyle w:val="22"/>
      </w:pPr>
      <w:r>
        <w:t>（十六）负责组织指导协调和监督全区安全生产行政执法工作，组织开展对安全生产重点企业的执法检查，负责全区抗震设防执法工作。</w:t>
      </w:r>
    </w:p>
    <w:p>
      <w:pPr>
        <w:pStyle w:val="22"/>
      </w:pPr>
      <w:r>
        <w:t>（十七）组织开展应急管理方面的对外交流与合作。</w:t>
      </w:r>
    </w:p>
    <w:p>
      <w:pPr>
        <w:pStyle w:val="22"/>
      </w:pPr>
      <w:r>
        <w:t>（十八）完成区委、区政府交办的其他任务。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廊坊市广阳区应急管理局本级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按照预算管理有关规定，目前我区部门预算的编制实行综合预算管理，即全部收入和支出都反映在预算中。廊坊市广阳区应急管理局机关及所属事业单位的收支包含在部门预算中。</w:t>
      </w:r>
    </w:p>
    <w:p>
      <w:pPr>
        <w:pStyle w:val="23"/>
      </w:pPr>
      <w:r>
        <w:t>1、收入说明</w:t>
      </w:r>
    </w:p>
    <w:p>
      <w:pPr>
        <w:pStyle w:val="23"/>
      </w:pPr>
      <w:r>
        <w:t>反映本部门当年全部收入。2023年预算收入650.43万元，其中：一般公共预算收入650.43万元，基金预算收入0万元，财政专户核拨收入0万元，其他来源收入0万元，上年结转0万元。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应急管理局2023年度部门预算中支出预算的总体情况。2023年支出预算650.43万元，其中：基本支出632.92万元，包括人员经费565.51万元和日常公用经费67.41万元；项目支出17.51万元，全部为本级支出，主要为“安全生产月”和“五进”宣传活动经费、政策性农村住房保险续保补助资金等项目。</w:t>
      </w:r>
    </w:p>
    <w:p>
      <w:pPr>
        <w:pStyle w:val="23"/>
      </w:pPr>
      <w:r>
        <w:t>3、比上年增减情况</w:t>
      </w:r>
    </w:p>
    <w:p>
      <w:pPr>
        <w:pStyle w:val="23"/>
      </w:pPr>
      <w:r>
        <w:t>2023年预算收支安排650.43万元，较2022年预算增加63.42万元，其中：基本支出增加100.69万元，增加原因主要为人员经费支出增加；项目支出减少37.27万元，减少原因主要为减少中央自然灾害防治体系建设项目和应急通信领域等项目支出。</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2023年，我部门运行经费共计安排67.41万元，主要用于办公区的日常维修、办公费用、办公用房水电费、办公用房取暖费、邮电费、差旅费、办公用房物业管理费、公务用车运行维护费等日常运行支出。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13.14万元。其中，因公出国（境）费0万元；公务用车购置及运维费13.14万元（其中：公务用车购置费为0万元，公务用车运维费13.14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2023年，我局将树牢安全发展理念，牢牢守住安全底线，全力保障人民群众生命安全，切实维护全区安全稳定形势。将继续严格落实安全生产责任制，建立健全安全生产责任体系，明确安全生产党政领导责任、细化部门监管责任、落实企业主体责任，强化细化各环节管理和责任追究制度，巩固各司其职、各尽其责、齐抓共管的安全监管格局。进一步加大对重点行业、重点领域、重点企业定期安全检查和专项整治工作力度，继续强化专家参与执法检查，推进隐患排查治理科学化、规范化、常态化建设。持续巩固加强应急管理体系建设工作; 把握“安全生产月”“全国防灾减灾日”“国际减灾日”等重要节点，推进安全宣传“五进”活动常态化，不断丰富科普内容，扩大公众参与面与安全知识覆盖面,同时加强普法宣传，努力提升公众法律意识。</w:t>
      </w:r>
    </w:p>
    <w:p>
      <w:pPr>
        <w:spacing w:line="500" w:lineRule="exact"/>
        <w:ind w:firstLine="560"/>
      </w:pPr>
      <w:r>
        <w:rPr>
          <w:rFonts w:eastAsia="方正仿宋_GBK"/>
          <w:color w:val="000000"/>
          <w:sz w:val="28"/>
        </w:rPr>
        <w:t>（二）分项绩效目标</w:t>
      </w:r>
    </w:p>
    <w:p>
      <w:pPr>
        <w:pStyle w:val="27"/>
      </w:pPr>
      <w:r>
        <w:t>1、健全责任体系，落实安全生产责任。</w:t>
      </w:r>
    </w:p>
    <w:p>
      <w:pPr>
        <w:pStyle w:val="27"/>
      </w:pPr>
      <w:r>
        <w:t>绩效目标：健全责任体系，落实安全生产责任。</w:t>
      </w:r>
    </w:p>
    <w:p>
      <w:pPr>
        <w:pStyle w:val="27"/>
      </w:pPr>
      <w:r>
        <w:t>绩效指标：建立健全安全生产责任体系，明确安全生产党政领导责任、细化部门监管责任、落实企业主体责任，全面排查风险隐患。</w:t>
      </w:r>
    </w:p>
    <w:p>
      <w:pPr>
        <w:pStyle w:val="27"/>
      </w:pPr>
      <w:r>
        <w:t>2、深入开展隐患排查和专项整治   绩效目标：进一步加大对重点行业、重点领域、重点企业定期安全检查和专项整治工作力度，继续强化专家参与执法检查，推进隐患排查治理科学化、规范化、常态化建设。</w:t>
      </w:r>
    </w:p>
    <w:p>
      <w:pPr>
        <w:pStyle w:val="27"/>
      </w:pPr>
      <w:r>
        <w:t>绩效指标：对全区35家危险化学品行业企业开展督导检查。督促企业按时间完成工矿商贸领域作业场所视频监控全覆盖建设。持续开展隐患排查执法监察工作，消除安全生产事故隐患，确保全区安全生产形势稳定。</w:t>
      </w:r>
    </w:p>
    <w:p>
      <w:pPr>
        <w:pStyle w:val="27"/>
      </w:pPr>
      <w:r>
        <w:t xml:space="preserve">3、持续巩固加强应急管理体系建设工作。       绩效目标：制定相应的工作方案，做好防汛抗旱应急救援演练；全面落实森林草原防灭火工作责任制     绩效指标：防汛工作方面，及时组织防汛抗旱联席会商，制定相应的工作方案，做好防汛抗旱应急救援演练；森林草原防灭火工作方面，按照分级管理、分级负责的要求，全面落实森林草原防灭火工作责任制，总结防灭火工作经验，进一步完善工作举措，及时健全各类预案； </w:t>
      </w:r>
    </w:p>
    <w:p>
      <w:pPr>
        <w:pStyle w:val="27"/>
      </w:pPr>
      <w:r>
        <w:t>4、树好宣传阵地，办好主题活动</w:t>
      </w:r>
    </w:p>
    <w:p>
      <w:pPr>
        <w:pStyle w:val="27"/>
      </w:pPr>
      <w:r>
        <w:t>绩效目标：不断丰富科普内容，扩大公众参与面与安全知识覆盖面。加强普法宣传，努力提升公众法律意识。</w:t>
      </w:r>
    </w:p>
    <w:p>
      <w:pPr>
        <w:pStyle w:val="27"/>
      </w:pPr>
      <w:r>
        <w:t>绩效指标：把握“安全生产月”“全国防灾减灾日”“国际减灾日”等重要节点，推进安全宣传“五进”活动常态化，不断丰富科普内容，扩大公众参与面与安全知识覆盖面。加强普法宣传，努力提升公众法律意识。</w:t>
      </w:r>
    </w:p>
    <w:p>
      <w:pPr>
        <w:spacing w:line="500" w:lineRule="exact"/>
        <w:ind w:firstLine="560"/>
      </w:pPr>
      <w:r>
        <w:rPr>
          <w:rFonts w:eastAsia="方正仿宋_GBK"/>
          <w:color w:val="000000"/>
          <w:sz w:val="28"/>
        </w:rPr>
        <w:t>（三）工作保障措施</w:t>
      </w:r>
    </w:p>
    <w:p>
      <w:pPr>
        <w:pStyle w:val="28"/>
      </w:pPr>
      <w:r>
        <w:t>1、完善制度建设。为加强财务经济责任监督、提高资金的使用效益，我局先后建立了《廊坊市广阳区应急管理局预算绩效管理办法》（廊广应急[2021]53号）和局《财务管理制度》（廊广应急[2020]93号）制度，为进一步提高财产的安全性、会计信息的真实性和完整性以及财务活动合法性有关的控制，我局将逐步建立完整的财务管理系统。</w:t>
      </w:r>
    </w:p>
    <w:p>
      <w:pPr>
        <w:pStyle w:val="28"/>
      </w:pPr>
      <w:r>
        <w:t>2、加强支出管理。认真贯彻执行局《财务管理制度》（廊广应急[2020]93号），切实加强财务管理，厉行勤俭节约，进一步压缩一般性支出，在保障机关正常运行的基础上，统筹安排资金的合理化支出。</w:t>
      </w:r>
    </w:p>
    <w:p>
      <w:pPr>
        <w:pStyle w:val="28"/>
      </w:pPr>
      <w:r>
        <w:t>3、加强绩效运行监控。按照《廊坊市广阳区应急管理局预算绩效管理办法》（廊广应急[2021]53号）文件要求，定期采集绩效运行信息并汇总分析，对绩效目标运行情况进行跟踪管理和监控。对上年度开展的重点项目评价工作进行绩效跟踪。</w:t>
      </w:r>
    </w:p>
    <w:p>
      <w:pPr>
        <w:pStyle w:val="28"/>
      </w:pPr>
      <w:r>
        <w:t>4、做好绩效自评。事前评估先于预算评审，各项目主体根据预算绩效目标申报表内容，结合事项事前绩效评估内容，开展事前绩效自评工作。重点关注项目开展的需求性、必要性和紧迫性和可行性等。</w:t>
      </w:r>
    </w:p>
    <w:p>
      <w:pPr>
        <w:pStyle w:val="28"/>
      </w:pPr>
      <w:r>
        <w:t>5、规范财务资产管理。实行固定资产管理责任制，明确单位“一把手”领导作为固定资产管理第一责任人，处置资产（包括调拨、转让、报废、报损等）要严格按照“先报批后处置”的程序办理，由资产使用部门向主管部门、财政部门、国有资产管理部门提出申请报告，并按有关规定履行审批手续。</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1"/>
        <w:gridCol w:w="710"/>
        <w:gridCol w:w="2552"/>
        <w:gridCol w:w="4394"/>
        <w:gridCol w:w="2977"/>
        <w:gridCol w:w="567"/>
        <w:gridCol w:w="567"/>
        <w:gridCol w:w="567"/>
        <w:gridCol w:w="191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1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55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39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97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701"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91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1" w:type="dxa"/>
            <w:vMerge w:val="continue"/>
            <w:shd w:val="clear" w:color="auto" w:fill="auto"/>
            <w:vAlign w:val="center"/>
          </w:tcPr>
          <w:p>
            <w:pPr>
              <w:rPr>
                <w:rFonts w:ascii="方正书宋_GBK" w:hAnsi="宋体" w:eastAsia="方正书宋_GBK" w:cs="宋体"/>
                <w:b/>
                <w:bCs/>
                <w:color w:val="000000"/>
              </w:rPr>
            </w:pPr>
          </w:p>
        </w:tc>
        <w:tc>
          <w:tcPr>
            <w:tcW w:w="71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552" w:type="dxa"/>
            <w:vMerge w:val="continue"/>
            <w:shd w:val="clear" w:color="auto" w:fill="auto"/>
            <w:vAlign w:val="center"/>
          </w:tcPr>
          <w:p>
            <w:pPr>
              <w:rPr>
                <w:rFonts w:ascii="方正书宋_GBK" w:hAnsi="宋体" w:eastAsia="方正书宋_GBK" w:cs="宋体"/>
                <w:b/>
                <w:bCs/>
                <w:color w:val="000000"/>
              </w:rPr>
            </w:pPr>
          </w:p>
        </w:tc>
        <w:tc>
          <w:tcPr>
            <w:tcW w:w="4394" w:type="dxa"/>
            <w:vMerge w:val="continue"/>
            <w:shd w:val="clear" w:color="auto" w:fill="auto"/>
            <w:vAlign w:val="center"/>
          </w:tcPr>
          <w:p>
            <w:pPr>
              <w:rPr>
                <w:rFonts w:ascii="方正书宋_GBK" w:hAnsi="宋体" w:eastAsia="方正书宋_GBK" w:cs="宋体"/>
                <w:b/>
                <w:bCs/>
                <w:color w:val="000000"/>
              </w:rPr>
            </w:pPr>
          </w:p>
        </w:tc>
        <w:tc>
          <w:tcPr>
            <w:tcW w:w="2977" w:type="dxa"/>
            <w:vMerge w:val="continue"/>
            <w:shd w:val="clear" w:color="auto" w:fill="auto"/>
            <w:vAlign w:val="center"/>
          </w:tcPr>
          <w:p>
            <w:pPr>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91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全年组织应急演练次数。</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每少演练一次，扣除权重分的50%。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重特大事故救援演练、地震应急桌面演练次数。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次</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《生产安全事故应急预案管理办法》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受灾群众救助率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救助率下降5个百分点，扣除权重分的10%。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对受灾人员救助率。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《河北省自然灾害生活救助资金管理办法》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监管职责范围内安全生产事故数和死亡人数下降率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监管职责范围内事故数和死亡人数，一项目未下降，扣除权重分的50%。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监管职责范围内安全生产事故数和死亡人数与上年相比的下降情况。</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&lt;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安全生产目标管理考核指标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信息化系统稳定运行时间</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无故障运行天数每减少1天，扣除权重分的1%。</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全年系统无故障运行时间。</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　≥</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300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天　</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工作实际</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执法监察计划完成率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执法监察完成率每下降5个百分点，扣除权重分的10%。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年度执法监察计划按量完成率。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年度执法监察计划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安全生产执法检查企业数</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每少执法检查4家企业，扣除权重分的10%。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全年对重点生产经营单位执法检查数量。</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145</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家</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年度执法监察计划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应急宣传集中活动数量</w:t>
            </w:r>
          </w:p>
        </w:tc>
        <w:tc>
          <w:tcPr>
            <w:tcW w:w="439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开展一次，未开展扣除100%。</w:t>
            </w:r>
          </w:p>
        </w:tc>
        <w:tc>
          <w:tcPr>
            <w:tcW w:w="297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组织开展安全生产月集中宣传日。</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次</w:t>
            </w:r>
          </w:p>
        </w:tc>
        <w:tc>
          <w:tcPr>
            <w:tcW w:w="1915"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2022年全区应急管理新闻宣传工作要点</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vMerge w:val="continue"/>
            <w:shd w:val="clear" w:color="auto" w:fill="auto"/>
            <w:vAlign w:val="center"/>
          </w:tcPr>
          <w:p>
            <w:pPr>
              <w:rPr>
                <w:rFonts w:ascii="方正书宋_GBK" w:hAnsi="宋体" w:eastAsia="方正书宋_GBK" w:cs="宋体"/>
                <w:color w:val="000000"/>
              </w:rPr>
            </w:pPr>
          </w:p>
        </w:tc>
        <w:tc>
          <w:tcPr>
            <w:tcW w:w="2552" w:type="dxa"/>
            <w:vMerge w:val="continue"/>
            <w:shd w:val="clear" w:color="auto" w:fill="auto"/>
            <w:vAlign w:val="center"/>
          </w:tcPr>
          <w:p>
            <w:pPr>
              <w:rPr>
                <w:rFonts w:ascii="方正书宋_GBK" w:hAnsi="宋体" w:eastAsia="方正书宋_GBK" w:cs="宋体"/>
                <w:color w:val="000000"/>
              </w:rPr>
            </w:pPr>
          </w:p>
        </w:tc>
        <w:tc>
          <w:tcPr>
            <w:tcW w:w="4394" w:type="dxa"/>
            <w:vMerge w:val="continue"/>
            <w:shd w:val="clear" w:color="auto" w:fill="auto"/>
            <w:vAlign w:val="center"/>
          </w:tcPr>
          <w:p>
            <w:pPr>
              <w:rPr>
                <w:rFonts w:ascii="方正书宋_GBK" w:hAnsi="宋体" w:eastAsia="方正书宋_GBK" w:cs="宋体"/>
                <w:color w:val="000000"/>
              </w:rPr>
            </w:pPr>
          </w:p>
        </w:tc>
        <w:tc>
          <w:tcPr>
            <w:tcW w:w="2977"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1915" w:type="dxa"/>
            <w:vMerge w:val="continue"/>
            <w:shd w:val="clear" w:color="auto" w:fill="auto"/>
            <w:vAlign w:val="center"/>
          </w:tcPr>
          <w:p>
            <w:pPr>
              <w:rPr>
                <w:rFonts w:ascii="方正书宋_GBK" w:hAnsi="宋体" w:eastAsia="方正书宋_GBK" w:cs="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全年完成安全培训人数</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培训人数每减少100人，扣除权重分的5%。</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防灾救灾和安全生产培训人数。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200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人</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《安全生产培训管理办法》等</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防灾减灾宣传数量</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每少开展一次，扣除权重分的50%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全国减灾日、河北省防震减灾宣传活动次数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2</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次</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演练流程规范率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规范率每下降5个百分点，扣除权重分的10%。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应急演练规范程度。</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《生产安全事故应急预案管理办法》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安全隐患整改率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整改率每下降1个百分点，扣除权重分的5%。</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整改率=（完成整改数/排查出隐患总数）*100%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《安全生产法》等。</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各项重点工作按时完成率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每有1项重点工作未按时完成，扣除权重分的10%。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各项重点工作在本年度内按时完成情况。</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项目经费控制率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每超预算10个百分点，扣除权重分的10%。</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本年度实际支出的特定目标类项目经费总额小于预算安排的特定目标类项目费用经费总额。</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《廊坊市应广阳区应急管理局财务管理办法》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55" w:hRule="atLeast"/>
          <w:jc w:val="center"/>
        </w:trPr>
        <w:tc>
          <w:tcPr>
            <w:tcW w:w="581"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演练达到预期效果，应急预案进一步完善，应急救援能力提升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提升得满分，不提升不得分。</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演练达到预期效果，应急预案进一步完善，应急救援能力提。</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191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《生产安全事故应急预案管理办法》等。</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55"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提高应急管理信息化水平</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提高得满分，不提升不得分。</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提高应急管理信息化水平。</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提高</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191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《河北省应急管理信息化发展规划》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防灾、减灾能力提升</w:t>
            </w:r>
          </w:p>
        </w:tc>
        <w:tc>
          <w:tcPr>
            <w:tcW w:w="439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提升得满分，不提升不得分</w:t>
            </w:r>
          </w:p>
        </w:tc>
        <w:tc>
          <w:tcPr>
            <w:tcW w:w="297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防灾、减灾能力提升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191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年度工作计划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1" w:type="dxa"/>
            <w:vMerge w:val="continue"/>
            <w:shd w:val="clear" w:color="auto" w:fill="auto"/>
            <w:vAlign w:val="center"/>
          </w:tcPr>
          <w:p>
            <w:pPr>
              <w:rPr>
                <w:rFonts w:ascii="方正书宋_GBK" w:hAnsi="宋体" w:eastAsia="方正书宋_GBK" w:cs="宋体"/>
                <w:color w:val="000000"/>
              </w:rPr>
            </w:pPr>
          </w:p>
        </w:tc>
        <w:tc>
          <w:tcPr>
            <w:tcW w:w="7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服务对象满意度</w:t>
            </w:r>
          </w:p>
        </w:tc>
        <w:tc>
          <w:tcPr>
            <w:tcW w:w="4394" w:type="dxa"/>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务对象满意度每下降1个百分点，扣除权重分的5%。</w:t>
            </w:r>
          </w:p>
        </w:tc>
        <w:tc>
          <w:tcPr>
            <w:tcW w:w="2977" w:type="dxa"/>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服务对象满意度。</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95</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91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1、“安全生产月”和“五进”宣传活动经费绩效目标表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1.通过开展2023年全区“安全生产月”和“五进”宣传活动，直面群众，讲解身边安全隐患，为群众排忧解难，保障提高全民安全素质，提高风险防范意识和自救互助能力，提高对安全知识认识能力的实现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宣传材料</w:t>
            </w:r>
          </w:p>
        </w:tc>
        <w:tc>
          <w:tcPr>
            <w:tcW w:w="2835" w:type="dxa"/>
            <w:vAlign w:val="center"/>
          </w:tcPr>
          <w:p>
            <w:pPr>
              <w:pStyle w:val="17"/>
            </w:pPr>
            <w:r>
              <w:t>宣传材料数量 （单个数量算一份）</w:t>
            </w:r>
          </w:p>
        </w:tc>
        <w:tc>
          <w:tcPr>
            <w:tcW w:w="2551" w:type="dxa"/>
            <w:vAlign w:val="center"/>
          </w:tcPr>
          <w:p>
            <w:pPr>
              <w:pStyle w:val="17"/>
            </w:pPr>
            <w:r>
              <w:t>≥5000个</w:t>
            </w:r>
          </w:p>
        </w:tc>
        <w:tc>
          <w:tcPr>
            <w:tcW w:w="2268" w:type="dxa"/>
            <w:vAlign w:val="center"/>
          </w:tcPr>
          <w:p>
            <w:pPr>
              <w:pStyle w:val="17"/>
            </w:pPr>
            <w:r>
              <w:t>廊广安办〔2022〕13号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宣传材料合格率</w:t>
            </w:r>
          </w:p>
        </w:tc>
        <w:tc>
          <w:tcPr>
            <w:tcW w:w="2835" w:type="dxa"/>
            <w:vAlign w:val="center"/>
          </w:tcPr>
          <w:p>
            <w:pPr>
              <w:pStyle w:val="17"/>
            </w:pPr>
            <w:r>
              <w:t>合格的宣传材料与宣传材料的比率</w:t>
            </w:r>
          </w:p>
        </w:tc>
        <w:tc>
          <w:tcPr>
            <w:tcW w:w="2551" w:type="dxa"/>
            <w:vAlign w:val="center"/>
          </w:tcPr>
          <w:p>
            <w:pPr>
              <w:pStyle w:val="17"/>
            </w:pPr>
            <w:r>
              <w:t>100%</w:t>
            </w:r>
          </w:p>
        </w:tc>
        <w:tc>
          <w:tcPr>
            <w:tcW w:w="2268" w:type="dxa"/>
            <w:vAlign w:val="center"/>
          </w:tcPr>
          <w:p>
            <w:pPr>
              <w:pStyle w:val="17"/>
            </w:pPr>
            <w:r>
              <w:t>廊广安办〔2022〕13号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宣传发放及时性（%）</w:t>
            </w:r>
          </w:p>
        </w:tc>
        <w:tc>
          <w:tcPr>
            <w:tcW w:w="2835" w:type="dxa"/>
            <w:vAlign w:val="center"/>
          </w:tcPr>
          <w:p>
            <w:pPr>
              <w:pStyle w:val="17"/>
            </w:pPr>
            <w:r>
              <w:t>及时发放数占总发放数的比率</w:t>
            </w:r>
          </w:p>
        </w:tc>
        <w:tc>
          <w:tcPr>
            <w:tcW w:w="2551" w:type="dxa"/>
            <w:vAlign w:val="center"/>
          </w:tcPr>
          <w:p>
            <w:pPr>
              <w:pStyle w:val="17"/>
            </w:pPr>
            <w:r>
              <w:t>100%</w:t>
            </w:r>
          </w:p>
        </w:tc>
        <w:tc>
          <w:tcPr>
            <w:tcW w:w="2268" w:type="dxa"/>
            <w:vAlign w:val="center"/>
          </w:tcPr>
          <w:p>
            <w:pPr>
              <w:pStyle w:val="17"/>
            </w:pPr>
            <w:r>
              <w:t>廊广安办〔2022〕13号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定制成本</w:t>
            </w:r>
          </w:p>
        </w:tc>
        <w:tc>
          <w:tcPr>
            <w:tcW w:w="2835" w:type="dxa"/>
            <w:vAlign w:val="center"/>
          </w:tcPr>
          <w:p>
            <w:pPr>
              <w:pStyle w:val="17"/>
            </w:pPr>
            <w:r>
              <w:t>制作费支出标准</w:t>
            </w:r>
          </w:p>
        </w:tc>
        <w:tc>
          <w:tcPr>
            <w:tcW w:w="2551" w:type="dxa"/>
            <w:vAlign w:val="center"/>
          </w:tcPr>
          <w:p>
            <w:pPr>
              <w:pStyle w:val="17"/>
            </w:pPr>
            <w:r>
              <w:t>100%</w:t>
            </w:r>
          </w:p>
        </w:tc>
        <w:tc>
          <w:tcPr>
            <w:tcW w:w="2268" w:type="dxa"/>
            <w:vAlign w:val="center"/>
          </w:tcPr>
          <w:p>
            <w:pPr>
              <w:pStyle w:val="17"/>
            </w:pPr>
            <w:r>
              <w:t>廊广安办〔2022〕13号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提高安全意识</w:t>
            </w:r>
          </w:p>
        </w:tc>
        <w:tc>
          <w:tcPr>
            <w:tcW w:w="2835" w:type="dxa"/>
            <w:vAlign w:val="center"/>
          </w:tcPr>
          <w:p>
            <w:pPr>
              <w:pStyle w:val="17"/>
            </w:pPr>
            <w:r>
              <w:t>提高安全意识，提升全民安全素质</w:t>
            </w:r>
          </w:p>
        </w:tc>
        <w:tc>
          <w:tcPr>
            <w:tcW w:w="2551" w:type="dxa"/>
            <w:vAlign w:val="center"/>
          </w:tcPr>
          <w:p>
            <w:pPr>
              <w:pStyle w:val="17"/>
            </w:pPr>
            <w:r>
              <w:t>提高</w:t>
            </w:r>
          </w:p>
        </w:tc>
        <w:tc>
          <w:tcPr>
            <w:tcW w:w="2268" w:type="dxa"/>
            <w:vAlign w:val="center"/>
          </w:tcPr>
          <w:p>
            <w:pPr>
              <w:pStyle w:val="17"/>
            </w:pPr>
            <w:r>
              <w:t>廊广安办〔2022〕13号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提高风险防范意识和自救互助能力</w:t>
            </w:r>
          </w:p>
        </w:tc>
        <w:tc>
          <w:tcPr>
            <w:tcW w:w="2835" w:type="dxa"/>
            <w:vAlign w:val="center"/>
          </w:tcPr>
          <w:p>
            <w:pPr>
              <w:pStyle w:val="17"/>
            </w:pPr>
            <w:r>
              <w:t>提高风险防范意识和自救互助能力，提高对安全知识认识能力</w:t>
            </w:r>
          </w:p>
        </w:tc>
        <w:tc>
          <w:tcPr>
            <w:tcW w:w="2551" w:type="dxa"/>
            <w:vAlign w:val="center"/>
          </w:tcPr>
          <w:p>
            <w:pPr>
              <w:pStyle w:val="17"/>
            </w:pPr>
            <w:r>
              <w:t>提高</w:t>
            </w:r>
          </w:p>
        </w:tc>
        <w:tc>
          <w:tcPr>
            <w:tcW w:w="2268" w:type="dxa"/>
            <w:vAlign w:val="center"/>
          </w:tcPr>
          <w:p>
            <w:pPr>
              <w:pStyle w:val="17"/>
            </w:pPr>
            <w:r>
              <w:t>廊广安办〔2022〕13号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群众满意度与被调查群众的比例</w:t>
            </w:r>
          </w:p>
        </w:tc>
        <w:tc>
          <w:tcPr>
            <w:tcW w:w="2551" w:type="dxa"/>
            <w:vAlign w:val="center"/>
          </w:tcPr>
          <w:p>
            <w:pPr>
              <w:pStyle w:val="17"/>
            </w:pPr>
            <w:r>
              <w:t>100%</w:t>
            </w:r>
          </w:p>
        </w:tc>
        <w:tc>
          <w:tcPr>
            <w:tcW w:w="2268" w:type="dxa"/>
            <w:vAlign w:val="center"/>
          </w:tcPr>
          <w:p>
            <w:pPr>
              <w:pStyle w:val="17"/>
            </w:pPr>
            <w:r>
              <w:t>廊广安办〔2022〕13号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2、政策性农村住房保险续保补助资金[区级]绩效目标表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1.通过项目的开展实现为深入贯彻落实习近平总书记关于防灾减灾工作重要指示精神，有效推进农村住房保险工作，创新政府减灾救灾机制，提升政府灾害救助水平，不断扩大政策性农房保险覆盖范围。</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参保农户户数</w:t>
            </w:r>
          </w:p>
        </w:tc>
        <w:tc>
          <w:tcPr>
            <w:tcW w:w="2835" w:type="dxa"/>
            <w:vAlign w:val="center"/>
          </w:tcPr>
          <w:p>
            <w:pPr>
              <w:pStyle w:val="17"/>
            </w:pPr>
            <w:r>
              <w:t>参保农户户数</w:t>
            </w:r>
          </w:p>
        </w:tc>
        <w:tc>
          <w:tcPr>
            <w:tcW w:w="2551" w:type="dxa"/>
            <w:vAlign w:val="center"/>
          </w:tcPr>
          <w:p>
            <w:pPr>
              <w:pStyle w:val="17"/>
            </w:pPr>
            <w:r>
              <w:t>16448户</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参保精准率</w:t>
            </w:r>
          </w:p>
        </w:tc>
        <w:tc>
          <w:tcPr>
            <w:tcW w:w="2835" w:type="dxa"/>
            <w:vAlign w:val="center"/>
          </w:tcPr>
          <w:p>
            <w:pPr>
              <w:pStyle w:val="17"/>
            </w:pPr>
            <w:r>
              <w:t>农户符合条件参保的精准率</w:t>
            </w:r>
          </w:p>
        </w:tc>
        <w:tc>
          <w:tcPr>
            <w:tcW w:w="2551" w:type="dxa"/>
            <w:vAlign w:val="center"/>
          </w:tcPr>
          <w:p>
            <w:pPr>
              <w:pStyle w:val="17"/>
            </w:pPr>
            <w:r>
              <w:t>100%</w:t>
            </w:r>
          </w:p>
        </w:tc>
        <w:tc>
          <w:tcPr>
            <w:tcW w:w="2268" w:type="dxa"/>
            <w:vAlign w:val="center"/>
          </w:tcPr>
          <w:p>
            <w:pPr>
              <w:pStyle w:val="17"/>
            </w:pPr>
            <w:r>
              <w:t>廊广应急呈【2020】18号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及时参保</w:t>
            </w:r>
          </w:p>
        </w:tc>
        <w:tc>
          <w:tcPr>
            <w:tcW w:w="2835" w:type="dxa"/>
            <w:vAlign w:val="center"/>
          </w:tcPr>
          <w:p>
            <w:pPr>
              <w:pStyle w:val="17"/>
            </w:pPr>
            <w:r>
              <w:t>资金到位后，是否及时为农户参保</w:t>
            </w:r>
          </w:p>
        </w:tc>
        <w:tc>
          <w:tcPr>
            <w:tcW w:w="2551" w:type="dxa"/>
            <w:vAlign w:val="center"/>
          </w:tcPr>
          <w:p>
            <w:pPr>
              <w:pStyle w:val="17"/>
            </w:pPr>
            <w:r>
              <w:t>100%</w:t>
            </w:r>
          </w:p>
        </w:tc>
        <w:tc>
          <w:tcPr>
            <w:tcW w:w="2268" w:type="dxa"/>
            <w:vAlign w:val="center"/>
          </w:tcPr>
          <w:p>
            <w:pPr>
              <w:pStyle w:val="17"/>
            </w:pPr>
            <w:r>
              <w:t>廊应急【2019】84号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支出成本比例</w:t>
            </w:r>
          </w:p>
        </w:tc>
        <w:tc>
          <w:tcPr>
            <w:tcW w:w="2835" w:type="dxa"/>
            <w:vAlign w:val="center"/>
          </w:tcPr>
          <w:p>
            <w:pPr>
              <w:pStyle w:val="17"/>
            </w:pPr>
            <w:r>
              <w:t>支出成本与预算的比例</w:t>
            </w:r>
          </w:p>
        </w:tc>
        <w:tc>
          <w:tcPr>
            <w:tcW w:w="2551" w:type="dxa"/>
            <w:vAlign w:val="center"/>
          </w:tcPr>
          <w:p>
            <w:pPr>
              <w:pStyle w:val="17"/>
            </w:pPr>
            <w:r>
              <w:t>100%</w:t>
            </w:r>
          </w:p>
        </w:tc>
        <w:tc>
          <w:tcPr>
            <w:tcW w:w="2268" w:type="dxa"/>
            <w:vAlign w:val="center"/>
          </w:tcPr>
          <w:p>
            <w:pPr>
              <w:pStyle w:val="17"/>
            </w:pPr>
            <w:r>
              <w:t>公开决算与公开预算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参保农户覆盖率</w:t>
            </w:r>
          </w:p>
        </w:tc>
        <w:tc>
          <w:tcPr>
            <w:tcW w:w="2835" w:type="dxa"/>
            <w:vAlign w:val="center"/>
          </w:tcPr>
          <w:p>
            <w:pPr>
              <w:pStyle w:val="17"/>
            </w:pPr>
            <w:r>
              <w:t>参保农户与应参保农户的比率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对农房的保险保障</w:t>
            </w:r>
          </w:p>
        </w:tc>
        <w:tc>
          <w:tcPr>
            <w:tcW w:w="2835" w:type="dxa"/>
            <w:vAlign w:val="center"/>
          </w:tcPr>
          <w:p>
            <w:pPr>
              <w:pStyle w:val="17"/>
            </w:pPr>
            <w:r>
              <w:t>通过此项工作，提高农村居民抵御自然灾害能力</w:t>
            </w:r>
          </w:p>
        </w:tc>
        <w:tc>
          <w:tcPr>
            <w:tcW w:w="2551" w:type="dxa"/>
            <w:vAlign w:val="center"/>
          </w:tcPr>
          <w:p>
            <w:pPr>
              <w:pStyle w:val="17"/>
            </w:pPr>
            <w:r>
              <w:t>提高</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参保农户满意度</w:t>
            </w:r>
          </w:p>
        </w:tc>
        <w:tc>
          <w:tcPr>
            <w:tcW w:w="2835" w:type="dxa"/>
            <w:vAlign w:val="center"/>
          </w:tcPr>
          <w:p>
            <w:pPr>
              <w:pStyle w:val="17"/>
            </w:pPr>
            <w:r>
              <w:t>满意农户占参保农户</w:t>
            </w:r>
            <w:r>
              <w:rPr>
                <w:rFonts w:hint="eastAsia"/>
                <w:lang w:eastAsia="zh-CN"/>
              </w:rPr>
              <w:t>的</w:t>
            </w:r>
            <w:r>
              <w:t>比例</w:t>
            </w:r>
          </w:p>
        </w:tc>
        <w:tc>
          <w:tcPr>
            <w:tcW w:w="2551" w:type="dxa"/>
            <w:vAlign w:val="center"/>
          </w:tcPr>
          <w:p>
            <w:pPr>
              <w:pStyle w:val="17"/>
            </w:pPr>
            <w:r>
              <w:t>≥95%</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3、自然灾害救助专项资金[省级]绩效目标表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1.通过项目的开展实现为深入贯彻落实习近平总书记关于防灾减灾工作重要指示精神，有效推进农村住房保险工作，创新政府减灾救灾机制，提升政府灾害救助水平，不断扩大政策性农房保险覆盖范围。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参保农户户数</w:t>
            </w:r>
          </w:p>
        </w:tc>
        <w:tc>
          <w:tcPr>
            <w:tcW w:w="2835" w:type="dxa"/>
            <w:vAlign w:val="center"/>
          </w:tcPr>
          <w:p>
            <w:pPr>
              <w:pStyle w:val="17"/>
            </w:pPr>
            <w:r>
              <w:t>参保农户户数</w:t>
            </w:r>
          </w:p>
        </w:tc>
        <w:tc>
          <w:tcPr>
            <w:tcW w:w="2551" w:type="dxa"/>
            <w:vAlign w:val="center"/>
          </w:tcPr>
          <w:p>
            <w:pPr>
              <w:pStyle w:val="17"/>
            </w:pPr>
            <w:r>
              <w:t>16448户</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参保农户宅数</w:t>
            </w:r>
          </w:p>
        </w:tc>
        <w:tc>
          <w:tcPr>
            <w:tcW w:w="2835" w:type="dxa"/>
            <w:vAlign w:val="center"/>
          </w:tcPr>
          <w:p>
            <w:pPr>
              <w:pStyle w:val="17"/>
            </w:pPr>
            <w:r>
              <w:t>参保农户仅可参保1宅</w:t>
            </w:r>
          </w:p>
        </w:tc>
        <w:tc>
          <w:tcPr>
            <w:tcW w:w="2551" w:type="dxa"/>
            <w:vAlign w:val="center"/>
          </w:tcPr>
          <w:p>
            <w:pPr>
              <w:pStyle w:val="17"/>
            </w:pPr>
            <w:r>
              <w:t>16448宅</w:t>
            </w:r>
          </w:p>
        </w:tc>
        <w:tc>
          <w:tcPr>
            <w:tcW w:w="2268" w:type="dxa"/>
            <w:vAlign w:val="center"/>
          </w:tcPr>
          <w:p>
            <w:pPr>
              <w:pStyle w:val="17"/>
            </w:pPr>
            <w:r>
              <w:t>廊广应急呈【2020】18号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及时参保</w:t>
            </w:r>
          </w:p>
        </w:tc>
        <w:tc>
          <w:tcPr>
            <w:tcW w:w="2835" w:type="dxa"/>
            <w:vAlign w:val="center"/>
          </w:tcPr>
          <w:p>
            <w:pPr>
              <w:pStyle w:val="17"/>
            </w:pPr>
            <w:r>
              <w:t>资金到位后，是否及时为农户参保</w:t>
            </w:r>
          </w:p>
        </w:tc>
        <w:tc>
          <w:tcPr>
            <w:tcW w:w="2551" w:type="dxa"/>
            <w:vAlign w:val="center"/>
          </w:tcPr>
          <w:p>
            <w:pPr>
              <w:pStyle w:val="17"/>
            </w:pPr>
            <w:r>
              <w:t>100%</w:t>
            </w:r>
          </w:p>
        </w:tc>
        <w:tc>
          <w:tcPr>
            <w:tcW w:w="2268" w:type="dxa"/>
            <w:vAlign w:val="center"/>
          </w:tcPr>
          <w:p>
            <w:pPr>
              <w:pStyle w:val="17"/>
            </w:pPr>
            <w:r>
              <w:t>廊应急【2019】84号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支出成本比例</w:t>
            </w:r>
          </w:p>
        </w:tc>
        <w:tc>
          <w:tcPr>
            <w:tcW w:w="2835" w:type="dxa"/>
            <w:vAlign w:val="center"/>
          </w:tcPr>
          <w:p>
            <w:pPr>
              <w:pStyle w:val="17"/>
            </w:pPr>
            <w:r>
              <w:t>支出成本与预算的比例</w:t>
            </w:r>
          </w:p>
        </w:tc>
        <w:tc>
          <w:tcPr>
            <w:tcW w:w="2551" w:type="dxa"/>
            <w:vAlign w:val="center"/>
          </w:tcPr>
          <w:p>
            <w:pPr>
              <w:pStyle w:val="17"/>
            </w:pPr>
            <w:r>
              <w:t>100%</w:t>
            </w:r>
          </w:p>
        </w:tc>
        <w:tc>
          <w:tcPr>
            <w:tcW w:w="2268" w:type="dxa"/>
            <w:vAlign w:val="center"/>
          </w:tcPr>
          <w:p>
            <w:pPr>
              <w:pStyle w:val="17"/>
            </w:pPr>
            <w:r>
              <w:t>公开决算与公开预算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参保农户覆盖率</w:t>
            </w:r>
          </w:p>
        </w:tc>
        <w:tc>
          <w:tcPr>
            <w:tcW w:w="2835" w:type="dxa"/>
            <w:vAlign w:val="center"/>
          </w:tcPr>
          <w:p>
            <w:pPr>
              <w:pStyle w:val="17"/>
            </w:pPr>
            <w:r>
              <w:t>参保农户与应参保农户的比率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对农房的保险保障</w:t>
            </w:r>
          </w:p>
        </w:tc>
        <w:tc>
          <w:tcPr>
            <w:tcW w:w="2835" w:type="dxa"/>
            <w:vAlign w:val="center"/>
          </w:tcPr>
          <w:p>
            <w:pPr>
              <w:pStyle w:val="17"/>
            </w:pPr>
            <w:r>
              <w:t>通过此项工作，提高农村居民抵御自然灾害能力</w:t>
            </w:r>
          </w:p>
        </w:tc>
        <w:tc>
          <w:tcPr>
            <w:tcW w:w="2551" w:type="dxa"/>
            <w:vAlign w:val="center"/>
          </w:tcPr>
          <w:p>
            <w:pPr>
              <w:pStyle w:val="17"/>
            </w:pPr>
            <w:r>
              <w:t xml:space="preserve">提高 </w:t>
            </w:r>
          </w:p>
        </w:tc>
        <w:tc>
          <w:tcPr>
            <w:tcW w:w="2268"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参保农户满意度</w:t>
            </w:r>
          </w:p>
        </w:tc>
        <w:tc>
          <w:tcPr>
            <w:tcW w:w="2835" w:type="dxa"/>
            <w:vAlign w:val="center"/>
          </w:tcPr>
          <w:p>
            <w:pPr>
              <w:pStyle w:val="17"/>
            </w:pPr>
            <w:r>
              <w:t>满意农户占参保农户</w:t>
            </w:r>
            <w:r>
              <w:rPr>
                <w:rFonts w:hint="eastAsia"/>
                <w:lang w:eastAsia="zh-CN"/>
              </w:rPr>
              <w:t>的</w:t>
            </w:r>
            <w:r>
              <w:t>比例</w:t>
            </w:r>
          </w:p>
        </w:tc>
        <w:tc>
          <w:tcPr>
            <w:tcW w:w="2551" w:type="dxa"/>
            <w:vAlign w:val="center"/>
          </w:tcPr>
          <w:p>
            <w:pPr>
              <w:pStyle w:val="17"/>
            </w:pPr>
            <w:r>
              <w:t>≥95%</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2023年，廊坊市广阳区应急管理局安排政府采购预算0.00万元。具体内容见下表。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721廊坊市广阳区应急管理局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廊坊市广阳区应急管理局（含所属单位）上年末固定资产金额为296.20万元（详见下表）。本年度拟购置固定资产总额为0.00万元，已按要求列入政府采购预算，详见政府采购预算表。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721廊坊市广阳区应急管理局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2296.98</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539.38</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6</w:t>
            </w:r>
          </w:p>
        </w:tc>
        <w:tc>
          <w:tcPr>
            <w:tcW w:w="2835" w:type="dxa"/>
            <w:vAlign w:val="center"/>
          </w:tcPr>
          <w:p>
            <w:pPr>
              <w:pStyle w:val="16"/>
            </w:pPr>
            <w:r>
              <w:t>69.94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358</w:t>
            </w:r>
          </w:p>
        </w:tc>
        <w:tc>
          <w:tcPr>
            <w:tcW w:w="2835" w:type="dxa"/>
            <w:vAlign w:val="center"/>
          </w:tcPr>
          <w:p>
            <w:pPr>
              <w:pStyle w:val="16"/>
            </w:pPr>
            <w:r>
              <w:t>226.26</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68"/>
    <w:rsid w:val="00100C49"/>
    <w:rsid w:val="001F0E61"/>
    <w:rsid w:val="005D7368"/>
    <w:rsid w:val="006F700D"/>
    <w:rsid w:val="00AD4AAE"/>
    <w:rsid w:val="00D126CD"/>
    <w:rsid w:val="00F45E80"/>
    <w:rsid w:val="3291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2023-03-13T11:12:32Z</dcterms:created>
  <dcterms:modified xsi:type="dcterms:W3CDTF">2023-03-13T03:12:32Z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2023-03-13T11:12:35Z</dcterms:created>
  <dcterms:modified xsi:type="dcterms:W3CDTF">2023-03-13T03:12:35Z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2023-03-13T11:12:35Z</dcterms:created>
  <dcterms:modified xsi:type="dcterms:W3CDTF">2023-03-13T03:12:35Z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2023-03-13T11:12:35Z</dcterms:created>
  <dcterms:modified xsi:type="dcterms:W3CDTF">2023-03-13T03:12:35Z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2023-03-13T11:12:34Z</dcterms:created>
  <dcterms:modified xsi:type="dcterms:W3CDTF">2023-03-13T03:12:34Z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2023-03-13T11:12:31Z</dcterms:created>
  <dcterms:modified xsi:type="dcterms:W3CDTF">2023-03-13T03:12:31Z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2023-03-13T11:12:31Z</dcterms:created>
  <dcterms:modified xsi:type="dcterms:W3CDTF">2023-03-13T03:12:31Z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2023-03-13T11:12:31Z</dcterms:created>
  <dcterms:modified xsi:type="dcterms:W3CDTF">2023-03-13T03:12:31Z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2023-03-13T11:12:31Z</dcterms:created>
  <dcterms:modified xsi:type="dcterms:W3CDTF">2023-03-13T03:12:31Z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2023-03-13T11:12:32Z</dcterms:created>
  <dcterms:modified xsi:type="dcterms:W3CDTF">2023-03-13T03:12:32Z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2023-03-13T11:12:35Z</dcterms:created>
  <dcterms:modified xsi:type="dcterms:W3CDTF">2023-03-13T03:12:35Z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84D0814-9D19-4E2B-B362-C05187FDF02A}">
  <ds:schemaRefs/>
</ds:datastoreItem>
</file>

<file path=customXml/itemProps11.xml><?xml version="1.0" encoding="utf-8"?>
<ds:datastoreItem xmlns:ds="http://schemas.openxmlformats.org/officeDocument/2006/customXml" ds:itemID="{1DE8D88D-D08F-4E4C-BA64-086A99B3038D}">
  <ds:schemaRefs/>
</ds:datastoreItem>
</file>

<file path=customXml/itemProps12.xml><?xml version="1.0" encoding="utf-8"?>
<ds:datastoreItem xmlns:ds="http://schemas.openxmlformats.org/officeDocument/2006/customXml" ds:itemID="{BEF29610-2EF3-42F2-B09D-3A6CCD00C9FA}">
  <ds:schemaRefs/>
</ds:datastoreItem>
</file>

<file path=customXml/itemProps13.xml><?xml version="1.0" encoding="utf-8"?>
<ds:datastoreItem xmlns:ds="http://schemas.openxmlformats.org/officeDocument/2006/customXml" ds:itemID="{D4FE287E-63D5-4B8E-AE41-AA0B5FEC8A6A}">
  <ds:schemaRefs/>
</ds:datastoreItem>
</file>

<file path=customXml/itemProps14.xml><?xml version="1.0" encoding="utf-8"?>
<ds:datastoreItem xmlns:ds="http://schemas.openxmlformats.org/officeDocument/2006/customXml" ds:itemID="{0C7BA27E-D6CE-4E3C-82E3-113257ADFA75}">
  <ds:schemaRefs/>
</ds:datastoreItem>
</file>

<file path=customXml/itemProps15.xml><?xml version="1.0" encoding="utf-8"?>
<ds:datastoreItem xmlns:ds="http://schemas.openxmlformats.org/officeDocument/2006/customXml" ds:itemID="{AC2A38B1-DC88-4375-8D91-8867C2FB2957}">
  <ds:schemaRefs/>
</ds:datastoreItem>
</file>

<file path=customXml/itemProps16.xml><?xml version="1.0" encoding="utf-8"?>
<ds:datastoreItem xmlns:ds="http://schemas.openxmlformats.org/officeDocument/2006/customXml" ds:itemID="{E5C790DF-8653-48C1-BD8B-4A261F135994}">
  <ds:schemaRefs/>
</ds:datastoreItem>
</file>

<file path=customXml/itemProps17.xml><?xml version="1.0" encoding="utf-8"?>
<ds:datastoreItem xmlns:ds="http://schemas.openxmlformats.org/officeDocument/2006/customXml" ds:itemID="{9135CACC-1E94-4EF0-B179-9284154576C2}">
  <ds:schemaRefs/>
</ds:datastoreItem>
</file>

<file path=customXml/itemProps18.xml><?xml version="1.0" encoding="utf-8"?>
<ds:datastoreItem xmlns:ds="http://schemas.openxmlformats.org/officeDocument/2006/customXml" ds:itemID="{72880CC3-470A-4173-997E-71CC3E778E22}">
  <ds:schemaRefs/>
</ds:datastoreItem>
</file>

<file path=customXml/itemProps19.xml><?xml version="1.0" encoding="utf-8"?>
<ds:datastoreItem xmlns:ds="http://schemas.openxmlformats.org/officeDocument/2006/customXml" ds:itemID="{43E9A76A-9F5C-435A-BF2B-6105CF701D48}">
  <ds:schemaRefs/>
</ds:datastoreItem>
</file>

<file path=customXml/itemProps2.xml><?xml version="1.0" encoding="utf-8"?>
<ds:datastoreItem xmlns:ds="http://schemas.openxmlformats.org/officeDocument/2006/customXml" ds:itemID="{F8DFC5EA-0CA9-4F37-BEC2-B6FE239F38CB}">
  <ds:schemaRefs/>
</ds:datastoreItem>
</file>

<file path=customXml/itemProps20.xml><?xml version="1.0" encoding="utf-8"?>
<ds:datastoreItem xmlns:ds="http://schemas.openxmlformats.org/officeDocument/2006/customXml" ds:itemID="{339C7A8D-5719-43F6-B5B3-F62BA5CD1FCC}">
  <ds:schemaRefs/>
</ds:datastoreItem>
</file>

<file path=customXml/itemProps21.xml><?xml version="1.0" encoding="utf-8"?>
<ds:datastoreItem xmlns:ds="http://schemas.openxmlformats.org/officeDocument/2006/customXml" ds:itemID="{AD875039-5FF6-4B6E-90B0-2F4FF667541D}">
  <ds:schemaRefs/>
</ds:datastoreItem>
</file>

<file path=customXml/itemProps22.xml><?xml version="1.0" encoding="utf-8"?>
<ds:datastoreItem xmlns:ds="http://schemas.openxmlformats.org/officeDocument/2006/customXml" ds:itemID="{96AC83B4-1FB0-4BEC-83FB-891E90B190B6}">
  <ds:schemaRefs/>
</ds:datastoreItem>
</file>

<file path=customXml/itemProps23.xml><?xml version="1.0" encoding="utf-8"?>
<ds:datastoreItem xmlns:ds="http://schemas.openxmlformats.org/officeDocument/2006/customXml" ds:itemID="{233AFD35-32EF-4DB4-98B5-B8284F29C228}">
  <ds:schemaRefs/>
</ds:datastoreItem>
</file>

<file path=customXml/itemProps3.xml><?xml version="1.0" encoding="utf-8"?>
<ds:datastoreItem xmlns:ds="http://schemas.openxmlformats.org/officeDocument/2006/customXml" ds:itemID="{D3D78063-1204-423A-BD10-80C2072EF9EC}">
  <ds:schemaRefs/>
</ds:datastoreItem>
</file>

<file path=customXml/itemProps4.xml><?xml version="1.0" encoding="utf-8"?>
<ds:datastoreItem xmlns:ds="http://schemas.openxmlformats.org/officeDocument/2006/customXml" ds:itemID="{470E914A-80ED-47AA-A111-28A29D9D124E}">
  <ds:schemaRefs/>
</ds:datastoreItem>
</file>

<file path=customXml/itemProps5.xml><?xml version="1.0" encoding="utf-8"?>
<ds:datastoreItem xmlns:ds="http://schemas.openxmlformats.org/officeDocument/2006/customXml" ds:itemID="{36089603-80E3-456D-8FB5-9705BC75E771}">
  <ds:schemaRefs/>
</ds:datastoreItem>
</file>

<file path=customXml/itemProps6.xml><?xml version="1.0" encoding="utf-8"?>
<ds:datastoreItem xmlns:ds="http://schemas.openxmlformats.org/officeDocument/2006/customXml" ds:itemID="{F03E87A3-C0A2-438B-B03E-E9EEC38BBC2D}">
  <ds:schemaRefs/>
</ds:datastoreItem>
</file>

<file path=customXml/itemProps7.xml><?xml version="1.0" encoding="utf-8"?>
<ds:datastoreItem xmlns:ds="http://schemas.openxmlformats.org/officeDocument/2006/customXml" ds:itemID="{8250FC43-6976-420B-8FA1-573776A0ECD2}">
  <ds:schemaRefs/>
</ds:datastoreItem>
</file>

<file path=customXml/itemProps8.xml><?xml version="1.0" encoding="utf-8"?>
<ds:datastoreItem xmlns:ds="http://schemas.openxmlformats.org/officeDocument/2006/customXml" ds:itemID="{B7721058-E4EF-48FE-B9EB-05366F858EE2}">
  <ds:schemaRefs/>
</ds:datastoreItem>
</file>

<file path=customXml/itemProps9.xml><?xml version="1.0" encoding="utf-8"?>
<ds:datastoreItem xmlns:ds="http://schemas.openxmlformats.org/officeDocument/2006/customXml" ds:itemID="{4C84A5AA-6CCE-4267-B555-CE6FB03EFCB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2199</Words>
  <Characters>12535</Characters>
  <Lines>104</Lines>
  <Paragraphs>29</Paragraphs>
  <TotalTime>0</TotalTime>
  <ScaleCrop>false</ScaleCrop>
  <LinksUpToDate>false</LinksUpToDate>
  <CharactersWithSpaces>14705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2023-03-15T07:10:00Z</dcterms:created>
  <dc:creator>Liz</dc:creator>
  <cp:lastModifiedBy>lenovo</cp:lastModifiedBy>
  <dcterms:modified xsi:type="dcterms:W3CDTF">2023-03-21T08:17:55Z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D41A233A746E4F438649778398D18936</vt:lpwstr>
  </property>
</Properties>
</file>