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786.12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239.01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r>
              <w:t>492.73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786.12</w:t>
            </w:r>
          </w:p>
        </w:tc>
        <w:tc>
          <w:tcPr>
            <w:tcW w:w="4535" w:type="dxa"/>
            <w:vAlign w:val="center"/>
          </w:tcPr>
          <w:p>
            <w:pPr>
              <w:pStyle w:val="19"/>
            </w:pPr>
            <w:r>
              <w:t>本年支出合计</w:t>
            </w:r>
          </w:p>
        </w:tc>
        <w:tc>
          <w:tcPr>
            <w:tcW w:w="2126" w:type="dxa"/>
            <w:vAlign w:val="center"/>
          </w:tcPr>
          <w:p>
            <w:pPr>
              <w:pStyle w:val="20"/>
            </w:pPr>
            <w:r>
              <w:t>786.12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786.12</w:t>
            </w:r>
          </w:p>
        </w:tc>
        <w:tc>
          <w:tcPr>
            <w:tcW w:w="4535" w:type="dxa"/>
            <w:vAlign w:val="center"/>
          </w:tcPr>
          <w:p>
            <w:pPr>
              <w:pStyle w:val="19"/>
            </w:pPr>
            <w:r>
              <w:t>支出总计</w:t>
            </w:r>
          </w:p>
        </w:tc>
        <w:tc>
          <w:tcPr>
            <w:tcW w:w="2126" w:type="dxa"/>
            <w:vAlign w:val="center"/>
          </w:tcPr>
          <w:p>
            <w:pPr>
              <w:pStyle w:val="20"/>
            </w:pPr>
            <w:r>
              <w:t>786.12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786.12</w:t>
            </w:r>
          </w:p>
        </w:tc>
        <w:tc>
          <w:tcPr>
            <w:tcW w:w="1134" w:type="dxa"/>
            <w:vAlign w:val="center"/>
          </w:tcPr>
          <w:p>
            <w:pPr>
              <w:pStyle w:val="20"/>
            </w:pPr>
            <w:r>
              <w:t>786.12</w:t>
            </w:r>
          </w:p>
        </w:tc>
        <w:tc>
          <w:tcPr>
            <w:tcW w:w="1134" w:type="dxa"/>
            <w:vAlign w:val="center"/>
          </w:tcPr>
          <w:p>
            <w:pPr>
              <w:pStyle w:val="20"/>
            </w:pPr>
            <w:r>
              <w:t>786.12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192.04</w:t>
            </w:r>
          </w:p>
        </w:tc>
        <w:tc>
          <w:tcPr>
            <w:tcW w:w="1134" w:type="dxa"/>
            <w:vAlign w:val="center"/>
          </w:tcPr>
          <w:p>
            <w:pPr>
              <w:pStyle w:val="16"/>
            </w:pPr>
            <w:r>
              <w:t>192.04</w:t>
            </w:r>
          </w:p>
        </w:tc>
        <w:tc>
          <w:tcPr>
            <w:tcW w:w="1134" w:type="dxa"/>
            <w:vAlign w:val="center"/>
          </w:tcPr>
          <w:p>
            <w:pPr>
              <w:pStyle w:val="16"/>
            </w:pPr>
            <w:r>
              <w:t>192.04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46.97</w:t>
            </w:r>
          </w:p>
        </w:tc>
        <w:tc>
          <w:tcPr>
            <w:tcW w:w="1134" w:type="dxa"/>
            <w:vAlign w:val="center"/>
          </w:tcPr>
          <w:p>
            <w:pPr>
              <w:pStyle w:val="16"/>
            </w:pPr>
            <w:r>
              <w:t>46.97</w:t>
            </w:r>
          </w:p>
        </w:tc>
        <w:tc>
          <w:tcPr>
            <w:tcW w:w="1134" w:type="dxa"/>
            <w:vAlign w:val="center"/>
          </w:tcPr>
          <w:p>
            <w:pPr>
              <w:pStyle w:val="16"/>
            </w:pPr>
            <w:r>
              <w:t>46.97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216</w:t>
            </w:r>
          </w:p>
        </w:tc>
        <w:tc>
          <w:tcPr>
            <w:tcW w:w="1559" w:type="dxa"/>
            <w:vAlign w:val="center"/>
          </w:tcPr>
          <w:p>
            <w:pPr>
              <w:pStyle w:val="17"/>
            </w:pPr>
            <w:r>
              <w:t>商业服务业等支出</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21602</w:t>
            </w:r>
          </w:p>
        </w:tc>
        <w:tc>
          <w:tcPr>
            <w:tcW w:w="1559" w:type="dxa"/>
            <w:vAlign w:val="center"/>
          </w:tcPr>
          <w:p>
            <w:pPr>
              <w:pStyle w:val="17"/>
            </w:pPr>
            <w:r>
              <w:t>商业流通事务</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2160201</w:t>
            </w:r>
          </w:p>
        </w:tc>
        <w:tc>
          <w:tcPr>
            <w:tcW w:w="1559" w:type="dxa"/>
            <w:vAlign w:val="center"/>
          </w:tcPr>
          <w:p>
            <w:pPr>
              <w:pStyle w:val="17"/>
            </w:pPr>
            <w:r>
              <w:t>行政运行</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786.12</w:t>
            </w:r>
          </w:p>
        </w:tc>
        <w:tc>
          <w:tcPr>
            <w:tcW w:w="1361" w:type="dxa"/>
            <w:vAlign w:val="center"/>
          </w:tcPr>
          <w:p>
            <w:pPr>
              <w:pStyle w:val="20"/>
            </w:pPr>
            <w:r>
              <w:t>756.22</w:t>
            </w:r>
          </w:p>
        </w:tc>
        <w:tc>
          <w:tcPr>
            <w:tcW w:w="1361" w:type="dxa"/>
            <w:vAlign w:val="center"/>
          </w:tcPr>
          <w:p>
            <w:pPr>
              <w:pStyle w:val="20"/>
            </w:pPr>
            <w:r>
              <w:t>29.90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239.01</w:t>
            </w:r>
          </w:p>
        </w:tc>
        <w:tc>
          <w:tcPr>
            <w:tcW w:w="1361" w:type="dxa"/>
            <w:vAlign w:val="center"/>
          </w:tcPr>
          <w:p>
            <w:pPr>
              <w:pStyle w:val="16"/>
            </w:pPr>
            <w:r>
              <w:t>239.01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239.01</w:t>
            </w:r>
          </w:p>
        </w:tc>
        <w:tc>
          <w:tcPr>
            <w:tcW w:w="1361" w:type="dxa"/>
            <w:vAlign w:val="center"/>
          </w:tcPr>
          <w:p>
            <w:pPr>
              <w:pStyle w:val="16"/>
            </w:pPr>
            <w:r>
              <w:t>239.01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192.04</w:t>
            </w:r>
          </w:p>
        </w:tc>
        <w:tc>
          <w:tcPr>
            <w:tcW w:w="1361" w:type="dxa"/>
            <w:vAlign w:val="center"/>
          </w:tcPr>
          <w:p>
            <w:pPr>
              <w:pStyle w:val="16"/>
            </w:pPr>
            <w:r>
              <w:t>192.04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46.97</w:t>
            </w:r>
          </w:p>
        </w:tc>
        <w:tc>
          <w:tcPr>
            <w:tcW w:w="1361" w:type="dxa"/>
            <w:vAlign w:val="center"/>
          </w:tcPr>
          <w:p>
            <w:pPr>
              <w:pStyle w:val="16"/>
            </w:pPr>
            <w:r>
              <w:t>46.97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15.34</w:t>
            </w:r>
          </w:p>
        </w:tc>
        <w:tc>
          <w:tcPr>
            <w:tcW w:w="1361" w:type="dxa"/>
            <w:vAlign w:val="center"/>
          </w:tcPr>
          <w:p>
            <w:pPr>
              <w:pStyle w:val="16"/>
            </w:pPr>
            <w:r>
              <w:t>15.34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15.34</w:t>
            </w:r>
          </w:p>
        </w:tc>
        <w:tc>
          <w:tcPr>
            <w:tcW w:w="1361" w:type="dxa"/>
            <w:vAlign w:val="center"/>
          </w:tcPr>
          <w:p>
            <w:pPr>
              <w:pStyle w:val="16"/>
            </w:pPr>
            <w:r>
              <w:t>15.34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15.34</w:t>
            </w:r>
          </w:p>
        </w:tc>
        <w:tc>
          <w:tcPr>
            <w:tcW w:w="1361" w:type="dxa"/>
            <w:vAlign w:val="center"/>
          </w:tcPr>
          <w:p>
            <w:pPr>
              <w:pStyle w:val="16"/>
            </w:pPr>
            <w:r>
              <w:t>15.34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216</w:t>
            </w:r>
          </w:p>
        </w:tc>
        <w:tc>
          <w:tcPr>
            <w:tcW w:w="4535" w:type="dxa"/>
            <w:vAlign w:val="center"/>
          </w:tcPr>
          <w:p>
            <w:pPr>
              <w:pStyle w:val="17"/>
            </w:pPr>
            <w:r>
              <w:t>商业服务业等支出</w:t>
            </w:r>
          </w:p>
        </w:tc>
        <w:tc>
          <w:tcPr>
            <w:tcW w:w="1361" w:type="dxa"/>
            <w:vAlign w:val="center"/>
          </w:tcPr>
          <w:p>
            <w:pPr>
              <w:pStyle w:val="16"/>
            </w:pPr>
            <w:r>
              <w:t>492.73</w:t>
            </w:r>
          </w:p>
        </w:tc>
        <w:tc>
          <w:tcPr>
            <w:tcW w:w="1361" w:type="dxa"/>
            <w:vAlign w:val="center"/>
          </w:tcPr>
          <w:p>
            <w:pPr>
              <w:pStyle w:val="16"/>
            </w:pPr>
            <w:r>
              <w:t>462.83</w:t>
            </w:r>
          </w:p>
        </w:tc>
        <w:tc>
          <w:tcPr>
            <w:tcW w:w="1361" w:type="dxa"/>
            <w:vAlign w:val="center"/>
          </w:tcPr>
          <w:p>
            <w:pPr>
              <w:pStyle w:val="16"/>
            </w:pPr>
            <w:r>
              <w:t>29.90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21602</w:t>
            </w:r>
          </w:p>
        </w:tc>
        <w:tc>
          <w:tcPr>
            <w:tcW w:w="4535" w:type="dxa"/>
            <w:vAlign w:val="center"/>
          </w:tcPr>
          <w:p>
            <w:pPr>
              <w:pStyle w:val="17"/>
            </w:pPr>
            <w:r>
              <w:t>商业流通事务</w:t>
            </w:r>
          </w:p>
        </w:tc>
        <w:tc>
          <w:tcPr>
            <w:tcW w:w="1361" w:type="dxa"/>
            <w:vAlign w:val="center"/>
          </w:tcPr>
          <w:p>
            <w:pPr>
              <w:pStyle w:val="16"/>
            </w:pPr>
            <w:r>
              <w:t>492.73</w:t>
            </w:r>
          </w:p>
        </w:tc>
        <w:tc>
          <w:tcPr>
            <w:tcW w:w="1361" w:type="dxa"/>
            <w:vAlign w:val="center"/>
          </w:tcPr>
          <w:p>
            <w:pPr>
              <w:pStyle w:val="16"/>
            </w:pPr>
            <w:r>
              <w:t>462.83</w:t>
            </w:r>
          </w:p>
        </w:tc>
        <w:tc>
          <w:tcPr>
            <w:tcW w:w="1361" w:type="dxa"/>
            <w:vAlign w:val="center"/>
          </w:tcPr>
          <w:p>
            <w:pPr>
              <w:pStyle w:val="16"/>
            </w:pPr>
            <w:r>
              <w:t>29.90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2160201</w:t>
            </w:r>
          </w:p>
        </w:tc>
        <w:tc>
          <w:tcPr>
            <w:tcW w:w="4535" w:type="dxa"/>
            <w:vAlign w:val="center"/>
          </w:tcPr>
          <w:p>
            <w:pPr>
              <w:pStyle w:val="17"/>
            </w:pPr>
            <w:r>
              <w:t>行政运行</w:t>
            </w:r>
          </w:p>
        </w:tc>
        <w:tc>
          <w:tcPr>
            <w:tcW w:w="1361" w:type="dxa"/>
            <w:vAlign w:val="center"/>
          </w:tcPr>
          <w:p>
            <w:pPr>
              <w:pStyle w:val="16"/>
            </w:pPr>
            <w:r>
              <w:t>492.73</w:t>
            </w:r>
          </w:p>
        </w:tc>
        <w:tc>
          <w:tcPr>
            <w:tcW w:w="1361" w:type="dxa"/>
            <w:vAlign w:val="center"/>
          </w:tcPr>
          <w:p>
            <w:pPr>
              <w:pStyle w:val="16"/>
            </w:pPr>
            <w:r>
              <w:t>462.83</w:t>
            </w:r>
          </w:p>
        </w:tc>
        <w:tc>
          <w:tcPr>
            <w:tcW w:w="1361" w:type="dxa"/>
            <w:vAlign w:val="center"/>
          </w:tcPr>
          <w:p>
            <w:pPr>
              <w:pStyle w:val="16"/>
            </w:pPr>
            <w:r>
              <w:t>29.90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39.03</w:t>
            </w:r>
          </w:p>
        </w:tc>
        <w:tc>
          <w:tcPr>
            <w:tcW w:w="1361" w:type="dxa"/>
            <w:vAlign w:val="center"/>
          </w:tcPr>
          <w:p>
            <w:pPr>
              <w:pStyle w:val="16"/>
            </w:pPr>
            <w:r>
              <w:t>39.03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39.03</w:t>
            </w:r>
          </w:p>
        </w:tc>
        <w:tc>
          <w:tcPr>
            <w:tcW w:w="1361" w:type="dxa"/>
            <w:vAlign w:val="center"/>
          </w:tcPr>
          <w:p>
            <w:pPr>
              <w:pStyle w:val="16"/>
            </w:pPr>
            <w:r>
              <w:t>39.03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39.03</w:t>
            </w:r>
          </w:p>
        </w:tc>
        <w:tc>
          <w:tcPr>
            <w:tcW w:w="1361" w:type="dxa"/>
            <w:vAlign w:val="center"/>
          </w:tcPr>
          <w:p>
            <w:pPr>
              <w:pStyle w:val="16"/>
            </w:pPr>
            <w:r>
              <w:t>39.03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786.12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239.01</w:t>
            </w:r>
          </w:p>
        </w:tc>
        <w:tc>
          <w:tcPr>
            <w:tcW w:w="1474" w:type="dxa"/>
            <w:vAlign w:val="center"/>
          </w:tcPr>
          <w:p>
            <w:pPr>
              <w:pStyle w:val="16"/>
            </w:pPr>
            <w:r>
              <w:t>239.01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15.34</w:t>
            </w:r>
          </w:p>
        </w:tc>
        <w:tc>
          <w:tcPr>
            <w:tcW w:w="1474" w:type="dxa"/>
            <w:vAlign w:val="center"/>
          </w:tcPr>
          <w:p>
            <w:pPr>
              <w:pStyle w:val="16"/>
            </w:pPr>
            <w:r>
              <w:t>15.34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r>
              <w:t>492.73</w:t>
            </w:r>
          </w:p>
        </w:tc>
        <w:tc>
          <w:tcPr>
            <w:tcW w:w="1474" w:type="dxa"/>
            <w:vAlign w:val="center"/>
          </w:tcPr>
          <w:p>
            <w:pPr>
              <w:pStyle w:val="16"/>
            </w:pPr>
            <w:r>
              <w:t>492.73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39.03</w:t>
            </w:r>
          </w:p>
        </w:tc>
        <w:tc>
          <w:tcPr>
            <w:tcW w:w="1474" w:type="dxa"/>
            <w:vAlign w:val="center"/>
          </w:tcPr>
          <w:p>
            <w:pPr>
              <w:pStyle w:val="16"/>
            </w:pPr>
            <w:r>
              <w:t>39.03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786.12</w:t>
            </w:r>
          </w:p>
        </w:tc>
        <w:tc>
          <w:tcPr>
            <w:tcW w:w="3402" w:type="dxa"/>
            <w:vAlign w:val="center"/>
          </w:tcPr>
          <w:p>
            <w:pPr>
              <w:pStyle w:val="19"/>
            </w:pPr>
            <w:r>
              <w:t>本年支出合计</w:t>
            </w:r>
          </w:p>
        </w:tc>
        <w:tc>
          <w:tcPr>
            <w:tcW w:w="1474" w:type="dxa"/>
            <w:vAlign w:val="center"/>
          </w:tcPr>
          <w:p>
            <w:pPr>
              <w:pStyle w:val="20"/>
            </w:pPr>
            <w:r>
              <w:t>786.12</w:t>
            </w:r>
          </w:p>
        </w:tc>
        <w:tc>
          <w:tcPr>
            <w:tcW w:w="1474" w:type="dxa"/>
            <w:vAlign w:val="center"/>
          </w:tcPr>
          <w:p>
            <w:pPr>
              <w:pStyle w:val="20"/>
            </w:pPr>
            <w:r>
              <w:t>786.12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786.12</w:t>
            </w:r>
          </w:p>
        </w:tc>
        <w:tc>
          <w:tcPr>
            <w:tcW w:w="3402" w:type="dxa"/>
            <w:vAlign w:val="center"/>
          </w:tcPr>
          <w:p>
            <w:pPr>
              <w:pStyle w:val="19"/>
            </w:pPr>
            <w:r>
              <w:t>支出总计</w:t>
            </w:r>
          </w:p>
        </w:tc>
        <w:tc>
          <w:tcPr>
            <w:tcW w:w="1474" w:type="dxa"/>
            <w:vAlign w:val="center"/>
          </w:tcPr>
          <w:p>
            <w:pPr>
              <w:pStyle w:val="20"/>
            </w:pPr>
            <w:r>
              <w:t>786.12</w:t>
            </w:r>
          </w:p>
        </w:tc>
        <w:tc>
          <w:tcPr>
            <w:tcW w:w="1474" w:type="dxa"/>
            <w:vAlign w:val="center"/>
          </w:tcPr>
          <w:p>
            <w:pPr>
              <w:pStyle w:val="20"/>
            </w:pPr>
            <w:r>
              <w:t>786.12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786.12</w:t>
            </w:r>
          </w:p>
        </w:tc>
        <w:tc>
          <w:tcPr>
            <w:tcW w:w="2551" w:type="dxa"/>
            <w:vAlign w:val="center"/>
          </w:tcPr>
          <w:p>
            <w:pPr>
              <w:pStyle w:val="20"/>
            </w:pPr>
            <w:r>
              <w:t>756.22</w:t>
            </w:r>
          </w:p>
        </w:tc>
        <w:tc>
          <w:tcPr>
            <w:tcW w:w="2551" w:type="dxa"/>
            <w:vAlign w:val="center"/>
          </w:tcPr>
          <w:p>
            <w:pPr>
              <w:pStyle w:val="20"/>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239.01</w:t>
            </w:r>
          </w:p>
        </w:tc>
        <w:tc>
          <w:tcPr>
            <w:tcW w:w="2551" w:type="dxa"/>
            <w:vAlign w:val="center"/>
          </w:tcPr>
          <w:p>
            <w:pPr>
              <w:pStyle w:val="16"/>
            </w:pPr>
            <w:r>
              <w:t>239.01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239.01</w:t>
            </w:r>
          </w:p>
        </w:tc>
        <w:tc>
          <w:tcPr>
            <w:tcW w:w="2551" w:type="dxa"/>
            <w:vAlign w:val="center"/>
          </w:tcPr>
          <w:p>
            <w:pPr>
              <w:pStyle w:val="16"/>
            </w:pPr>
            <w:r>
              <w:t>239.01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192.04</w:t>
            </w:r>
          </w:p>
        </w:tc>
        <w:tc>
          <w:tcPr>
            <w:tcW w:w="2551" w:type="dxa"/>
            <w:vAlign w:val="center"/>
          </w:tcPr>
          <w:p>
            <w:pPr>
              <w:pStyle w:val="16"/>
            </w:pPr>
            <w:r>
              <w:t>192.04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46.97</w:t>
            </w:r>
          </w:p>
        </w:tc>
        <w:tc>
          <w:tcPr>
            <w:tcW w:w="2551" w:type="dxa"/>
            <w:vAlign w:val="center"/>
          </w:tcPr>
          <w:p>
            <w:pPr>
              <w:pStyle w:val="16"/>
            </w:pPr>
            <w:r>
              <w:t>46.97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15.34</w:t>
            </w:r>
          </w:p>
        </w:tc>
        <w:tc>
          <w:tcPr>
            <w:tcW w:w="2551" w:type="dxa"/>
            <w:vAlign w:val="center"/>
          </w:tcPr>
          <w:p>
            <w:pPr>
              <w:pStyle w:val="16"/>
            </w:pPr>
            <w:r>
              <w:t>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15.34</w:t>
            </w:r>
          </w:p>
        </w:tc>
        <w:tc>
          <w:tcPr>
            <w:tcW w:w="2551" w:type="dxa"/>
            <w:vAlign w:val="center"/>
          </w:tcPr>
          <w:p>
            <w:pPr>
              <w:pStyle w:val="16"/>
            </w:pPr>
            <w:r>
              <w:t>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15.34</w:t>
            </w:r>
          </w:p>
        </w:tc>
        <w:tc>
          <w:tcPr>
            <w:tcW w:w="2551" w:type="dxa"/>
            <w:vAlign w:val="center"/>
          </w:tcPr>
          <w:p>
            <w:pPr>
              <w:pStyle w:val="16"/>
            </w:pPr>
            <w:r>
              <w:t>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216</w:t>
            </w:r>
          </w:p>
        </w:tc>
        <w:tc>
          <w:tcPr>
            <w:tcW w:w="4535" w:type="dxa"/>
            <w:vAlign w:val="center"/>
          </w:tcPr>
          <w:p>
            <w:pPr>
              <w:pStyle w:val="17"/>
            </w:pPr>
            <w:r>
              <w:t>商业服务业等支出</w:t>
            </w:r>
          </w:p>
        </w:tc>
        <w:tc>
          <w:tcPr>
            <w:tcW w:w="2551" w:type="dxa"/>
            <w:vAlign w:val="center"/>
          </w:tcPr>
          <w:p>
            <w:pPr>
              <w:pStyle w:val="16"/>
            </w:pPr>
            <w:r>
              <w:t>492.73</w:t>
            </w:r>
          </w:p>
        </w:tc>
        <w:tc>
          <w:tcPr>
            <w:tcW w:w="2551" w:type="dxa"/>
            <w:vAlign w:val="center"/>
          </w:tcPr>
          <w:p>
            <w:pPr>
              <w:pStyle w:val="16"/>
            </w:pPr>
            <w:r>
              <w:t>462.83</w:t>
            </w:r>
          </w:p>
        </w:tc>
        <w:tc>
          <w:tcPr>
            <w:tcW w:w="2551" w:type="dxa"/>
            <w:vAlign w:val="center"/>
          </w:tcPr>
          <w:p>
            <w:pPr>
              <w:pStyle w:val="16"/>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21602</w:t>
            </w:r>
          </w:p>
        </w:tc>
        <w:tc>
          <w:tcPr>
            <w:tcW w:w="4535" w:type="dxa"/>
            <w:vAlign w:val="center"/>
          </w:tcPr>
          <w:p>
            <w:pPr>
              <w:pStyle w:val="17"/>
            </w:pPr>
            <w:r>
              <w:t>商业流通事务</w:t>
            </w:r>
          </w:p>
        </w:tc>
        <w:tc>
          <w:tcPr>
            <w:tcW w:w="2551" w:type="dxa"/>
            <w:vAlign w:val="center"/>
          </w:tcPr>
          <w:p>
            <w:pPr>
              <w:pStyle w:val="16"/>
            </w:pPr>
            <w:r>
              <w:t>492.73</w:t>
            </w:r>
          </w:p>
        </w:tc>
        <w:tc>
          <w:tcPr>
            <w:tcW w:w="2551" w:type="dxa"/>
            <w:vAlign w:val="center"/>
          </w:tcPr>
          <w:p>
            <w:pPr>
              <w:pStyle w:val="16"/>
            </w:pPr>
            <w:r>
              <w:t>462.83</w:t>
            </w:r>
          </w:p>
        </w:tc>
        <w:tc>
          <w:tcPr>
            <w:tcW w:w="2551" w:type="dxa"/>
            <w:vAlign w:val="center"/>
          </w:tcPr>
          <w:p>
            <w:pPr>
              <w:pStyle w:val="16"/>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2160201</w:t>
            </w:r>
          </w:p>
        </w:tc>
        <w:tc>
          <w:tcPr>
            <w:tcW w:w="4535" w:type="dxa"/>
            <w:vAlign w:val="center"/>
          </w:tcPr>
          <w:p>
            <w:pPr>
              <w:pStyle w:val="17"/>
            </w:pPr>
            <w:r>
              <w:t>行政运行</w:t>
            </w:r>
          </w:p>
        </w:tc>
        <w:tc>
          <w:tcPr>
            <w:tcW w:w="2551" w:type="dxa"/>
            <w:vAlign w:val="center"/>
          </w:tcPr>
          <w:p>
            <w:pPr>
              <w:pStyle w:val="16"/>
            </w:pPr>
            <w:r>
              <w:t>492.73</w:t>
            </w:r>
          </w:p>
        </w:tc>
        <w:tc>
          <w:tcPr>
            <w:tcW w:w="2551" w:type="dxa"/>
            <w:vAlign w:val="center"/>
          </w:tcPr>
          <w:p>
            <w:pPr>
              <w:pStyle w:val="16"/>
            </w:pPr>
            <w:r>
              <w:t>462.83</w:t>
            </w:r>
          </w:p>
        </w:tc>
        <w:tc>
          <w:tcPr>
            <w:tcW w:w="2551" w:type="dxa"/>
            <w:vAlign w:val="center"/>
          </w:tcPr>
          <w:p>
            <w:pPr>
              <w:pStyle w:val="16"/>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756.22</w:t>
            </w:r>
          </w:p>
        </w:tc>
        <w:tc>
          <w:tcPr>
            <w:tcW w:w="2551" w:type="dxa"/>
            <w:vAlign w:val="center"/>
          </w:tcPr>
          <w:p>
            <w:pPr>
              <w:pStyle w:val="20"/>
            </w:pPr>
            <w:r>
              <w:t>697.28</w:t>
            </w:r>
          </w:p>
        </w:tc>
        <w:tc>
          <w:tcPr>
            <w:tcW w:w="2551" w:type="dxa"/>
            <w:vAlign w:val="center"/>
          </w:tcPr>
          <w:p>
            <w:pPr>
              <w:pStyle w:val="20"/>
            </w:pPr>
            <w:r>
              <w:t>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501.54</w:t>
            </w:r>
          </w:p>
        </w:tc>
        <w:tc>
          <w:tcPr>
            <w:tcW w:w="2551" w:type="dxa"/>
            <w:vAlign w:val="center"/>
          </w:tcPr>
          <w:p>
            <w:pPr>
              <w:pStyle w:val="16"/>
            </w:pPr>
            <w:r>
              <w:t>501.54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132.01</w:t>
            </w:r>
          </w:p>
        </w:tc>
        <w:tc>
          <w:tcPr>
            <w:tcW w:w="2551" w:type="dxa"/>
            <w:vAlign w:val="center"/>
          </w:tcPr>
          <w:p>
            <w:pPr>
              <w:pStyle w:val="16"/>
            </w:pPr>
            <w:r>
              <w:t>132.01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159.83</w:t>
            </w:r>
          </w:p>
        </w:tc>
        <w:tc>
          <w:tcPr>
            <w:tcW w:w="2551" w:type="dxa"/>
            <w:vAlign w:val="center"/>
          </w:tcPr>
          <w:p>
            <w:pPr>
              <w:pStyle w:val="16"/>
            </w:pPr>
            <w:r>
              <w:t>159.83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100.04</w:t>
            </w:r>
          </w:p>
        </w:tc>
        <w:tc>
          <w:tcPr>
            <w:tcW w:w="2551" w:type="dxa"/>
            <w:vAlign w:val="center"/>
          </w:tcPr>
          <w:p>
            <w:pPr>
              <w:pStyle w:val="16"/>
            </w:pPr>
            <w:r>
              <w:t>100.04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6.56</w:t>
            </w:r>
          </w:p>
        </w:tc>
        <w:tc>
          <w:tcPr>
            <w:tcW w:w="2551" w:type="dxa"/>
            <w:vAlign w:val="center"/>
          </w:tcPr>
          <w:p>
            <w:pPr>
              <w:pStyle w:val="16"/>
            </w:pPr>
            <w:r>
              <w:t>6.56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46.97</w:t>
            </w:r>
          </w:p>
        </w:tc>
        <w:tc>
          <w:tcPr>
            <w:tcW w:w="2551" w:type="dxa"/>
            <w:vAlign w:val="center"/>
          </w:tcPr>
          <w:p>
            <w:pPr>
              <w:pStyle w:val="16"/>
            </w:pPr>
            <w:r>
              <w:t>46.97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15.14</w:t>
            </w:r>
          </w:p>
        </w:tc>
        <w:tc>
          <w:tcPr>
            <w:tcW w:w="2551" w:type="dxa"/>
            <w:vAlign w:val="center"/>
          </w:tcPr>
          <w:p>
            <w:pPr>
              <w:pStyle w:val="16"/>
            </w:pPr>
            <w:r>
              <w:t>15.14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1.37</w:t>
            </w:r>
          </w:p>
        </w:tc>
        <w:tc>
          <w:tcPr>
            <w:tcW w:w="2551" w:type="dxa"/>
            <w:vAlign w:val="center"/>
          </w:tcPr>
          <w:p>
            <w:pPr>
              <w:pStyle w:val="16"/>
            </w:pPr>
            <w:r>
              <w:t>1.37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0.58</w:t>
            </w:r>
          </w:p>
        </w:tc>
        <w:tc>
          <w:tcPr>
            <w:tcW w:w="2551" w:type="dxa"/>
            <w:vAlign w:val="center"/>
          </w:tcPr>
          <w:p>
            <w:pPr>
              <w:pStyle w:val="16"/>
            </w:pPr>
            <w:r>
              <w:t>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58.94</w:t>
            </w:r>
          </w:p>
        </w:tc>
        <w:tc>
          <w:tcPr>
            <w:tcW w:w="2551" w:type="dxa"/>
            <w:vAlign w:val="center"/>
          </w:tcPr>
          <w:p>
            <w:pPr>
              <w:pStyle w:val="16"/>
            </w:pPr>
          </w:p>
        </w:tc>
        <w:tc>
          <w:tcPr>
            <w:tcW w:w="2551" w:type="dxa"/>
            <w:vAlign w:val="center"/>
          </w:tcPr>
          <w:p>
            <w:pPr>
              <w:pStyle w:val="16"/>
            </w:pPr>
            <w:r>
              <w:t>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0.40</w:t>
            </w:r>
          </w:p>
        </w:tc>
        <w:tc>
          <w:tcPr>
            <w:tcW w:w="2551" w:type="dxa"/>
            <w:vAlign w:val="center"/>
          </w:tcPr>
          <w:p>
            <w:pPr>
              <w:pStyle w:val="16"/>
            </w:pPr>
          </w:p>
        </w:tc>
        <w:tc>
          <w:tcPr>
            <w:tcW w:w="2551"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1.06</w:t>
            </w:r>
          </w:p>
        </w:tc>
        <w:tc>
          <w:tcPr>
            <w:tcW w:w="2551" w:type="dxa"/>
            <w:vAlign w:val="center"/>
          </w:tcPr>
          <w:p>
            <w:pPr>
              <w:pStyle w:val="16"/>
            </w:pPr>
          </w:p>
        </w:tc>
        <w:tc>
          <w:tcPr>
            <w:tcW w:w="2551" w:type="dxa"/>
            <w:vAlign w:val="center"/>
          </w:tcPr>
          <w:p>
            <w:pPr>
              <w:pStyle w:val="16"/>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2.97</w:t>
            </w:r>
          </w:p>
        </w:tc>
        <w:tc>
          <w:tcPr>
            <w:tcW w:w="2551" w:type="dxa"/>
            <w:vAlign w:val="center"/>
          </w:tcPr>
          <w:p>
            <w:pPr>
              <w:pStyle w:val="16"/>
            </w:pPr>
          </w:p>
        </w:tc>
        <w:tc>
          <w:tcPr>
            <w:tcW w:w="2551" w:type="dxa"/>
            <w:vAlign w:val="center"/>
          </w:tcPr>
          <w:p>
            <w:pPr>
              <w:pStyle w:val="16"/>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18.33</w:t>
            </w:r>
          </w:p>
        </w:tc>
        <w:tc>
          <w:tcPr>
            <w:tcW w:w="2551" w:type="dxa"/>
            <w:vAlign w:val="center"/>
          </w:tcPr>
          <w:p>
            <w:pPr>
              <w:pStyle w:val="16"/>
            </w:pPr>
          </w:p>
        </w:tc>
        <w:tc>
          <w:tcPr>
            <w:tcW w:w="2551" w:type="dxa"/>
            <w:vAlign w:val="center"/>
          </w:tcPr>
          <w:p>
            <w:pPr>
              <w:pStyle w:val="16"/>
            </w:pPr>
            <w: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1.91</w:t>
            </w:r>
          </w:p>
        </w:tc>
        <w:tc>
          <w:tcPr>
            <w:tcW w:w="2551" w:type="dxa"/>
            <w:vAlign w:val="center"/>
          </w:tcPr>
          <w:p>
            <w:pPr>
              <w:pStyle w:val="16"/>
            </w:pPr>
          </w:p>
        </w:tc>
        <w:tc>
          <w:tcPr>
            <w:tcW w:w="2551" w:type="dxa"/>
            <w:vAlign w:val="center"/>
          </w:tcPr>
          <w:p>
            <w:pPr>
              <w:pStyle w:val="16"/>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0.33</w:t>
            </w:r>
          </w:p>
        </w:tc>
        <w:tc>
          <w:tcPr>
            <w:tcW w:w="2551" w:type="dxa"/>
            <w:vAlign w:val="center"/>
          </w:tcPr>
          <w:p>
            <w:pPr>
              <w:pStyle w:val="16"/>
            </w:pPr>
          </w:p>
        </w:tc>
        <w:tc>
          <w:tcPr>
            <w:tcW w:w="2551" w:type="dxa"/>
            <w:vAlign w:val="center"/>
          </w:tcPr>
          <w:p>
            <w:pPr>
              <w:pStyle w:val="16"/>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2.71</w:t>
            </w:r>
          </w:p>
        </w:tc>
        <w:tc>
          <w:tcPr>
            <w:tcW w:w="2551" w:type="dxa"/>
            <w:vAlign w:val="center"/>
          </w:tcPr>
          <w:p>
            <w:pPr>
              <w:pStyle w:val="16"/>
            </w:pPr>
          </w:p>
        </w:tc>
        <w:tc>
          <w:tcPr>
            <w:tcW w:w="2551" w:type="dxa"/>
            <w:vAlign w:val="center"/>
          </w:tcPr>
          <w:p>
            <w:pPr>
              <w:pStyle w:val="16"/>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2.40</w:t>
            </w:r>
          </w:p>
        </w:tc>
        <w:tc>
          <w:tcPr>
            <w:tcW w:w="2551" w:type="dxa"/>
            <w:vAlign w:val="center"/>
          </w:tcPr>
          <w:p>
            <w:pPr>
              <w:pStyle w:val="16"/>
            </w:pPr>
          </w:p>
        </w:tc>
        <w:tc>
          <w:tcPr>
            <w:tcW w:w="2551"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16.08</w:t>
            </w:r>
          </w:p>
        </w:tc>
        <w:tc>
          <w:tcPr>
            <w:tcW w:w="2551" w:type="dxa"/>
            <w:vAlign w:val="center"/>
          </w:tcPr>
          <w:p>
            <w:pPr>
              <w:pStyle w:val="16"/>
            </w:pPr>
          </w:p>
        </w:tc>
        <w:tc>
          <w:tcPr>
            <w:tcW w:w="2551" w:type="dxa"/>
            <w:vAlign w:val="center"/>
          </w:tcPr>
          <w:p>
            <w:pPr>
              <w:pStyle w:val="16"/>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195.74</w:t>
            </w:r>
          </w:p>
        </w:tc>
        <w:tc>
          <w:tcPr>
            <w:tcW w:w="2551" w:type="dxa"/>
            <w:vAlign w:val="center"/>
          </w:tcPr>
          <w:p>
            <w:pPr>
              <w:pStyle w:val="16"/>
            </w:pPr>
            <w:r>
              <w:t>195.74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192.04</w:t>
            </w:r>
          </w:p>
        </w:tc>
        <w:tc>
          <w:tcPr>
            <w:tcW w:w="2551" w:type="dxa"/>
            <w:vAlign w:val="center"/>
          </w:tcPr>
          <w:p>
            <w:pPr>
              <w:pStyle w:val="16"/>
            </w:pPr>
            <w:r>
              <w:t>192.04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3.62</w:t>
            </w:r>
          </w:p>
        </w:tc>
        <w:tc>
          <w:tcPr>
            <w:tcW w:w="2551" w:type="dxa"/>
            <w:vAlign w:val="center"/>
          </w:tcPr>
          <w:p>
            <w:pPr>
              <w:pStyle w:val="16"/>
            </w:pPr>
            <w:r>
              <w:t>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廊坊市广阳区供销合作社联合社2023年部门预算信息公开情况说明</w:t>
      </w:r>
    </w:p>
    <w:p>
      <w:pPr>
        <w:jc w:val="center"/>
      </w:pPr>
      <w:r>
        <w:rPr>
          <w:rFonts w:ascii="方正小标宋_GBK" w:hAnsi="方正小标宋_GBK" w:eastAsia="方正小标宋_GBK" w:cs="方正小标宋_GBK"/>
          <w:color w:val="000000"/>
          <w:sz w:val="44"/>
        </w:rPr>
        <w:t>廊坊市广阳区供销合作社联合社2023年部门预算信息公开情况说明</w:t>
      </w:r>
    </w:p>
    <w:p>
      <w:pPr>
        <w:spacing w:line="500" w:lineRule="exact"/>
        <w:ind w:firstLine="560"/>
      </w:pPr>
      <w:r>
        <w:rPr>
          <w:rFonts w:eastAsia="方正仿宋_GBK"/>
          <w:color w:val="000000"/>
          <w:sz w:val="28"/>
        </w:rPr>
        <w:t>按照《</w:t>
      </w:r>
      <w:r>
        <w:rPr>
          <w:rFonts w:hint="eastAsia" w:eastAsia="方正仿宋_GBK" w:cs="Times New Roman"/>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预算法》、《地方预决算公开操作规程》和《关于进一步推进预算公开工作的实施意见》规定，现将廊坊市广阳区供销合作社联合社2023年部门预算公开如下：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（一）是贯彻区委、区政府有关农村工作和社会发展的方针、政策； </w:t>
      </w:r>
    </w:p>
    <w:p>
      <w:pPr>
        <w:pStyle w:val="22"/>
      </w:pPr>
      <w:r>
        <w:t>（二）是按照区政府授权，对全区废旧再生资源等进行组织、协调和管理；</w:t>
      </w:r>
    </w:p>
    <w:p>
      <w:pPr>
        <w:pStyle w:val="22"/>
      </w:pPr>
      <w:r>
        <w:t>（三）是承办区委、区政府和市供销社交办的其它事项。负责指导全区供销社的业务工作，同时参与、推动和服务农业产业化经营，发展龙头企业、专业合作社和消费合作社，加快农业社会服务体系和农产品市场体系建设，开拓城乡市场。</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廊坊市广阳区供销合作社联合社本级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按照预算管理有关规定，目前我区部门预算的编制实行综合预算管理，即全部收入和支出都反映在预算中。廊坊市广阳区供销合作社联合社机关及所属事业单位的收支包含在部门预算中。</w:t>
      </w:r>
    </w:p>
    <w:p>
      <w:pPr>
        <w:pStyle w:val="23"/>
      </w:pPr>
      <w:r>
        <w:t>1、收入说明</w:t>
      </w:r>
    </w:p>
    <w:p>
      <w:pPr>
        <w:pStyle w:val="23"/>
      </w:pPr>
      <w:r>
        <w:t>反映本部门当年全部收入。2023年预算收入786.12万元，其中：一般公共预算收入786.12万元，基金预算收入0万元，财政专户核拨收入0万元，其他来源收入0万元，上年结转0万元。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供销合作社联合社2023年度部门预算中支出预算的总体情况。2023年支出预算786.12万元，其中：基本支出756.22万元，包括人员经费697.28万元和日常公用经费58.94万元；项目支出29.9万元，全部为本级支出，主要为政府购买农村产权流转交易服务资金的项目。</w:t>
      </w:r>
    </w:p>
    <w:p>
      <w:pPr>
        <w:pStyle w:val="23"/>
      </w:pPr>
      <w:r>
        <w:t>3、比上年增减情况</w:t>
      </w:r>
    </w:p>
    <w:p>
      <w:pPr>
        <w:pStyle w:val="23"/>
      </w:pPr>
      <w:r>
        <w:t>2023年预算收支安排786.12万元，较2022年预算增加61.64万元，其中：基本支出增加63.54万元，增加原因主要为人员经费支出增加；目支出减少1.9万元，减少原因主要为压缩项目经费。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2023年，我部门运行经费共计安排58.94万元，主要用于办公区的日常维修、办公费用、办公用房水电费、办公用房取暖费、邮电费、差旅费、办公用房物业管理费、公务用车运行维护费等日常运行支出。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区供销社将在区政府的正确领导下，以习近平新时代中国特色社会主义思想为指导，深入贯彻党的二十大精神，按照省市区关于深化供销社综合改革的意见，结合广阳区供销社实际，以深化供销合作社综合改革为抓手，紧扣服务“三农”宗旨，扎实推动供销社各项工作实现新突破。</w:t>
      </w:r>
    </w:p>
    <w:p>
      <w:pPr>
        <w:spacing w:line="500" w:lineRule="exact"/>
        <w:ind w:firstLine="560"/>
      </w:pPr>
      <w:r>
        <w:rPr>
          <w:rFonts w:eastAsia="方正仿宋_GBK"/>
          <w:color w:val="000000"/>
          <w:sz w:val="28"/>
        </w:rPr>
        <w:t>（二）分项绩效目标</w:t>
      </w:r>
    </w:p>
    <w:p>
      <w:pPr>
        <w:pStyle w:val="27"/>
      </w:pPr>
      <w:r>
        <w:t>1、保障部门工作正常运转</w:t>
      </w:r>
    </w:p>
    <w:p>
      <w:pPr>
        <w:pStyle w:val="27"/>
      </w:pPr>
      <w:r>
        <w:t>绩效目标：保障单位工作运转正常</w:t>
      </w:r>
    </w:p>
    <w:p>
      <w:pPr>
        <w:pStyle w:val="27"/>
      </w:pPr>
      <w:r>
        <w:t>绩效指标：保障办公人数、资金发放及时性、经费开支标准、机关运转率</w:t>
      </w:r>
    </w:p>
    <w:p>
      <w:pPr>
        <w:pStyle w:val="27"/>
      </w:pPr>
      <w:r>
        <w:t>2、产权交易流转实现新突破</w:t>
      </w:r>
    </w:p>
    <w:p>
      <w:pPr>
        <w:pStyle w:val="27"/>
      </w:pPr>
      <w:r>
        <w:t>绩效目标：凡是农村集体资产、资源流转交易以及集体资金使用等符合条件的须进入全省农村产权交易信息化平台公开流转交易，且决策事项须在村级事务公开平台同步进行公开，切实强化群众监督。力争到2023年底，实现进场交易率达50%以上，交易鉴证额达3000万元以上。</w:t>
      </w:r>
    </w:p>
    <w:p>
      <w:pPr>
        <w:pStyle w:val="27"/>
      </w:pPr>
      <w:r>
        <w:t>绩效指标：进场交易率大于等于50%</w:t>
      </w:r>
    </w:p>
    <w:p>
      <w:pPr>
        <w:pStyle w:val="27"/>
      </w:pPr>
      <w:r>
        <w:t>3、村街综合服务发挥新作用</w:t>
      </w:r>
    </w:p>
    <w:p>
      <w:pPr>
        <w:pStyle w:val="27"/>
      </w:pPr>
      <w:r>
        <w:t>绩效目标：挂牌成立村级基层供销社</w:t>
      </w:r>
    </w:p>
    <w:p>
      <w:pPr>
        <w:pStyle w:val="27"/>
      </w:pPr>
      <w:r>
        <w:t>绩效指标：到2023年底前，计划挂牌建立村级基层供销社10个</w:t>
      </w:r>
    </w:p>
    <w:p>
      <w:pPr>
        <w:pStyle w:val="27"/>
      </w:pPr>
      <w:r>
        <w:t>4、农业专业合作求得新进展</w:t>
      </w:r>
    </w:p>
    <w:p>
      <w:pPr>
        <w:pStyle w:val="27"/>
      </w:pPr>
      <w:r>
        <w:t>绩效目标：区供销社将继续深化供销社综合改革，通过完善组织、强化服务、争取政策、扶持引导等举措，进一步把系统内外的农业产业化龙头企业、农民经纪人、专业协会、农业科技单位等机构吸收进来</w:t>
      </w:r>
    </w:p>
    <w:p>
      <w:pPr>
        <w:pStyle w:val="27"/>
      </w:pPr>
      <w:r>
        <w:t>绩效指标：通过大力宣传、积极引导、强化服务等，宣传专业合作社发展的典型经验和做法，提高广大农民的合作意识，推进农民专业合作社的发展。</w:t>
      </w:r>
    </w:p>
    <w:p>
      <w:pPr>
        <w:pStyle w:val="27"/>
      </w:pPr>
      <w:r>
        <w:t>5、流通网络建设探索新路径</w:t>
      </w:r>
    </w:p>
    <w:p>
      <w:pPr>
        <w:pStyle w:val="27"/>
      </w:pPr>
      <w:r>
        <w:t>绩效目标：2023年，依托廊坊市广阳区物资回收公司的1个再生资源回收市场，12个再生资源回收站点，继续以“两网融合”要求为目标，推动再生资源回收网络和城市生活垃圾分类收集相衔接，促进生活垃圾中可回收部分的收集利用，助推回收市场体系发展壮大。</w:t>
      </w:r>
    </w:p>
    <w:p>
      <w:pPr>
        <w:pStyle w:val="27"/>
      </w:pPr>
      <w:r>
        <w:t>绩效指标：促进生活垃圾中可回收部分的收集利用，助推回收市场体系发展壮大。</w:t>
      </w:r>
    </w:p>
    <w:p>
      <w:pPr>
        <w:pStyle w:val="27"/>
      </w:pPr>
      <w:r>
        <w:t>6、招商引资工作取得新成绩</w:t>
      </w:r>
    </w:p>
    <w:p>
      <w:pPr>
        <w:pStyle w:val="27"/>
      </w:pPr>
      <w:r>
        <w:t>绩效目标：围绕区委、区政府加快“城市经济高地、航空都市新区、生态品质家园”发展思路，围绕京津冀协同发展大局，聚焦非首都功能产业，瞄准央企、国企、军企，秉持“亲商、安商、富商”的招商理念，深挖身边人脉资源，收集商机线索，宣传招商政策，捕捉信息线索，为广阳区招商引资工作贡献力量</w:t>
      </w:r>
    </w:p>
    <w:p>
      <w:pPr>
        <w:pStyle w:val="27"/>
      </w:pPr>
      <w:r>
        <w:t>绩效指标：广泛宣传，收集意向线索，主动联系对接，力争将好项目、大项目引入广阳。</w:t>
      </w:r>
    </w:p>
    <w:p>
      <w:pPr>
        <w:spacing w:line="500" w:lineRule="exact"/>
        <w:ind w:firstLine="560"/>
      </w:pPr>
      <w:r>
        <w:rPr>
          <w:rFonts w:eastAsia="方正仿宋_GBK"/>
          <w:color w:val="000000"/>
          <w:sz w:val="28"/>
        </w:rPr>
        <w:t>（三）工作保障措施</w:t>
      </w:r>
    </w:p>
    <w:p>
      <w:pPr>
        <w:pStyle w:val="28"/>
      </w:pPr>
      <w:r>
        <w:t>1、完善制度建设</w:t>
      </w:r>
    </w:p>
    <w:p>
      <w:pPr>
        <w:pStyle w:val="28"/>
      </w:pPr>
      <w:r>
        <w:t>建立健全各项管理规章制度，以规章制度管理人员，管理财政预算各项经费的支出</w:t>
      </w:r>
    </w:p>
    <w:p>
      <w:pPr>
        <w:pStyle w:val="28"/>
      </w:pPr>
      <w:r>
        <w:t>2、加强支出管理</w:t>
      </w:r>
    </w:p>
    <w:p>
      <w:pPr>
        <w:pStyle w:val="28"/>
      </w:pPr>
      <w:r>
        <w:t>规范区供销社机关财政供养人员工资、津贴补贴发放，进一步完善工会会费、福利费等公用经费的管理，严格按照相关文件规定支出</w:t>
      </w:r>
    </w:p>
    <w:p>
      <w:pPr>
        <w:pStyle w:val="28"/>
      </w:pPr>
      <w:r>
        <w:t>3、加强绩效运行监控</w:t>
      </w:r>
    </w:p>
    <w:p>
      <w:pPr>
        <w:pStyle w:val="28"/>
      </w:pPr>
      <w:r>
        <w:t>以绩效目标为核心，对各项支出进行监控，对偏离绩效目标的支出及时采取纠偏措施，保证绩效目标如期实现。构建绩效监控系统，逐步实现与预算编制、国库集中支付、政府采购、资产、财务、业务等系统信息共享，提高预警能力和分析水平</w:t>
      </w:r>
    </w:p>
    <w:p>
      <w:pPr>
        <w:pStyle w:val="28"/>
      </w:pPr>
      <w:r>
        <w:t>4、做好绩效自评</w:t>
      </w:r>
    </w:p>
    <w:p>
      <w:pPr>
        <w:pStyle w:val="28"/>
      </w:pPr>
      <w:r>
        <w:t>预算绩效评价是指各级财务部门和事业部门（单位）根据设定的绩效目标，运用科学、合理的绩效评价指标、评价标准和评价发放，对预算经费支出的经济性、效率性和效益性进行客观、公正的评价。绩效评价涵盖预算经费支出的全过程，包括事前（预算申报阶段）评价、事中（预算执行阶段）评价和事后（预算完成阶段）评价。</w:t>
      </w:r>
    </w:p>
    <w:p>
      <w:pPr>
        <w:pStyle w:val="28"/>
      </w:pPr>
      <w:r>
        <w:t>5、规范财务资产管理</w:t>
      </w:r>
    </w:p>
    <w:p>
      <w:pPr>
        <w:pStyle w:val="28"/>
      </w:pPr>
      <w:r>
        <w:t>认真学习贯彻财经法规，遵守财经纪律，严格按照政府会计制度保证本单位财产物资、货币资金的安全并确保合理使用。</w:t>
      </w:r>
    </w:p>
    <w:p>
      <w:pPr>
        <w:pStyle w:val="28"/>
      </w:pPr>
      <w:r>
        <w:t>6、加强内部监督</w:t>
      </w:r>
    </w:p>
    <w:p>
      <w:pPr>
        <w:pStyle w:val="28"/>
      </w:pPr>
      <w:r>
        <w:t>构建科学有效的内部监督机制，推动供销社系统安全、有效、稳健的运行</w:t>
      </w:r>
    </w:p>
    <w:p>
      <w:pPr>
        <w:pStyle w:val="28"/>
      </w:pPr>
      <w:r>
        <w:t>7、加强宣传培训调研等</w:t>
      </w:r>
    </w:p>
    <w:p>
      <w:pPr>
        <w:pStyle w:val="28"/>
      </w:pPr>
      <w:r>
        <w:t>努力探索新形势下加强和改进思想政治工作的新方式和新方法。通过召开研讨会和座谈会、深入基层访谈、调研活动等途经了解社情民意，围绕干部群众关心的日电、难点问题解疑释惑。</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3"/>
        <w:gridCol w:w="708"/>
        <w:gridCol w:w="2269"/>
        <w:gridCol w:w="5102"/>
        <w:gridCol w:w="2551"/>
        <w:gridCol w:w="569"/>
        <w:gridCol w:w="567"/>
        <w:gridCol w:w="994"/>
        <w:gridCol w:w="134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tc>
        <w:tc>
          <w:tcPr>
            <w:tcW w:w="76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72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86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718"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45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w:t>
            </w:r>
          </w:p>
        </w:tc>
        <w:tc>
          <w:tcPr>
            <w:tcW w:w="765" w:type="pct"/>
            <w:vMerge w:val="continue"/>
            <w:shd w:val="clear" w:color="auto" w:fill="auto"/>
            <w:vAlign w:val="center"/>
          </w:tcPr>
          <w:p>
            <w:pPr>
              <w:rPr>
                <w:rFonts w:ascii="方正书宋_GBK" w:hAnsi="宋体" w:eastAsia="方正书宋_GBK" w:cs="宋体"/>
                <w:b/>
                <w:bCs/>
                <w:color w:val="000000"/>
              </w:rPr>
            </w:pPr>
          </w:p>
        </w:tc>
        <w:tc>
          <w:tcPr>
            <w:tcW w:w="1720" w:type="pct"/>
            <w:vMerge w:val="continue"/>
            <w:shd w:val="clear" w:color="auto" w:fill="auto"/>
            <w:vAlign w:val="center"/>
          </w:tcPr>
          <w:p>
            <w:pPr>
              <w:rPr>
                <w:rFonts w:ascii="方正书宋_GBK" w:hAnsi="宋体" w:eastAsia="方正书宋_GBK" w:cs="宋体"/>
                <w:b/>
                <w:bCs/>
                <w:color w:val="000000"/>
              </w:rPr>
            </w:pPr>
          </w:p>
        </w:tc>
        <w:tc>
          <w:tcPr>
            <w:tcW w:w="860" w:type="pct"/>
            <w:vMerge w:val="continue"/>
            <w:shd w:val="clear" w:color="auto" w:fill="auto"/>
            <w:vAlign w:val="center"/>
          </w:tcPr>
          <w:p>
            <w:pPr>
              <w:rPr>
                <w:rFonts w:ascii="方正书宋_GBK" w:hAnsi="宋体" w:eastAsia="方正书宋_GBK" w:cs="宋体"/>
                <w:b/>
                <w:bCs/>
                <w:color w:val="000000"/>
              </w:rPr>
            </w:pP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45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人，扣减分值的</w:t>
            </w:r>
            <w:r>
              <w:rPr>
                <w:color w:val="000000"/>
                <w:sz w:val="22"/>
                <w:szCs w:val="22"/>
              </w:rPr>
              <w:t>1%</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33</w:t>
            </w:r>
          </w:p>
        </w:tc>
        <w:tc>
          <w:tcPr>
            <w:tcW w:w="335"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45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挂牌成立村级供销社</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人，扣减分值的</w:t>
            </w:r>
            <w:r>
              <w:rPr>
                <w:color w:val="000000"/>
                <w:sz w:val="22"/>
                <w:szCs w:val="22"/>
              </w:rPr>
              <w:t>10%</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挂牌成立村级供销社</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个</w:t>
            </w:r>
          </w:p>
        </w:tc>
        <w:tc>
          <w:tcPr>
            <w:tcW w:w="45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运转保障率</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45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工资（福利）发放及时性</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1</w:t>
            </w:r>
            <w:r>
              <w:rPr>
                <w:rFonts w:hint="eastAsia" w:ascii="宋体" w:hAnsi="宋体" w:eastAsia="宋体" w:cs="宋体"/>
                <w:color w:val="000000"/>
                <w:sz w:val="22"/>
                <w:szCs w:val="22"/>
              </w:rPr>
              <w:t>次，扣减分值的</w:t>
            </w:r>
            <w:r>
              <w:rPr>
                <w:color w:val="000000"/>
                <w:sz w:val="22"/>
                <w:szCs w:val="22"/>
              </w:rPr>
              <w:t>5%</w:t>
            </w:r>
          </w:p>
        </w:tc>
        <w:tc>
          <w:tcPr>
            <w:tcW w:w="86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192"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45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p>
        </w:tc>
        <w:tc>
          <w:tcPr>
            <w:tcW w:w="86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办公费、水电费等公用经费的开支标准</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按统一规定执行</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农村产权进场交易率</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p>
        </w:tc>
        <w:tc>
          <w:tcPr>
            <w:tcW w:w="860" w:type="pct"/>
            <w:shd w:val="clear" w:color="auto" w:fill="auto"/>
            <w:tcMar>
              <w:top w:w="15" w:type="dxa"/>
              <w:left w:w="15" w:type="dxa"/>
              <w:bottom w:w="0" w:type="dxa"/>
              <w:right w:w="15" w:type="dxa"/>
            </w:tcMar>
            <w:vAlign w:val="center"/>
          </w:tcPr>
          <w:p>
            <w:pPr>
              <w:rPr>
                <w:color w:val="000000"/>
                <w:sz w:val="22"/>
                <w:szCs w:val="22"/>
              </w:rPr>
            </w:pPr>
          </w:p>
        </w:tc>
        <w:tc>
          <w:tcPr>
            <w:tcW w:w="192" w:type="pct"/>
            <w:shd w:val="clear" w:color="auto" w:fill="auto"/>
            <w:tcMar>
              <w:top w:w="15" w:type="dxa"/>
              <w:left w:w="15" w:type="dxa"/>
              <w:bottom w:w="0" w:type="dxa"/>
              <w:right w:w="15" w:type="dxa"/>
            </w:tcMar>
            <w:vAlign w:val="center"/>
          </w:tcPr>
          <w:p>
            <w:pPr>
              <w:rPr>
                <w:rFonts w:eastAsia="宋体"/>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50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860" w:type="pct"/>
            <w:shd w:val="clear" w:color="auto" w:fill="auto"/>
            <w:tcMar>
              <w:top w:w="15" w:type="dxa"/>
              <w:left w:w="15" w:type="dxa"/>
              <w:bottom w:w="0" w:type="dxa"/>
              <w:right w:w="15" w:type="dxa"/>
            </w:tcMar>
            <w:vAlign w:val="center"/>
          </w:tcPr>
          <w:p>
            <w:pPr>
              <w:rPr>
                <w:color w:val="000000"/>
                <w:sz w:val="16"/>
                <w:szCs w:val="16"/>
              </w:rPr>
            </w:pPr>
            <w:r>
              <w:rPr>
                <w:rFonts w:hint="eastAsia" w:ascii="宋体" w:hAnsi="宋体" w:eastAsia="宋体" w:cs="宋体"/>
                <w:color w:val="000000"/>
                <w:sz w:val="16"/>
                <w:szCs w:val="16"/>
              </w:rPr>
              <w:t>通过按时按标准发放工资福利等，进一步增强干部职工的归属港，保持职工队伍相对稳定，保障办公正常运转</w:t>
            </w:r>
          </w:p>
        </w:tc>
        <w:tc>
          <w:tcPr>
            <w:tcW w:w="19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保持职工队伍相对稳定</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经济</w:t>
            </w:r>
          </w:p>
          <w:p>
            <w:pPr>
              <w:jc w:val="center"/>
              <w:rPr>
                <w:rFonts w:ascii="方正书宋_GBK" w:hAnsi="宋体" w:eastAsia="方正书宋_GBK" w:cs="宋体"/>
                <w:color w:val="000000"/>
              </w:rPr>
            </w:pPr>
            <w:r>
              <w:rPr>
                <w:rFonts w:hint="eastAsia" w:ascii="方正书宋_GBK" w:eastAsia="方正书宋_GBK"/>
                <w:color w:val="000000"/>
              </w:rPr>
              <w:t>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引入社会投资额项目</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个，扣减分值的</w:t>
            </w:r>
            <w:r>
              <w:rPr>
                <w:color w:val="000000"/>
                <w:sz w:val="22"/>
                <w:szCs w:val="22"/>
              </w:rPr>
              <w:t>10%</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引入社会投资额项目个数</w:t>
            </w:r>
          </w:p>
        </w:tc>
        <w:tc>
          <w:tcPr>
            <w:tcW w:w="192" w:type="pc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个</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生态</w:t>
            </w:r>
          </w:p>
          <w:p>
            <w:pPr>
              <w:jc w:val="center"/>
              <w:rPr>
                <w:rFonts w:ascii="方正书宋_GBK" w:eastAsia="方正书宋_GBK"/>
                <w:color w:val="000000"/>
              </w:rPr>
            </w:pPr>
            <w:r>
              <w:rPr>
                <w:rFonts w:hint="eastAsia" w:ascii="方正书宋_GBK" w:eastAsia="方正书宋_GBK"/>
                <w:color w:val="000000"/>
              </w:rPr>
              <w:t>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促进生活垃圾中可回收部分的收集利用</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达到标准得满分，否则不得分</w:t>
            </w:r>
          </w:p>
        </w:tc>
        <w:tc>
          <w:tcPr>
            <w:tcW w:w="860" w:type="pct"/>
            <w:shd w:val="clear" w:color="auto" w:fill="auto"/>
            <w:tcMar>
              <w:top w:w="15" w:type="dxa"/>
              <w:left w:w="15" w:type="dxa"/>
              <w:bottom w:w="0" w:type="dxa"/>
              <w:right w:w="15" w:type="dxa"/>
            </w:tcMar>
            <w:vAlign w:val="center"/>
          </w:tcPr>
          <w:p>
            <w:pPr>
              <w:rPr>
                <w:color w:val="000000"/>
                <w:sz w:val="15"/>
                <w:szCs w:val="15"/>
              </w:rPr>
            </w:pPr>
            <w:r>
              <w:rPr>
                <w:rFonts w:hint="eastAsia" w:ascii="宋体" w:hAnsi="宋体" w:eastAsia="宋体" w:cs="宋体"/>
                <w:color w:val="000000"/>
                <w:sz w:val="15"/>
                <w:szCs w:val="15"/>
              </w:rPr>
              <w:t>通过再生资源回收网络和城市生活垃圾分类收集相衔接，促进生活垃圾中可回收部分的收集利用</w:t>
            </w:r>
          </w:p>
        </w:tc>
        <w:tc>
          <w:tcPr>
            <w:tcW w:w="19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是否收集利用</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76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宋体" w:hAnsi="宋体" w:eastAsia="宋体" w:cs="宋体"/>
                <w:color w:val="000000"/>
                <w:sz w:val="22"/>
                <w:szCs w:val="22"/>
              </w:rPr>
              <w:t>职工满意度</w:t>
            </w:r>
          </w:p>
        </w:tc>
        <w:tc>
          <w:tcPr>
            <w:tcW w:w="1720" w:type="pct"/>
            <w:shd w:val="clear" w:color="auto" w:fill="auto"/>
            <w:tcMar>
              <w:top w:w="15" w:type="dxa"/>
              <w:left w:w="15" w:type="dxa"/>
              <w:bottom w:w="0" w:type="dxa"/>
              <w:right w:w="15" w:type="dxa"/>
            </w:tcMar>
            <w:vAlign w:val="center"/>
          </w:tcPr>
          <w:p>
            <w:pPr>
              <w:rPr>
                <w:sz w:val="20"/>
                <w:szCs w:val="20"/>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860" w:type="pct"/>
            <w:shd w:val="clear" w:color="auto" w:fill="auto"/>
            <w:tcMar>
              <w:top w:w="15" w:type="dxa"/>
              <w:left w:w="15" w:type="dxa"/>
              <w:bottom w:w="0" w:type="dxa"/>
              <w:right w:w="15" w:type="dxa"/>
            </w:tcMar>
            <w:vAlign w:val="center"/>
          </w:tcPr>
          <w:p>
            <w:pPr>
              <w:rPr>
                <w:sz w:val="20"/>
                <w:szCs w:val="20"/>
              </w:rPr>
            </w:pPr>
            <w:r>
              <w:rPr>
                <w:rFonts w:hint="eastAsia" w:ascii="宋体" w:hAnsi="宋体" w:eastAsia="宋体" w:cs="宋体"/>
                <w:color w:val="000000"/>
                <w:sz w:val="22"/>
                <w:szCs w:val="22"/>
              </w:rPr>
              <w:t>职工满意度</w:t>
            </w:r>
          </w:p>
        </w:tc>
        <w:tc>
          <w:tcPr>
            <w:tcW w:w="192" w:type="pct"/>
            <w:shd w:val="clear" w:color="auto" w:fill="auto"/>
            <w:tcMar>
              <w:top w:w="15" w:type="dxa"/>
              <w:left w:w="15" w:type="dxa"/>
              <w:bottom w:w="0" w:type="dxa"/>
              <w:right w:w="15" w:type="dxa"/>
            </w:tcMar>
            <w:vAlign w:val="center"/>
          </w:tcPr>
          <w:p>
            <w:pPr>
              <w:rPr>
                <w:sz w:val="20"/>
                <w:szCs w:val="20"/>
              </w:rPr>
            </w:pPr>
            <w:r>
              <w:rPr>
                <w:color w:val="000000"/>
                <w:sz w:val="22"/>
                <w:szCs w:val="22"/>
              </w:rPr>
              <w:t>≥</w:t>
            </w:r>
          </w:p>
        </w:tc>
        <w:tc>
          <w:tcPr>
            <w:tcW w:w="191" w:type="pct"/>
            <w:shd w:val="clear" w:color="auto" w:fill="auto"/>
            <w:tcMar>
              <w:top w:w="15" w:type="dxa"/>
              <w:left w:w="15" w:type="dxa"/>
              <w:bottom w:w="0" w:type="dxa"/>
              <w:right w:w="15" w:type="dxa"/>
            </w:tcMar>
            <w:vAlign w:val="center"/>
          </w:tcPr>
          <w:p>
            <w:pPr>
              <w:rPr>
                <w:sz w:val="20"/>
                <w:szCs w:val="20"/>
              </w:rPr>
            </w:pPr>
            <w:r>
              <w:rPr>
                <w:color w:val="000000"/>
                <w:sz w:val="22"/>
                <w:szCs w:val="22"/>
              </w:rPr>
              <w:t>95</w:t>
            </w:r>
          </w:p>
        </w:tc>
        <w:tc>
          <w:tcPr>
            <w:tcW w:w="335" w:type="pct"/>
            <w:shd w:val="clear" w:color="auto" w:fill="auto"/>
            <w:tcMar>
              <w:top w:w="15" w:type="dxa"/>
              <w:left w:w="15" w:type="dxa"/>
              <w:bottom w:w="0" w:type="dxa"/>
              <w:right w:w="15" w:type="dxa"/>
            </w:tcMar>
            <w:vAlign w:val="center"/>
          </w:tcPr>
          <w:p>
            <w:pPr>
              <w:jc w:val="center"/>
              <w:rPr>
                <w:sz w:val="20"/>
                <w:szCs w:val="20"/>
              </w:rPr>
            </w:pPr>
            <w:r>
              <w:rPr>
                <w:color w:val="000000"/>
                <w:sz w:val="22"/>
                <w:szCs w:val="22"/>
              </w:rPr>
              <w:t>%</w:t>
            </w:r>
          </w:p>
        </w:tc>
        <w:tc>
          <w:tcPr>
            <w:tcW w:w="454" w:type="pct"/>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1、政府购买农村产权流转交易服务资金绩效目标表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最终形成农村产权流转交易区、镇、村三级联网服务体系，在全区范围内引导村集体、农民群众的各类产权公平、公开入市交易，保障交易主体的合法权益，促进农村集体资产保值增值，推动农村生产要素有序流动，进一步规范农村产权流转交易行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站点服务人数</w:t>
            </w:r>
          </w:p>
        </w:tc>
        <w:tc>
          <w:tcPr>
            <w:tcW w:w="2835" w:type="dxa"/>
            <w:vAlign w:val="center"/>
          </w:tcPr>
          <w:p>
            <w:pPr>
              <w:pStyle w:val="17"/>
            </w:pPr>
            <w:r>
              <w:t>业务咨询和办理工作人员数</w:t>
            </w:r>
          </w:p>
        </w:tc>
        <w:tc>
          <w:tcPr>
            <w:tcW w:w="2551" w:type="dxa"/>
            <w:vAlign w:val="center"/>
          </w:tcPr>
          <w:p>
            <w:pPr>
              <w:pStyle w:val="17"/>
            </w:pPr>
            <w:r>
              <w:t>≥6人</w:t>
            </w:r>
          </w:p>
        </w:tc>
        <w:tc>
          <w:tcPr>
            <w:tcW w:w="2268" w:type="dxa"/>
            <w:vAlign w:val="center"/>
          </w:tcPr>
          <w:p>
            <w:pPr>
              <w:pStyle w:val="17"/>
            </w:pPr>
            <w:r>
              <w:t>廊广政办【2017】4号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工资（福利）等发放及时性</w:t>
            </w:r>
          </w:p>
        </w:tc>
        <w:tc>
          <w:tcPr>
            <w:tcW w:w="2835" w:type="dxa"/>
            <w:vAlign w:val="center"/>
          </w:tcPr>
          <w:p>
            <w:pPr>
              <w:pStyle w:val="17"/>
            </w:pPr>
            <w:r>
              <w:t>项目资金及时拨付企业</w:t>
            </w:r>
          </w:p>
        </w:tc>
        <w:tc>
          <w:tcPr>
            <w:tcW w:w="2551" w:type="dxa"/>
            <w:vAlign w:val="center"/>
          </w:tcPr>
          <w:p>
            <w:pPr>
              <w:pStyle w:val="17"/>
            </w:pPr>
            <w:r>
              <w:t>≤3月</w:t>
            </w:r>
          </w:p>
        </w:tc>
        <w:tc>
          <w:tcPr>
            <w:tcW w:w="2268" w:type="dxa"/>
            <w:vAlign w:val="center"/>
          </w:tcPr>
          <w:p>
            <w:pPr>
              <w:pStyle w:val="17"/>
            </w:pPr>
            <w:r>
              <w:t>往来票据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全年工作任务与档案整理数的比率</w:t>
            </w:r>
          </w:p>
        </w:tc>
        <w:tc>
          <w:tcPr>
            <w:tcW w:w="2551" w:type="dxa"/>
            <w:vAlign w:val="center"/>
          </w:tcPr>
          <w:p>
            <w:pPr>
              <w:pStyle w:val="17"/>
            </w:pPr>
            <w:r>
              <w:t>≥95百分比</w:t>
            </w:r>
          </w:p>
        </w:tc>
        <w:tc>
          <w:tcPr>
            <w:tcW w:w="2268" w:type="dxa"/>
            <w:vAlign w:val="center"/>
          </w:tcPr>
          <w:p>
            <w:pPr>
              <w:pStyle w:val="17"/>
            </w:pPr>
            <w:r>
              <w:t>廊广改革办【2022】1号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人员服务费</w:t>
            </w:r>
          </w:p>
        </w:tc>
        <w:tc>
          <w:tcPr>
            <w:tcW w:w="2835" w:type="dxa"/>
            <w:vAlign w:val="center"/>
          </w:tcPr>
          <w:p>
            <w:pPr>
              <w:pStyle w:val="17"/>
            </w:pPr>
            <w:r>
              <w:t>不高于当地劳务派遣</w:t>
            </w:r>
          </w:p>
        </w:tc>
        <w:tc>
          <w:tcPr>
            <w:tcW w:w="2551" w:type="dxa"/>
            <w:vAlign w:val="center"/>
          </w:tcPr>
          <w:p>
            <w:pPr>
              <w:pStyle w:val="17"/>
            </w:pPr>
            <w:r>
              <w:t>≤2500元</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交易事务办结率</w:t>
            </w:r>
          </w:p>
        </w:tc>
        <w:tc>
          <w:tcPr>
            <w:tcW w:w="2835" w:type="dxa"/>
            <w:vAlign w:val="center"/>
          </w:tcPr>
          <w:p>
            <w:pPr>
              <w:pStyle w:val="17"/>
            </w:pPr>
            <w:r>
              <w:t>完成率和交易鉴证数的比</w:t>
            </w:r>
          </w:p>
        </w:tc>
        <w:tc>
          <w:tcPr>
            <w:tcW w:w="2551" w:type="dxa"/>
            <w:vAlign w:val="center"/>
          </w:tcPr>
          <w:p>
            <w:pPr>
              <w:pStyle w:val="17"/>
            </w:pPr>
            <w:r>
              <w:t>≥95百分比</w:t>
            </w:r>
          </w:p>
        </w:tc>
        <w:tc>
          <w:tcPr>
            <w:tcW w:w="2268" w:type="dxa"/>
            <w:vAlign w:val="center"/>
          </w:tcPr>
          <w:p>
            <w:pPr>
              <w:pStyle w:val="17"/>
            </w:pPr>
            <w:r>
              <w:t>交易鉴证书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实际达成合作意向数（以签订鉴证书或协议为准）</w:t>
            </w:r>
          </w:p>
        </w:tc>
        <w:tc>
          <w:tcPr>
            <w:tcW w:w="2835" w:type="dxa"/>
            <w:vAlign w:val="center"/>
          </w:tcPr>
          <w:p>
            <w:pPr>
              <w:pStyle w:val="17"/>
            </w:pPr>
            <w:r>
              <w:t>实际达成合作意向数（以签订鉴证书或协议为准）</w:t>
            </w:r>
          </w:p>
        </w:tc>
        <w:tc>
          <w:tcPr>
            <w:tcW w:w="2551" w:type="dxa"/>
            <w:vAlign w:val="center"/>
          </w:tcPr>
          <w:p>
            <w:pPr>
              <w:pStyle w:val="17"/>
            </w:pPr>
            <w:r>
              <w:t>≥95百分比</w:t>
            </w:r>
          </w:p>
        </w:tc>
        <w:tc>
          <w:tcPr>
            <w:tcW w:w="2268" w:type="dxa"/>
            <w:vAlign w:val="center"/>
          </w:tcPr>
          <w:p>
            <w:pPr>
              <w:pStyle w:val="17"/>
            </w:pPr>
            <w:r>
              <w:t>鉴证书或协议数量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受益众满意情况</w:t>
            </w:r>
          </w:p>
        </w:tc>
        <w:tc>
          <w:tcPr>
            <w:tcW w:w="2835" w:type="dxa"/>
            <w:vAlign w:val="center"/>
          </w:tcPr>
          <w:p>
            <w:pPr>
              <w:pStyle w:val="17"/>
            </w:pPr>
            <w:r>
              <w:t>服务满意度</w:t>
            </w:r>
          </w:p>
        </w:tc>
        <w:tc>
          <w:tcPr>
            <w:tcW w:w="2551" w:type="dxa"/>
            <w:vAlign w:val="center"/>
          </w:tcPr>
          <w:p>
            <w:pPr>
              <w:pStyle w:val="17"/>
            </w:pPr>
            <w:r>
              <w:t>≥95百分比</w:t>
            </w:r>
          </w:p>
        </w:tc>
        <w:tc>
          <w:tcPr>
            <w:tcW w:w="2268"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廊坊市广阳区供销合作社联合社（含所属单位）上年末固定资产金额为2.02万元（详见下表）。本年度拟购置固定资产总额为0.00万元，已按要求列入政府采购预算，详见政府采购预算表。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639廊坊市广阳区供销合作社联合社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41</w:t>
            </w:r>
          </w:p>
        </w:tc>
        <w:tc>
          <w:tcPr>
            <w:tcW w:w="2835" w:type="dxa"/>
            <w:vAlign w:val="center"/>
          </w:tcPr>
          <w:p>
            <w:pPr>
              <w:pStyle w:val="16"/>
            </w:pPr>
            <w:r>
              <w:t>2.02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4B"/>
    <w:rsid w:val="00093FAA"/>
    <w:rsid w:val="001340B3"/>
    <w:rsid w:val="00422027"/>
    <w:rsid w:val="00A75E1B"/>
    <w:rsid w:val="00C2094B"/>
    <w:rsid w:val="00C957CA"/>
    <w:rsid w:val="00D33E47"/>
    <w:rsid w:val="2E09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418509-0D51-4F3D-A627-4FF33A548DAE}">
  <ds:schemaRefs/>
</ds:datastoreItem>
</file>

<file path=customXml/itemProps10.xml><?xml version="1.0" encoding="utf-8"?>
<ds:datastoreItem xmlns:ds="http://schemas.openxmlformats.org/officeDocument/2006/customXml" ds:itemID="{51A4045F-D6D3-400F-877B-EC62232B8B0C}">
  <ds:schemaRefs/>
</ds:datastoreItem>
</file>

<file path=customXml/itemProps11.xml><?xml version="1.0" encoding="utf-8"?>
<ds:datastoreItem xmlns:ds="http://schemas.openxmlformats.org/officeDocument/2006/customXml" ds:itemID="{966FEB1A-263D-48F2-82BF-8021FE04CAF9}">
  <ds:schemaRefs/>
</ds:datastoreItem>
</file>

<file path=customXml/itemProps12.xml><?xml version="1.0" encoding="utf-8"?>
<ds:datastoreItem xmlns:ds="http://schemas.openxmlformats.org/officeDocument/2006/customXml" ds:itemID="{B47AFC73-E996-4F8C-A6E9-91BF94A33898}">
  <ds:schemaRefs/>
</ds:datastoreItem>
</file>

<file path=customXml/itemProps13.xml><?xml version="1.0" encoding="utf-8"?>
<ds:datastoreItem xmlns:ds="http://schemas.openxmlformats.org/officeDocument/2006/customXml" ds:itemID="{57BAB0F7-5AC9-4A2E-9B6B-5AC8EF21989E}">
  <ds:schemaRefs/>
</ds:datastoreItem>
</file>

<file path=customXml/itemProps14.xml><?xml version="1.0" encoding="utf-8"?>
<ds:datastoreItem xmlns:ds="http://schemas.openxmlformats.org/officeDocument/2006/customXml" ds:itemID="{69B83A29-B3EF-4FEF-BF1C-BAFA9C3C7DD7}">
  <ds:schemaRefs/>
</ds:datastoreItem>
</file>

<file path=customXml/itemProps2.xml><?xml version="1.0" encoding="utf-8"?>
<ds:datastoreItem xmlns:ds="http://schemas.openxmlformats.org/officeDocument/2006/customXml" ds:itemID="{5DDF6B3F-A563-458A-B55F-4CB9171CFA83}">
  <ds:schemaRefs/>
</ds:datastoreItem>
</file>

<file path=customXml/itemProps3.xml><?xml version="1.0" encoding="utf-8"?>
<ds:datastoreItem xmlns:ds="http://schemas.openxmlformats.org/officeDocument/2006/customXml" ds:itemID="{FCB45FBD-7A14-4D94-AECA-4CC1AFD90756}">
  <ds:schemaRefs/>
</ds:datastoreItem>
</file>

<file path=customXml/itemProps4.xml><?xml version="1.0" encoding="utf-8"?>
<ds:datastoreItem xmlns:ds="http://schemas.openxmlformats.org/officeDocument/2006/customXml" ds:itemID="{6B569B1E-84A5-4AB5-998A-48DAD20E9E82}">
  <ds:schemaRefs/>
</ds:datastoreItem>
</file>

<file path=customXml/itemProps5.xml><?xml version="1.0" encoding="utf-8"?>
<ds:datastoreItem xmlns:ds="http://schemas.openxmlformats.org/officeDocument/2006/customXml" ds:itemID="{06D2BFC1-0044-4B24-BC36-BEEA88066292}">
  <ds:schemaRefs/>
</ds:datastoreItem>
</file>

<file path=customXml/itemProps6.xml><?xml version="1.0" encoding="utf-8"?>
<ds:datastoreItem xmlns:ds="http://schemas.openxmlformats.org/officeDocument/2006/customXml" ds:itemID="{E9BB055D-677B-4CB8-8472-AA564FE7FE2D}">
  <ds:schemaRefs/>
</ds:datastoreItem>
</file>

<file path=customXml/itemProps7.xml><?xml version="1.0" encoding="utf-8"?>
<ds:datastoreItem xmlns:ds="http://schemas.openxmlformats.org/officeDocument/2006/customXml" ds:itemID="{EA5A79E4-7AC2-4751-8160-3ABAB0F40BF2}">
  <ds:schemaRefs/>
</ds:datastoreItem>
</file>

<file path=customXml/itemProps8.xml><?xml version="1.0" encoding="utf-8"?>
<ds:datastoreItem xmlns:ds="http://schemas.openxmlformats.org/officeDocument/2006/customXml" ds:itemID="{35F17A70-104A-4345-A694-54418D69A098}">
  <ds:schemaRefs/>
</ds:datastoreItem>
</file>

<file path=customXml/itemProps9.xml><?xml version="1.0" encoding="utf-8"?>
<ds:datastoreItem xmlns:ds="http://schemas.openxmlformats.org/officeDocument/2006/customXml" ds:itemID="{9DDF682D-5128-4DAA-8E15-C836C3C066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1739</Words>
  <Characters>9913</Characters>
  <Lines>82</Lines>
  <Paragraphs>23</Paragraphs>
  <TotalTime>0</TotalTime>
  <ScaleCrop>false</ScaleCrop>
  <LinksUpToDate>false</LinksUpToDate>
  <CharactersWithSpaces>11629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2023-03-15T06:53:00Z</dcterms:created>
  <dc:creator>Liz</dc:creator>
  <cp:lastModifiedBy>Administrator</cp:lastModifiedBy>
  <dcterms:modified xsi:type="dcterms:W3CDTF">2024-01-11T02:33:02Z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D34F8092DA4D477B8B3B43BB13312D10</vt:lpwstr>
  </property>
</Properties>
</file>