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40</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p>
      <w:pPr>
        <w:jc w:val="center"/>
      </w:pPr>
      <w:r>
        <w:rPr>
          <w:rFonts w:ascii="方正小标宋_GBK" w:hAnsi="方正小标宋_GBK" w:eastAsia="方正小标宋_GBK" w:cs="方正小标宋_GBK"/>
          <w:color w:val="000000"/>
          <w:sz w:val="44"/>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795.74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885.69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795.74</w:t>
            </w:r>
          </w:p>
        </w:tc>
        <w:tc>
          <w:tcPr>
            <w:tcW w:w="4535" w:type="dxa"/>
            <w:vAlign w:val="center"/>
          </w:tcPr>
          <w:p>
            <w:pPr>
              <w:pStyle w:val="19"/>
            </w:pPr>
            <w:r>
              <w:t>本年支出合计</w:t>
            </w:r>
          </w:p>
        </w:tc>
        <w:tc>
          <w:tcPr>
            <w:tcW w:w="2126" w:type="dxa"/>
            <w:vAlign w:val="center"/>
          </w:tcPr>
          <w:p>
            <w:pPr>
              <w:pStyle w:val="20"/>
            </w:pPr>
            <w:r>
              <w:t>885.69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89.95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885.69</w:t>
            </w:r>
          </w:p>
        </w:tc>
        <w:tc>
          <w:tcPr>
            <w:tcW w:w="4535" w:type="dxa"/>
            <w:vAlign w:val="center"/>
          </w:tcPr>
          <w:p>
            <w:pPr>
              <w:pStyle w:val="19"/>
            </w:pPr>
            <w:r>
              <w:t>支出总计</w:t>
            </w:r>
          </w:p>
        </w:tc>
        <w:tc>
          <w:tcPr>
            <w:tcW w:w="2126" w:type="dxa"/>
            <w:vAlign w:val="center"/>
          </w:tcPr>
          <w:p>
            <w:pPr>
              <w:pStyle w:val="20"/>
            </w:pPr>
            <w:r>
              <w:t>885.69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885.69</w:t>
            </w:r>
          </w:p>
        </w:tc>
        <w:tc>
          <w:tcPr>
            <w:tcW w:w="1134" w:type="dxa"/>
            <w:vAlign w:val="center"/>
          </w:tcPr>
          <w:p>
            <w:pPr>
              <w:pStyle w:val="20"/>
            </w:pPr>
            <w:r>
              <w:t>795.74</w:t>
            </w:r>
          </w:p>
        </w:tc>
        <w:tc>
          <w:tcPr>
            <w:tcW w:w="1134" w:type="dxa"/>
            <w:vAlign w:val="center"/>
          </w:tcPr>
          <w:p>
            <w:pPr>
              <w:pStyle w:val="20"/>
            </w:pPr>
            <w:r>
              <w:t>795.74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885.69</w:t>
            </w:r>
          </w:p>
        </w:tc>
        <w:tc>
          <w:tcPr>
            <w:tcW w:w="1134" w:type="dxa"/>
            <w:vAlign w:val="center"/>
          </w:tcPr>
          <w:p>
            <w:pPr>
              <w:pStyle w:val="16"/>
            </w:pPr>
            <w:r>
              <w:t>795.74</w:t>
            </w:r>
          </w:p>
        </w:tc>
        <w:tc>
          <w:tcPr>
            <w:tcW w:w="1134" w:type="dxa"/>
            <w:vAlign w:val="center"/>
          </w:tcPr>
          <w:p>
            <w:pPr>
              <w:pStyle w:val="16"/>
            </w:pPr>
            <w:r>
              <w:t>795.74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20701</w:t>
            </w:r>
          </w:p>
        </w:tc>
        <w:tc>
          <w:tcPr>
            <w:tcW w:w="1559" w:type="dxa"/>
            <w:vAlign w:val="center"/>
          </w:tcPr>
          <w:p>
            <w:pPr>
              <w:pStyle w:val="17"/>
            </w:pPr>
            <w:r>
              <w:t>文化和旅游</w:t>
            </w:r>
          </w:p>
        </w:tc>
        <w:tc>
          <w:tcPr>
            <w:tcW w:w="1134" w:type="dxa"/>
            <w:vAlign w:val="center"/>
          </w:tcPr>
          <w:p>
            <w:pPr>
              <w:pStyle w:val="16"/>
            </w:pPr>
            <w:r>
              <w:t>658.18</w:t>
            </w:r>
          </w:p>
        </w:tc>
        <w:tc>
          <w:tcPr>
            <w:tcW w:w="1134" w:type="dxa"/>
            <w:vAlign w:val="center"/>
          </w:tcPr>
          <w:p>
            <w:pPr>
              <w:pStyle w:val="16"/>
            </w:pPr>
            <w:r>
              <w:t>630.40</w:t>
            </w:r>
          </w:p>
        </w:tc>
        <w:tc>
          <w:tcPr>
            <w:tcW w:w="1134" w:type="dxa"/>
            <w:vAlign w:val="center"/>
          </w:tcPr>
          <w:p>
            <w:pPr>
              <w:pStyle w:val="16"/>
            </w:pPr>
            <w:r>
              <w:t>630.40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2070101</w:t>
            </w:r>
          </w:p>
        </w:tc>
        <w:tc>
          <w:tcPr>
            <w:tcW w:w="1559" w:type="dxa"/>
            <w:vAlign w:val="center"/>
          </w:tcPr>
          <w:p>
            <w:pPr>
              <w:pStyle w:val="17"/>
            </w:pPr>
            <w:r>
              <w:t>行政运行</w:t>
            </w:r>
          </w:p>
        </w:tc>
        <w:tc>
          <w:tcPr>
            <w:tcW w:w="1134" w:type="dxa"/>
            <w:vAlign w:val="center"/>
          </w:tcPr>
          <w:p>
            <w:pPr>
              <w:pStyle w:val="16"/>
            </w:pPr>
            <w:r>
              <w:t>533.42</w:t>
            </w:r>
          </w:p>
        </w:tc>
        <w:tc>
          <w:tcPr>
            <w:tcW w:w="1134" w:type="dxa"/>
            <w:vAlign w:val="center"/>
          </w:tcPr>
          <w:p>
            <w:pPr>
              <w:pStyle w:val="16"/>
            </w:pPr>
            <w:r>
              <w:t>533.42</w:t>
            </w:r>
          </w:p>
        </w:tc>
        <w:tc>
          <w:tcPr>
            <w:tcW w:w="1134" w:type="dxa"/>
            <w:vAlign w:val="center"/>
          </w:tcPr>
          <w:p>
            <w:pPr>
              <w:pStyle w:val="16"/>
            </w:pPr>
            <w:r>
              <w:t>533.42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2070199</w:t>
            </w:r>
          </w:p>
        </w:tc>
        <w:tc>
          <w:tcPr>
            <w:tcW w:w="1559" w:type="dxa"/>
            <w:vAlign w:val="center"/>
          </w:tcPr>
          <w:p>
            <w:pPr>
              <w:pStyle w:val="17"/>
            </w:pPr>
            <w:r>
              <w:t>其他文化和旅游支出</w:t>
            </w:r>
          </w:p>
        </w:tc>
        <w:tc>
          <w:tcPr>
            <w:tcW w:w="1134" w:type="dxa"/>
            <w:vAlign w:val="center"/>
          </w:tcPr>
          <w:p>
            <w:pPr>
              <w:pStyle w:val="16"/>
            </w:pPr>
            <w:r>
              <w:t>124.76</w:t>
            </w:r>
          </w:p>
        </w:tc>
        <w:tc>
          <w:tcPr>
            <w:tcW w:w="1134" w:type="dxa"/>
            <w:vAlign w:val="center"/>
          </w:tcPr>
          <w:p>
            <w:pPr>
              <w:pStyle w:val="16"/>
            </w:pPr>
            <w:r>
              <w:t>96.98</w:t>
            </w:r>
          </w:p>
        </w:tc>
        <w:tc>
          <w:tcPr>
            <w:tcW w:w="1134" w:type="dxa"/>
            <w:vAlign w:val="center"/>
          </w:tcPr>
          <w:p>
            <w:pPr>
              <w:pStyle w:val="16"/>
            </w:pPr>
            <w:r>
              <w:t>96.98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227.51</w:t>
            </w:r>
          </w:p>
        </w:tc>
        <w:tc>
          <w:tcPr>
            <w:tcW w:w="1134" w:type="dxa"/>
            <w:vAlign w:val="center"/>
          </w:tcPr>
          <w:p>
            <w:pPr>
              <w:pStyle w:val="16"/>
            </w:pPr>
            <w:r>
              <w:t>165.34</w:t>
            </w:r>
          </w:p>
        </w:tc>
        <w:tc>
          <w:tcPr>
            <w:tcW w:w="1134" w:type="dxa"/>
            <w:vAlign w:val="center"/>
          </w:tcPr>
          <w:p>
            <w:pPr>
              <w:pStyle w:val="16"/>
            </w:pPr>
            <w:r>
              <w:t>165.34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227.51</w:t>
            </w:r>
          </w:p>
        </w:tc>
        <w:tc>
          <w:tcPr>
            <w:tcW w:w="1134" w:type="dxa"/>
            <w:vAlign w:val="center"/>
          </w:tcPr>
          <w:p>
            <w:pPr>
              <w:pStyle w:val="16"/>
            </w:pPr>
            <w:r>
              <w:t>165.34</w:t>
            </w:r>
          </w:p>
        </w:tc>
        <w:tc>
          <w:tcPr>
            <w:tcW w:w="1134" w:type="dxa"/>
            <w:vAlign w:val="center"/>
          </w:tcPr>
          <w:p>
            <w:pPr>
              <w:pStyle w:val="16"/>
            </w:pPr>
            <w:r>
              <w:t>165.34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62.17</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885.69</w:t>
            </w:r>
          </w:p>
        </w:tc>
        <w:tc>
          <w:tcPr>
            <w:tcW w:w="1361" w:type="dxa"/>
            <w:vAlign w:val="center"/>
          </w:tcPr>
          <w:p>
            <w:pPr>
              <w:pStyle w:val="20"/>
            </w:pPr>
            <w:r>
              <w:t>533.42</w:t>
            </w:r>
          </w:p>
        </w:tc>
        <w:tc>
          <w:tcPr>
            <w:tcW w:w="1361" w:type="dxa"/>
            <w:vAlign w:val="center"/>
          </w:tcPr>
          <w:p>
            <w:pPr>
              <w:pStyle w:val="20"/>
            </w:pPr>
            <w:r>
              <w:t>352.27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885.69</w:t>
            </w:r>
          </w:p>
        </w:tc>
        <w:tc>
          <w:tcPr>
            <w:tcW w:w="1361" w:type="dxa"/>
            <w:vAlign w:val="center"/>
          </w:tcPr>
          <w:p>
            <w:pPr>
              <w:pStyle w:val="16"/>
            </w:pPr>
            <w:r>
              <w:t>533.42</w:t>
            </w:r>
          </w:p>
        </w:tc>
        <w:tc>
          <w:tcPr>
            <w:tcW w:w="1361" w:type="dxa"/>
            <w:vAlign w:val="center"/>
          </w:tcPr>
          <w:p>
            <w:pPr>
              <w:pStyle w:val="16"/>
            </w:pPr>
            <w:r>
              <w:t>352.27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20701</w:t>
            </w:r>
          </w:p>
        </w:tc>
        <w:tc>
          <w:tcPr>
            <w:tcW w:w="4535" w:type="dxa"/>
            <w:vAlign w:val="center"/>
          </w:tcPr>
          <w:p>
            <w:pPr>
              <w:pStyle w:val="17"/>
            </w:pPr>
            <w:r>
              <w:t>文化和旅游</w:t>
            </w:r>
          </w:p>
        </w:tc>
        <w:tc>
          <w:tcPr>
            <w:tcW w:w="1361" w:type="dxa"/>
            <w:vAlign w:val="center"/>
          </w:tcPr>
          <w:p>
            <w:pPr>
              <w:pStyle w:val="16"/>
            </w:pPr>
            <w:r>
              <w:t>658.18</w:t>
            </w:r>
          </w:p>
        </w:tc>
        <w:tc>
          <w:tcPr>
            <w:tcW w:w="1361" w:type="dxa"/>
            <w:vAlign w:val="center"/>
          </w:tcPr>
          <w:p>
            <w:pPr>
              <w:pStyle w:val="16"/>
            </w:pPr>
            <w:r>
              <w:t>533.42</w:t>
            </w:r>
          </w:p>
        </w:tc>
        <w:tc>
          <w:tcPr>
            <w:tcW w:w="1361" w:type="dxa"/>
            <w:vAlign w:val="center"/>
          </w:tcPr>
          <w:p>
            <w:pPr>
              <w:pStyle w:val="16"/>
            </w:pPr>
            <w:r>
              <w:t>124.76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2070101</w:t>
            </w:r>
          </w:p>
        </w:tc>
        <w:tc>
          <w:tcPr>
            <w:tcW w:w="4535" w:type="dxa"/>
            <w:vAlign w:val="center"/>
          </w:tcPr>
          <w:p>
            <w:pPr>
              <w:pStyle w:val="17"/>
            </w:pPr>
            <w:r>
              <w:t>行政运行</w:t>
            </w:r>
          </w:p>
        </w:tc>
        <w:tc>
          <w:tcPr>
            <w:tcW w:w="1361" w:type="dxa"/>
            <w:vAlign w:val="center"/>
          </w:tcPr>
          <w:p>
            <w:pPr>
              <w:pStyle w:val="16"/>
            </w:pPr>
            <w:r>
              <w:t>533.42</w:t>
            </w:r>
          </w:p>
        </w:tc>
        <w:tc>
          <w:tcPr>
            <w:tcW w:w="1361" w:type="dxa"/>
            <w:vAlign w:val="center"/>
          </w:tcPr>
          <w:p>
            <w:pPr>
              <w:pStyle w:val="16"/>
            </w:pPr>
            <w:r>
              <w:t>533.42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2070199</w:t>
            </w:r>
          </w:p>
        </w:tc>
        <w:tc>
          <w:tcPr>
            <w:tcW w:w="4535" w:type="dxa"/>
            <w:vAlign w:val="center"/>
          </w:tcPr>
          <w:p>
            <w:pPr>
              <w:pStyle w:val="17"/>
            </w:pPr>
            <w:r>
              <w:t>其他文化和旅游支出</w:t>
            </w:r>
          </w:p>
        </w:tc>
        <w:tc>
          <w:tcPr>
            <w:tcW w:w="1361" w:type="dxa"/>
            <w:vAlign w:val="center"/>
          </w:tcPr>
          <w:p>
            <w:pPr>
              <w:pStyle w:val="16"/>
            </w:pPr>
            <w:r>
              <w:t>124.76</w:t>
            </w:r>
          </w:p>
        </w:tc>
        <w:tc>
          <w:tcPr>
            <w:tcW w:w="1361" w:type="dxa"/>
            <w:vAlign w:val="center"/>
          </w:tcPr>
          <w:p>
            <w:pPr>
              <w:pStyle w:val="16"/>
            </w:pPr>
          </w:p>
        </w:tc>
        <w:tc>
          <w:tcPr>
            <w:tcW w:w="1361" w:type="dxa"/>
            <w:vAlign w:val="center"/>
          </w:tcPr>
          <w:p>
            <w:pPr>
              <w:pStyle w:val="16"/>
            </w:pPr>
            <w:r>
              <w:t>124.76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227.51</w:t>
            </w:r>
          </w:p>
        </w:tc>
        <w:tc>
          <w:tcPr>
            <w:tcW w:w="1361" w:type="dxa"/>
            <w:vAlign w:val="center"/>
          </w:tcPr>
          <w:p>
            <w:pPr>
              <w:pStyle w:val="16"/>
            </w:pPr>
          </w:p>
        </w:tc>
        <w:tc>
          <w:tcPr>
            <w:tcW w:w="1361" w:type="dxa"/>
            <w:vAlign w:val="center"/>
          </w:tcPr>
          <w:p>
            <w:pPr>
              <w:pStyle w:val="16"/>
            </w:pPr>
            <w:r>
              <w:t>227.51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227.51</w:t>
            </w:r>
          </w:p>
        </w:tc>
        <w:tc>
          <w:tcPr>
            <w:tcW w:w="1361" w:type="dxa"/>
            <w:vAlign w:val="center"/>
          </w:tcPr>
          <w:p>
            <w:pPr>
              <w:pStyle w:val="16"/>
            </w:pPr>
          </w:p>
        </w:tc>
        <w:tc>
          <w:tcPr>
            <w:tcW w:w="1361" w:type="dxa"/>
            <w:vAlign w:val="center"/>
          </w:tcPr>
          <w:p>
            <w:pPr>
              <w:pStyle w:val="16"/>
            </w:pPr>
            <w:r>
              <w:t>227.51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795.74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885.69</w:t>
            </w:r>
          </w:p>
        </w:tc>
        <w:tc>
          <w:tcPr>
            <w:tcW w:w="1474" w:type="dxa"/>
            <w:vAlign w:val="center"/>
          </w:tcPr>
          <w:p>
            <w:pPr>
              <w:pStyle w:val="16"/>
            </w:pPr>
            <w:r>
              <w:t>885.69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795.74</w:t>
            </w:r>
          </w:p>
        </w:tc>
        <w:tc>
          <w:tcPr>
            <w:tcW w:w="3402" w:type="dxa"/>
            <w:vAlign w:val="center"/>
          </w:tcPr>
          <w:p>
            <w:pPr>
              <w:pStyle w:val="19"/>
            </w:pPr>
            <w:r>
              <w:t>本年支出合计</w:t>
            </w:r>
          </w:p>
        </w:tc>
        <w:tc>
          <w:tcPr>
            <w:tcW w:w="1474" w:type="dxa"/>
            <w:vAlign w:val="center"/>
          </w:tcPr>
          <w:p>
            <w:pPr>
              <w:pStyle w:val="20"/>
            </w:pPr>
            <w:r>
              <w:t>885.69</w:t>
            </w:r>
          </w:p>
        </w:tc>
        <w:tc>
          <w:tcPr>
            <w:tcW w:w="1474" w:type="dxa"/>
            <w:vAlign w:val="center"/>
          </w:tcPr>
          <w:p>
            <w:pPr>
              <w:pStyle w:val="20"/>
            </w:pPr>
            <w:r>
              <w:t>885.69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89.95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89.95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885.69</w:t>
            </w:r>
          </w:p>
        </w:tc>
        <w:tc>
          <w:tcPr>
            <w:tcW w:w="3402" w:type="dxa"/>
            <w:vAlign w:val="center"/>
          </w:tcPr>
          <w:p>
            <w:pPr>
              <w:pStyle w:val="19"/>
            </w:pPr>
            <w:r>
              <w:t>支出总计</w:t>
            </w:r>
          </w:p>
        </w:tc>
        <w:tc>
          <w:tcPr>
            <w:tcW w:w="1474" w:type="dxa"/>
            <w:vAlign w:val="center"/>
          </w:tcPr>
          <w:p>
            <w:pPr>
              <w:pStyle w:val="20"/>
            </w:pPr>
            <w:r>
              <w:t>885.69</w:t>
            </w:r>
          </w:p>
        </w:tc>
        <w:tc>
          <w:tcPr>
            <w:tcW w:w="1474" w:type="dxa"/>
            <w:vAlign w:val="center"/>
          </w:tcPr>
          <w:p>
            <w:pPr>
              <w:pStyle w:val="20"/>
            </w:pPr>
            <w:r>
              <w:t>885.69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885.69</w:t>
            </w:r>
          </w:p>
        </w:tc>
        <w:tc>
          <w:tcPr>
            <w:tcW w:w="2551" w:type="dxa"/>
            <w:vAlign w:val="center"/>
          </w:tcPr>
          <w:p>
            <w:pPr>
              <w:pStyle w:val="20"/>
            </w:pPr>
            <w:r>
              <w:t>533.42</w:t>
            </w:r>
          </w:p>
        </w:tc>
        <w:tc>
          <w:tcPr>
            <w:tcW w:w="2551" w:type="dxa"/>
            <w:vAlign w:val="center"/>
          </w:tcPr>
          <w:p>
            <w:pPr>
              <w:pStyle w:val="20"/>
            </w:pPr>
            <w:r>
              <w:t>352.27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885.69</w:t>
            </w:r>
          </w:p>
        </w:tc>
        <w:tc>
          <w:tcPr>
            <w:tcW w:w="2551" w:type="dxa"/>
            <w:vAlign w:val="center"/>
          </w:tcPr>
          <w:p>
            <w:pPr>
              <w:pStyle w:val="16"/>
            </w:pPr>
            <w:r>
              <w:t>533.42</w:t>
            </w:r>
          </w:p>
        </w:tc>
        <w:tc>
          <w:tcPr>
            <w:tcW w:w="2551" w:type="dxa"/>
            <w:vAlign w:val="center"/>
          </w:tcPr>
          <w:p>
            <w:pPr>
              <w:pStyle w:val="16"/>
            </w:pPr>
            <w:r>
              <w:t>352.27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20701</w:t>
            </w:r>
          </w:p>
        </w:tc>
        <w:tc>
          <w:tcPr>
            <w:tcW w:w="4535" w:type="dxa"/>
            <w:vAlign w:val="center"/>
          </w:tcPr>
          <w:p>
            <w:pPr>
              <w:pStyle w:val="17"/>
            </w:pPr>
            <w:r>
              <w:t>文化和旅游</w:t>
            </w:r>
          </w:p>
        </w:tc>
        <w:tc>
          <w:tcPr>
            <w:tcW w:w="2551" w:type="dxa"/>
            <w:vAlign w:val="center"/>
          </w:tcPr>
          <w:p>
            <w:pPr>
              <w:pStyle w:val="16"/>
            </w:pPr>
            <w:r>
              <w:t>658.18</w:t>
            </w:r>
          </w:p>
        </w:tc>
        <w:tc>
          <w:tcPr>
            <w:tcW w:w="2551" w:type="dxa"/>
            <w:vAlign w:val="center"/>
          </w:tcPr>
          <w:p>
            <w:pPr>
              <w:pStyle w:val="16"/>
            </w:pPr>
            <w:r>
              <w:t>533.42</w:t>
            </w:r>
          </w:p>
        </w:tc>
        <w:tc>
          <w:tcPr>
            <w:tcW w:w="2551" w:type="dxa"/>
            <w:vAlign w:val="center"/>
          </w:tcPr>
          <w:p>
            <w:pPr>
              <w:pStyle w:val="16"/>
            </w:pPr>
            <w:r>
              <w:t>124.76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2070101</w:t>
            </w:r>
          </w:p>
        </w:tc>
        <w:tc>
          <w:tcPr>
            <w:tcW w:w="4535" w:type="dxa"/>
            <w:vAlign w:val="center"/>
          </w:tcPr>
          <w:p>
            <w:pPr>
              <w:pStyle w:val="17"/>
            </w:pPr>
            <w:r>
              <w:t>行政运行</w:t>
            </w:r>
          </w:p>
        </w:tc>
        <w:tc>
          <w:tcPr>
            <w:tcW w:w="2551" w:type="dxa"/>
            <w:vAlign w:val="center"/>
          </w:tcPr>
          <w:p>
            <w:pPr>
              <w:pStyle w:val="16"/>
            </w:pPr>
            <w:r>
              <w:t>533.42</w:t>
            </w:r>
          </w:p>
        </w:tc>
        <w:tc>
          <w:tcPr>
            <w:tcW w:w="2551" w:type="dxa"/>
            <w:vAlign w:val="center"/>
          </w:tcPr>
          <w:p>
            <w:pPr>
              <w:pStyle w:val="16"/>
            </w:pPr>
            <w:r>
              <w:t>533.42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2070199</w:t>
            </w:r>
          </w:p>
        </w:tc>
        <w:tc>
          <w:tcPr>
            <w:tcW w:w="4535" w:type="dxa"/>
            <w:vAlign w:val="center"/>
          </w:tcPr>
          <w:p>
            <w:pPr>
              <w:pStyle w:val="17"/>
            </w:pPr>
            <w:r>
              <w:t>其他文化和旅游支出</w:t>
            </w:r>
          </w:p>
        </w:tc>
        <w:tc>
          <w:tcPr>
            <w:tcW w:w="2551" w:type="dxa"/>
            <w:vAlign w:val="center"/>
          </w:tcPr>
          <w:p>
            <w:pPr>
              <w:pStyle w:val="16"/>
            </w:pPr>
            <w:r>
              <w:t>124.76</w:t>
            </w:r>
          </w:p>
        </w:tc>
        <w:tc>
          <w:tcPr>
            <w:tcW w:w="2551" w:type="dxa"/>
            <w:vAlign w:val="center"/>
          </w:tcPr>
          <w:p>
            <w:pPr>
              <w:pStyle w:val="16"/>
            </w:pPr>
          </w:p>
        </w:tc>
        <w:tc>
          <w:tcPr>
            <w:tcW w:w="2551" w:type="dxa"/>
            <w:vAlign w:val="center"/>
          </w:tcPr>
          <w:p>
            <w:pPr>
              <w:pStyle w:val="16"/>
            </w:pPr>
            <w:r>
              <w:t>124.76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227.51</w:t>
            </w:r>
          </w:p>
        </w:tc>
        <w:tc>
          <w:tcPr>
            <w:tcW w:w="2551" w:type="dxa"/>
            <w:vAlign w:val="center"/>
          </w:tcPr>
          <w:p>
            <w:pPr>
              <w:pStyle w:val="16"/>
            </w:pPr>
          </w:p>
        </w:tc>
        <w:tc>
          <w:tcPr>
            <w:tcW w:w="2551" w:type="dxa"/>
            <w:vAlign w:val="center"/>
          </w:tcPr>
          <w:p>
            <w:pPr>
              <w:pStyle w:val="16"/>
            </w:pPr>
            <w:r>
              <w:t>227.51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227.51</w:t>
            </w:r>
          </w:p>
        </w:tc>
        <w:tc>
          <w:tcPr>
            <w:tcW w:w="2551" w:type="dxa"/>
            <w:vAlign w:val="center"/>
          </w:tcPr>
          <w:p>
            <w:pPr>
              <w:pStyle w:val="16"/>
            </w:pPr>
          </w:p>
        </w:tc>
        <w:tc>
          <w:tcPr>
            <w:tcW w:w="2551" w:type="dxa"/>
            <w:vAlign w:val="center"/>
          </w:tcPr>
          <w:p>
            <w:pPr>
              <w:pStyle w:val="16"/>
            </w:pPr>
            <w:r>
              <w:t>227.51</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533.42</w:t>
            </w:r>
          </w:p>
        </w:tc>
        <w:tc>
          <w:tcPr>
            <w:tcW w:w="2551" w:type="dxa"/>
            <w:vAlign w:val="center"/>
          </w:tcPr>
          <w:p>
            <w:pPr>
              <w:pStyle w:val="20"/>
            </w:pPr>
            <w:r>
              <w:t>471.83</w:t>
            </w:r>
          </w:p>
        </w:tc>
        <w:tc>
          <w:tcPr>
            <w:tcW w:w="2551" w:type="dxa"/>
            <w:vAlign w:val="center"/>
          </w:tcPr>
          <w:p>
            <w:pPr>
              <w:pStyle w:val="20"/>
            </w:pPr>
            <w:r>
              <w:t>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360.80</w:t>
            </w:r>
          </w:p>
        </w:tc>
        <w:tc>
          <w:tcPr>
            <w:tcW w:w="2551" w:type="dxa"/>
            <w:vAlign w:val="center"/>
          </w:tcPr>
          <w:p>
            <w:pPr>
              <w:pStyle w:val="16"/>
            </w:pPr>
            <w:r>
              <w:t>360.80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101.30</w:t>
            </w:r>
          </w:p>
        </w:tc>
        <w:tc>
          <w:tcPr>
            <w:tcW w:w="2551" w:type="dxa"/>
            <w:vAlign w:val="center"/>
          </w:tcPr>
          <w:p>
            <w:pPr>
              <w:pStyle w:val="16"/>
            </w:pPr>
            <w:r>
              <w:t>101.30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106.65</w:t>
            </w:r>
          </w:p>
        </w:tc>
        <w:tc>
          <w:tcPr>
            <w:tcW w:w="2551" w:type="dxa"/>
            <w:vAlign w:val="center"/>
          </w:tcPr>
          <w:p>
            <w:pPr>
              <w:pStyle w:val="16"/>
            </w:pPr>
            <w:r>
              <w:t>106.65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68.45</w:t>
            </w:r>
          </w:p>
        </w:tc>
        <w:tc>
          <w:tcPr>
            <w:tcW w:w="2551" w:type="dxa"/>
            <w:vAlign w:val="center"/>
          </w:tcPr>
          <w:p>
            <w:pPr>
              <w:pStyle w:val="16"/>
            </w:pPr>
            <w:r>
              <w:t>68.45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10.48</w:t>
            </w:r>
          </w:p>
        </w:tc>
        <w:tc>
          <w:tcPr>
            <w:tcW w:w="2551" w:type="dxa"/>
            <w:vAlign w:val="center"/>
          </w:tcPr>
          <w:p>
            <w:pPr>
              <w:pStyle w:val="16"/>
            </w:pPr>
            <w:r>
              <w:t>10.48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34.08</w:t>
            </w:r>
          </w:p>
        </w:tc>
        <w:tc>
          <w:tcPr>
            <w:tcW w:w="2551" w:type="dxa"/>
            <w:vAlign w:val="center"/>
          </w:tcPr>
          <w:p>
            <w:pPr>
              <w:pStyle w:val="16"/>
            </w:pPr>
            <w:r>
              <w:t>34.08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10.40</w:t>
            </w:r>
          </w:p>
        </w:tc>
        <w:tc>
          <w:tcPr>
            <w:tcW w:w="2551" w:type="dxa"/>
            <w:vAlign w:val="center"/>
          </w:tcPr>
          <w:p>
            <w:pPr>
              <w:pStyle w:val="16"/>
            </w:pPr>
            <w:r>
              <w:t>10.40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0.99</w:t>
            </w:r>
          </w:p>
        </w:tc>
        <w:tc>
          <w:tcPr>
            <w:tcW w:w="2551" w:type="dxa"/>
            <w:vAlign w:val="center"/>
          </w:tcPr>
          <w:p>
            <w:pPr>
              <w:pStyle w:val="16"/>
            </w:pPr>
            <w:r>
              <w:t>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28.10</w:t>
            </w:r>
          </w:p>
        </w:tc>
        <w:tc>
          <w:tcPr>
            <w:tcW w:w="2551" w:type="dxa"/>
            <w:vAlign w:val="center"/>
          </w:tcPr>
          <w:p>
            <w:pPr>
              <w:pStyle w:val="16"/>
            </w:pPr>
            <w:r>
              <w:t>28.10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61.59</w:t>
            </w:r>
          </w:p>
        </w:tc>
        <w:tc>
          <w:tcPr>
            <w:tcW w:w="2551" w:type="dxa"/>
            <w:vAlign w:val="center"/>
          </w:tcPr>
          <w:p>
            <w:pPr>
              <w:pStyle w:val="16"/>
            </w:pPr>
          </w:p>
        </w:tc>
        <w:tc>
          <w:tcPr>
            <w:tcW w:w="2551" w:type="dxa"/>
            <w:vAlign w:val="center"/>
          </w:tcPr>
          <w:p>
            <w:pPr>
              <w:pStyle w:val="16"/>
            </w:pPr>
            <w:r>
              <w:t>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3.52</w:t>
            </w:r>
          </w:p>
        </w:tc>
        <w:tc>
          <w:tcPr>
            <w:tcW w:w="2551" w:type="dxa"/>
            <w:vAlign w:val="center"/>
          </w:tcPr>
          <w:p>
            <w:pPr>
              <w:pStyle w:val="16"/>
            </w:pPr>
          </w:p>
        </w:tc>
        <w:tc>
          <w:tcPr>
            <w:tcW w:w="2551" w:type="dxa"/>
            <w:vAlign w:val="center"/>
          </w:tcPr>
          <w:p>
            <w:pPr>
              <w:pStyle w:val="16"/>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0.26</w:t>
            </w:r>
          </w:p>
        </w:tc>
        <w:tc>
          <w:tcPr>
            <w:tcW w:w="2551" w:type="dxa"/>
            <w:vAlign w:val="center"/>
          </w:tcPr>
          <w:p>
            <w:pPr>
              <w:pStyle w:val="16"/>
            </w:pPr>
          </w:p>
        </w:tc>
        <w:tc>
          <w:tcPr>
            <w:tcW w:w="2551" w:type="dxa"/>
            <w:vAlign w:val="center"/>
          </w:tcPr>
          <w:p>
            <w:pPr>
              <w:pStyle w:val="16"/>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1.98</w:t>
            </w:r>
          </w:p>
        </w:tc>
        <w:tc>
          <w:tcPr>
            <w:tcW w:w="2551" w:type="dxa"/>
            <w:vAlign w:val="center"/>
          </w:tcPr>
          <w:p>
            <w:pPr>
              <w:pStyle w:val="16"/>
            </w:pPr>
          </w:p>
        </w:tc>
        <w:tc>
          <w:tcPr>
            <w:tcW w:w="2551" w:type="dxa"/>
            <w:vAlign w:val="center"/>
          </w:tcPr>
          <w:p>
            <w:pPr>
              <w:pStyle w:val="16"/>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13.27</w:t>
            </w:r>
          </w:p>
        </w:tc>
        <w:tc>
          <w:tcPr>
            <w:tcW w:w="2551" w:type="dxa"/>
            <w:vAlign w:val="center"/>
          </w:tcPr>
          <w:p>
            <w:pPr>
              <w:pStyle w:val="16"/>
            </w:pPr>
          </w:p>
        </w:tc>
        <w:tc>
          <w:tcPr>
            <w:tcW w:w="2551" w:type="dxa"/>
            <w:vAlign w:val="center"/>
          </w:tcPr>
          <w:p>
            <w:pPr>
              <w:pStyle w:val="16"/>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9.86</w:t>
            </w:r>
          </w:p>
        </w:tc>
        <w:tc>
          <w:tcPr>
            <w:tcW w:w="2551" w:type="dxa"/>
            <w:vAlign w:val="center"/>
          </w:tcPr>
          <w:p>
            <w:pPr>
              <w:pStyle w:val="16"/>
            </w:pPr>
          </w:p>
        </w:tc>
        <w:tc>
          <w:tcPr>
            <w:tcW w:w="2551" w:type="dxa"/>
            <w:vAlign w:val="center"/>
          </w:tcPr>
          <w:p>
            <w:pPr>
              <w:pStyle w:val="16"/>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1.28</w:t>
            </w:r>
          </w:p>
        </w:tc>
        <w:tc>
          <w:tcPr>
            <w:tcW w:w="2551" w:type="dxa"/>
            <w:vAlign w:val="center"/>
          </w:tcPr>
          <w:p>
            <w:pPr>
              <w:pStyle w:val="16"/>
            </w:pPr>
          </w:p>
        </w:tc>
        <w:tc>
          <w:tcPr>
            <w:tcW w:w="2551" w:type="dxa"/>
            <w:vAlign w:val="center"/>
          </w:tcPr>
          <w:p>
            <w:pPr>
              <w:pStyle w:val="16"/>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3.52</w:t>
            </w:r>
          </w:p>
        </w:tc>
        <w:tc>
          <w:tcPr>
            <w:tcW w:w="2551" w:type="dxa"/>
            <w:vAlign w:val="center"/>
          </w:tcPr>
          <w:p>
            <w:pPr>
              <w:pStyle w:val="16"/>
            </w:pPr>
          </w:p>
        </w:tc>
        <w:tc>
          <w:tcPr>
            <w:tcW w:w="2551" w:type="dxa"/>
            <w:vAlign w:val="center"/>
          </w:tcPr>
          <w:p>
            <w:pPr>
              <w:pStyle w:val="16"/>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1.99</w:t>
            </w:r>
          </w:p>
        </w:tc>
        <w:tc>
          <w:tcPr>
            <w:tcW w:w="2551" w:type="dxa"/>
            <w:vAlign w:val="center"/>
          </w:tcPr>
          <w:p>
            <w:pPr>
              <w:pStyle w:val="16"/>
            </w:pPr>
          </w:p>
        </w:tc>
        <w:tc>
          <w:tcPr>
            <w:tcW w:w="2551" w:type="dxa"/>
            <w:vAlign w:val="center"/>
          </w:tcPr>
          <w:p>
            <w:pPr>
              <w:pStyle w:val="16"/>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1.95</w:t>
            </w:r>
          </w:p>
        </w:tc>
        <w:tc>
          <w:tcPr>
            <w:tcW w:w="2551" w:type="dxa"/>
            <w:vAlign w:val="center"/>
          </w:tcPr>
          <w:p>
            <w:pPr>
              <w:pStyle w:val="16"/>
            </w:pPr>
          </w:p>
        </w:tc>
        <w:tc>
          <w:tcPr>
            <w:tcW w:w="2551" w:type="dxa"/>
            <w:vAlign w:val="center"/>
          </w:tcPr>
          <w:p>
            <w:pPr>
              <w:pStyle w:val="16"/>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12.66</w:t>
            </w:r>
          </w:p>
        </w:tc>
        <w:tc>
          <w:tcPr>
            <w:tcW w:w="2551" w:type="dxa"/>
            <w:vAlign w:val="center"/>
          </w:tcPr>
          <w:p>
            <w:pPr>
              <w:pStyle w:val="16"/>
            </w:pPr>
          </w:p>
        </w:tc>
        <w:tc>
          <w:tcPr>
            <w:tcW w:w="2551" w:type="dxa"/>
            <w:vAlign w:val="center"/>
          </w:tcPr>
          <w:p>
            <w:pPr>
              <w:pStyle w:val="16"/>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111.03</w:t>
            </w:r>
          </w:p>
        </w:tc>
        <w:tc>
          <w:tcPr>
            <w:tcW w:w="2551" w:type="dxa"/>
            <w:vAlign w:val="center"/>
          </w:tcPr>
          <w:p>
            <w:pPr>
              <w:pStyle w:val="16"/>
            </w:pPr>
            <w:r>
              <w:t>111.03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16.81</w:t>
            </w:r>
          </w:p>
        </w:tc>
        <w:tc>
          <w:tcPr>
            <w:tcW w:w="2551" w:type="dxa"/>
            <w:vAlign w:val="center"/>
          </w:tcPr>
          <w:p>
            <w:pPr>
              <w:pStyle w:val="16"/>
            </w:pPr>
            <w:r>
              <w:t>16.81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92.56</w:t>
            </w:r>
          </w:p>
        </w:tc>
        <w:tc>
          <w:tcPr>
            <w:tcW w:w="2551" w:type="dxa"/>
            <w:vAlign w:val="center"/>
          </w:tcPr>
          <w:p>
            <w:pPr>
              <w:pStyle w:val="16"/>
            </w:pPr>
            <w:r>
              <w:t>92.56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廊坊市广阳区文化广电和旅游局本级2023年单位预算信息公开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预算法》、《地方预决算公开操作规程》和《关于进一步推进预算公开工作的实施意见》规定，现将廊坊市广阳区文化广电和旅游局本级2023年单位预算公开如下：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（一）贯彻执行党和国家文化、广电、旅游和文物工作方针政策和法律法规。研究拟订全区文化、广电、旅游和文物政策措 施。</w:t>
      </w:r>
    </w:p>
    <w:p>
      <w:pPr>
        <w:pStyle w:val="30"/>
      </w:pPr>
      <w:r>
        <w:t>（二）拟订全区文化事业、旅游产业、广播电视、文物领域发展规划并组织实施，加快文化和旅游融合发展，推进文化、广 电、旅游和文物体制机制改革。</w:t>
      </w:r>
    </w:p>
    <w:p>
      <w:pPr>
        <w:pStyle w:val="30"/>
      </w:pPr>
      <w:r>
        <w:t>（三）管理全区性重大文化活动。指导全区重点文化设施建设，组织广阳旅游整体形象推广，促进文化和旅游产业对外合作和国际市场推广，制定全区旅游市场开发营销战略并组织实施， 指导推进峑域旅游。</w:t>
      </w:r>
    </w:p>
    <w:p>
      <w:pPr>
        <w:pStyle w:val="30"/>
      </w:pPr>
      <w:r>
        <w:t>（四）指导、管理全区文艺事业。指导艺术创作生产，扶持体现社会主义核心价值观、具有导向性代表性示范性的文艺作品，推动全区各门类艺术、各艺术品种发展。</w:t>
      </w:r>
    </w:p>
    <w:p>
      <w:pPr>
        <w:pStyle w:val="30"/>
      </w:pPr>
      <w:r>
        <w:t>（五）负责全区公共文化事业发展。推进全区文化、旅游和广播电视公共服务体系建设；深入实施文化惠民工程，统筹推进 全区基本公共文化服务标准化、均等化。</w:t>
      </w:r>
    </w:p>
    <w:p>
      <w:pPr>
        <w:pStyle w:val="30"/>
      </w:pPr>
      <w:r>
        <w:t>（六）指导推进全区文化、旅游行业信息化、标准化建设，推进广播电视科技创新发展。</w:t>
      </w:r>
    </w:p>
    <w:p>
      <w:pPr>
        <w:pStyle w:val="30"/>
      </w:pPr>
      <w:r>
        <w:t>（七）负责全区非物质文化遗产保护，推动非物质文化遗产的保护、传承、普及、弘扬和振兴。</w:t>
      </w:r>
    </w:p>
    <w:p>
      <w:pPr>
        <w:pStyle w:val="30"/>
      </w:pPr>
      <w:r>
        <w:t>（八）</w:t>
      </w:r>
      <w:r>
        <w:tab/>
      </w:r>
      <w:r>
        <w:t>统筹规划全区文化产业和旅游产业。组织实施文化和旅游资源普查、挖掘、保护和利用工作，促进文化产业和旅游产 业发展。</w:t>
      </w:r>
    </w:p>
    <w:p>
      <w:pPr>
        <w:pStyle w:val="30"/>
      </w:pPr>
      <w:r>
        <w:t>（九）</w:t>
      </w:r>
      <w:r>
        <w:tab/>
      </w:r>
      <w:r>
        <w:t>指导全区文化、广电和旅游市场发展。对文化、旅游和广播电视市场经营进行行业监管，推进全区文化、旅游和广播电视行业信用体系建设，依法规范文化、旅游和广播电视市场。</w:t>
      </w:r>
    </w:p>
    <w:p>
      <w:pPr>
        <w:pStyle w:val="30"/>
      </w:pPr>
      <w: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播电视广告播放。</w:t>
      </w:r>
    </w:p>
    <w:p>
      <w:pPr>
        <w:pStyle w:val="30"/>
      </w:pPr>
      <w:r>
        <w:t>（十一）指导和监管全区广播电视重点基础设施建设。指导、推进全区广播电视领域体制机制改革。组织实施全区广播电视公共服务重大公益工程和公益活动，负责推进广播电视与新媒体新技术新业态融合发展，推进广电网与电信网、互联网三网融合，促进智慧广电发展。</w:t>
      </w:r>
    </w:p>
    <w:p>
      <w:pPr>
        <w:pStyle w:val="30"/>
      </w:pPr>
      <w:r>
        <w:t>（十二）负责对全区广播电视节目传输覆盖、监听、监看、监测的监管，推进全区应急广播体系建设，监管协调调度全区广 播电视安全播出。负责全区广播电视统计工作。</w:t>
      </w:r>
    </w:p>
    <w:p>
      <w:pPr>
        <w:pStyle w:val="30"/>
      </w:pPr>
      <w:r>
        <w:t>（十三）指导全区文化市场综合执法。指导查处全区性文化、文物、广播电视、旅游市场以及文物保护领域的违法行为，做好 案件查办工作，维护市场秩序。</w:t>
      </w:r>
    </w:p>
    <w:p>
      <w:pPr>
        <w:pStyle w:val="30"/>
      </w:pPr>
      <w:r>
        <w:t>（十四）指导、管理全区文化、旅游、广播电视、文物领域对外交流、合作和宣传、推广工作。代表区政府签订对外文化和旅游合作协定，组织大型文化和旅游对外及对港澳台交流活动， 推动中华文化和广阳特色文化走出去。</w:t>
      </w:r>
    </w:p>
    <w:p>
      <w:pPr>
        <w:pStyle w:val="30"/>
      </w:pPr>
      <w:r>
        <w:t>（十五）负责全区文物资源的调查、勘探、发掘工作；组织、协调全区文物保护和考古项目的实施工作；组织指导文物保护宣传工作；拟订文物保护制度和办法并负责督促检查；协调和指导 文物保护工作。</w:t>
      </w:r>
    </w:p>
    <w:p>
      <w:pPr>
        <w:pStyle w:val="30"/>
      </w:pPr>
      <w:r>
        <w:t>（十六）完成区委、区政府交办的其他任务。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廊坊市广阳区文化广电和旅游局本级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反映本单位当年全部收入。2023年预算收入885.69万元，其中：一般公共预算收入795.74万元，基金预算收入0万元，财政专户核拨收入0万元，其他来源收入0万元，上年结转89.95万元。</w:t>
      </w:r>
    </w:p>
    <w:p>
      <w:pPr>
        <w:pStyle w:val="31"/>
      </w:pPr>
      <w:r>
        <w:t>2、支出说明</w:t>
      </w:r>
    </w:p>
    <w:p>
      <w:pPr>
        <w:pStyle w:val="31"/>
      </w:pPr>
      <w:r>
        <w:t>收支预算总表支出栏、基本支出表、项目支出表按经济分类和支出功能分类科目编制，反映廊坊市广阳区文化广电和旅游局本级2023年度单位预算中支出预算的总体情况。2023年支出预算885.69万元，其中：基本支出533.42万元，包括人员经费471.83万元和日常公用经费61.59万元；项目支出352.27万元，全部为本级支出，主要为：“三馆一站”免费开放补助资金、公共文化服务体系建设补助资金、电影公司人员经费等项目。</w:t>
      </w:r>
    </w:p>
    <w:p>
      <w:pPr>
        <w:pStyle w:val="31"/>
      </w:pPr>
      <w:r>
        <w:t>3、比上年增减情况</w:t>
      </w:r>
    </w:p>
    <w:p>
      <w:pPr>
        <w:pStyle w:val="31"/>
      </w:pPr>
      <w:r>
        <w:t>2023年预算收支安排885.69万元，较2022年预算增加110.49万元，其中：基本支出增加36.12万元，增加原因主要为人员经费支出增加；项目支出增加74.37万元，增加原因主要为2022年由于受疫情影响上级项目资金不能按计划支出，结转到本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2023年，我单位运行经费共计安排61.59万元，主要用于办公区的日常维修、办公费用、办公用房水电费、办公用房取暖费、邮电费、差旅费、办公用房物业管理费、公务用车运行维护费等日常运行支出。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1、文化方面：（1）、整体提升广阳区区级群艺馆和广阳区图书馆服务效能；（2）、提升镇（街道）文化站整体水平，推进基层文化设施达标建设；（3）、搭建文化惠民平台，打造特色活动品牌，积极组织承办“七进”文化惠民演出、传统节日演出、免费开放培训等活动。</w:t>
      </w:r>
    </w:p>
    <w:p>
      <w:pPr>
        <w:pStyle w:val="26"/>
      </w:pPr>
      <w:r>
        <w:t>2、非物质文化遗产方面：（1）、推进非遗传承保护，加强非遗宣传，开展非遗专家培训活动；（2）、加快非遗市场化步伐，积极探索“非遗+”产业发展新模式，推动非遗文化融入现代生活，加快非遗产品市场化、产业化步伐，赋予非遗文化新的活力；（3）、做好非遗服务工作，开展市级代表性传承人申报工作，积极争取上级非遗资金。</w:t>
      </w:r>
    </w:p>
    <w:p>
      <w:pPr>
        <w:pStyle w:val="26"/>
      </w:pPr>
      <w:r>
        <w:t>3、广电和产业方面：聚焦项目建设，大力发展文旅产业。</w:t>
      </w:r>
    </w:p>
    <w:p>
      <w:pPr>
        <w:pStyle w:val="26"/>
      </w:pPr>
      <w:r>
        <w:t>4、旅游方面：我局将进一步科学谋划旅游工作，增设旅游线路，加大旅游宣传力度。</w:t>
      </w:r>
    </w:p>
    <w:p>
      <w:pPr>
        <w:pStyle w:val="26"/>
      </w:pPr>
      <w:r>
        <w:t>5、市场管理方面：强化底线思维，扎实做好监管工作。（1）、探索建立联合检查机制。（2）、狠抓重点场所常态化检查。（3）、提升文明规范检查形象。</w:t>
      </w:r>
    </w:p>
    <w:p>
      <w:pPr>
        <w:spacing w:line="500" w:lineRule="exact"/>
        <w:ind w:firstLine="560"/>
      </w:pPr>
      <w:r>
        <w:rPr>
          <w:rFonts w:eastAsia="方正仿宋_GBK"/>
          <w:color w:val="000000"/>
          <w:sz w:val="28"/>
        </w:rPr>
        <w:t>（二）分项绩效目标</w:t>
      </w:r>
    </w:p>
    <w:p>
      <w:pPr>
        <w:pStyle w:val="27"/>
        <w:rPr>
          <w:lang w:eastAsia="zh-CN"/>
        </w:rPr>
      </w:pPr>
      <w:r>
        <w:t>1、开展文化和旅游市场监管</w:t>
      </w:r>
    </w:p>
    <w:p>
      <w:pPr>
        <w:pStyle w:val="27"/>
      </w:pPr>
      <w:r>
        <w:t>绩效目标：通过开展旅游企业、文化娱乐场所监督指导，通过开展安全监管活动，全面提升行业人员安全意识，提高应急处置能力，减少游客财产和安全损失，进一步加强文化和旅游市场监管。</w:t>
      </w:r>
    </w:p>
    <w:p>
      <w:pPr>
        <w:pStyle w:val="27"/>
      </w:pPr>
      <w:r>
        <w:t>绩效指标：全年安全检查不少于6次，检查文旅企业不少于70家，文旅行业安全生产事故为0，群众对旅游市场满意度大于85%。</w:t>
      </w:r>
    </w:p>
    <w:p>
      <w:pPr>
        <w:pStyle w:val="27"/>
      </w:pPr>
      <w:r>
        <w:t>2、做好国家A级景区创建、提升工作</w:t>
      </w:r>
    </w:p>
    <w:p>
      <w:pPr>
        <w:pStyle w:val="27"/>
      </w:pPr>
      <w:r>
        <w:t>绩效目标：通过开展国家A级景区创建工作，提升全区景区数量与质量，将3A级及以上景区接入大数据平台，进一步加强旅游信息化建设，提升监管水平，为广大市民提供优质旅游供给服务。</w:t>
      </w:r>
    </w:p>
    <w:p>
      <w:pPr>
        <w:pStyle w:val="27"/>
      </w:pPr>
      <w:r>
        <w:t>绩效指标：全年开展A级景区创建工作专题辅导1次，被辅导景区满意度达到90%以上， 3A级景区接入省旅游大数据平台完成率100%。</w:t>
      </w:r>
    </w:p>
    <w:p>
      <w:pPr>
        <w:pStyle w:val="27"/>
      </w:pPr>
      <w:r>
        <w:t>3、做好“三馆一站”免费开放工作</w:t>
      </w:r>
    </w:p>
    <w:p>
      <w:pPr>
        <w:pStyle w:val="27"/>
      </w:pPr>
      <w:r>
        <w:t>绩效目标：通过免费开放资金的足额拨付，保障辖区文化站和两馆全部免费向社会公众开展基本公共文化服务，使公共文化设施达标，机构和队伍健全，实现公共文化资源共享，公益阅读服务能力提高，基本公共文化服务标准化，均等化水平不断提高。</w:t>
      </w:r>
    </w:p>
    <w:p>
      <w:pPr>
        <w:pStyle w:val="27"/>
      </w:pPr>
      <w:r>
        <w:t>绩效指标：补助文化站数量9个、文化设施达标率达到100%、两馆免费开放时间全年不低于2400个小时、文化站每周免费开放不低于42小时、受益群众对免费开放文化站服务的满意度高于90%，讲座培训业务及时完成率高于95%。</w:t>
      </w:r>
    </w:p>
    <w:p>
      <w:pPr>
        <w:pStyle w:val="27"/>
      </w:pPr>
      <w:r>
        <w:t>4、做好公共文化服务体系建设工作</w:t>
      </w:r>
    </w:p>
    <w:p>
      <w:pPr>
        <w:pStyle w:val="27"/>
      </w:pPr>
      <w:r>
        <w:t>绩效目标：通过中央补助公共文化建设资金的拨付,进一步促进基层公共文化服务供给,促进基本公共文化服务标准化、均等化。确保辖区广大居民能够享受到公共文化服务、文化活动等基本文化权益。</w:t>
      </w:r>
    </w:p>
    <w:p>
      <w:pPr>
        <w:pStyle w:val="27"/>
      </w:pPr>
      <w:r>
        <w:t>绩效指标：开展文化惠民演出活动每年不低于84场、全年发放文化惠民卡296张、文化惠民券不低于14000张、送公益流动文化服务进基层完成率≥90%、文化设施达标率达到100%、文化活动按年度完成及时率≥90%、推动公共文化服务水平稳步提升、受益群众对公共文化服务的满意度≥90%。</w:t>
      </w:r>
    </w:p>
    <w:p>
      <w:pPr>
        <w:pStyle w:val="27"/>
      </w:pPr>
      <w:r>
        <w:t>5、保证电影公司人员稳定</w:t>
      </w:r>
    </w:p>
    <w:p>
      <w:pPr>
        <w:pStyle w:val="27"/>
      </w:pPr>
      <w:r>
        <w:t>绩效目标：积极协调相关部门，确保到达法定退休年龄的职工能按时退休，享受正常的医疗保障，确实达到病有所医。为确保和维护电影公司退休和在职职工的稳定团结，能按时享受相应的合理福利费用。</w:t>
      </w:r>
    </w:p>
    <w:p>
      <w:pPr>
        <w:pStyle w:val="27"/>
      </w:pPr>
      <w:r>
        <w:t>绩效指标：受益职工人数35人、补助覆盖率100%、资金拨付和发放完成率100%、改善了全体职工生活水平、确保了职工稳定、受益职工满意度≥95%。</w:t>
      </w:r>
    </w:p>
    <w:p>
      <w:pPr>
        <w:pStyle w:val="27"/>
      </w:pPr>
      <w:r>
        <w:t>6、开展非物质文化遗产保护工作</w:t>
      </w:r>
    </w:p>
    <w:p>
      <w:pPr>
        <w:pStyle w:val="27"/>
      </w:pPr>
      <w:r>
        <w:t>绩效目标：科学预算、规范评定、合理安排、监督使用，保证各项工作开展并取得阶段性成效，使项目保护更加规范有效，优秀非物质文化遗产的社会认知度和保护工作的社会参与度持续提升。传承有利于保护当地的非物质文化遗产，保存文化的多样性，促进社会的和谐稳定可持续发展。</w:t>
      </w:r>
    </w:p>
    <w:p>
      <w:pPr>
        <w:pStyle w:val="27"/>
      </w:pPr>
      <w:r>
        <w:t>绩效指标： 省级非遗传承人补助人数7人、 非遗传承人补贴准确率达到100%、 资金拨付及时、 非遗传承人群稳步增长、对中华优秀传统文化传承影响持续稳步增长。</w:t>
      </w:r>
    </w:p>
    <w:p>
      <w:pPr>
        <w:spacing w:line="500" w:lineRule="exact"/>
        <w:ind w:firstLine="560"/>
      </w:pPr>
      <w:r>
        <w:rPr>
          <w:rFonts w:eastAsia="方正仿宋_GBK"/>
          <w:color w:val="000000"/>
          <w:sz w:val="28"/>
        </w:rPr>
        <w:t>（三）工作保障措施</w:t>
      </w:r>
    </w:p>
    <w:p>
      <w:pPr>
        <w:pStyle w:val="28"/>
      </w:pPr>
      <w:r>
        <w:t>1.完善制度建设。进一步完善财务管理制度，重新制定了《廊坊市广阳区文化广电和旅游局财务管理制度》并在全局印发，确保机关干部熟悉制度内容，严格遵照执行。</w:t>
      </w:r>
    </w:p>
    <w:p>
      <w:pPr>
        <w:pStyle w:val="28"/>
      </w:pPr>
      <w:r>
        <w:t>2.加强支出管理。明确专人严格审核各项原始凭证，对不合理的原始凭证不予报销，材料齐全才能予以支出。</w:t>
      </w:r>
    </w:p>
    <w:p>
      <w:pPr>
        <w:pStyle w:val="28"/>
      </w:pPr>
      <w:r>
        <w:t>3.加强绩效运行监控。为进一步加强和规范预算绩效运行监控工作，建立预算绩效运行监控机制，确保绩效目标如期保质保量实现，提高财政资金使用效益。在预算执行过程中,对预算项目实施进度、预算执行进度和绩效目标实现程度等开展跟踪监控和纠偏处理的管理活动。</w:t>
      </w:r>
    </w:p>
    <w:p>
      <w:pPr>
        <w:pStyle w:val="28"/>
      </w:pPr>
      <w:r>
        <w:t>4.做好绩效自评。不断强化意识形态，重点开展绩效自评工作，专人专责，保证落实实处。根据单位内部职责分工，组织办公室人员、项目负责人和财务人员管理协调、研究分析、督促落实等工作。明确绩效评价的范围，明确主体责任，规范工作内容。</w:t>
      </w:r>
    </w:p>
    <w:p>
      <w:pPr>
        <w:pStyle w:val="28"/>
      </w:pPr>
      <w:r>
        <w:t>5.规范财务资产管理。制定资产管理制度细则，完善相关内容。规范资产管理流程，并严格执行。提高固定资产的使用效益、优化资产配置，防止资产流失、降低资产损耗，提高资产使用效益，保障工作的顺利发展。</w:t>
      </w:r>
    </w:p>
    <w:p>
      <w:pPr>
        <w:pStyle w:val="28"/>
      </w:pPr>
      <w:r>
        <w:t xml:space="preserve">6.加强内部监督。持续抓好党风廉政建设责任制和作风建设工作，严格学法守法，发挥内部监督职能。成立内部审计部门，组织实施单位内部审计、内部监督、内部控制等相关工作。  </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567"/>
        <w:gridCol w:w="3260"/>
        <w:gridCol w:w="4383"/>
        <w:gridCol w:w="3272"/>
        <w:gridCol w:w="567"/>
        <w:gridCol w:w="567"/>
        <w:gridCol w:w="754"/>
        <w:gridCol w:w="73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88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3260" w:type="dxa"/>
            <w:vMerge w:val="continue"/>
            <w:shd w:val="clear" w:color="auto" w:fill="auto"/>
            <w:vAlign w:val="center"/>
          </w:tcPr>
          <w:p>
            <w:pPr>
              <w:rPr>
                <w:rFonts w:ascii="方正书宋_GBK" w:hAnsi="宋体" w:eastAsia="方正书宋_GBK" w:cs="宋体"/>
                <w:b/>
                <w:bCs/>
                <w:color w:val="000000"/>
              </w:rPr>
            </w:pPr>
          </w:p>
        </w:tc>
        <w:tc>
          <w:tcPr>
            <w:tcW w:w="4383" w:type="dxa"/>
            <w:vMerge w:val="continue"/>
            <w:shd w:val="clear" w:color="auto" w:fill="auto"/>
            <w:vAlign w:val="center"/>
          </w:tcPr>
          <w:p>
            <w:pPr>
              <w:rPr>
                <w:rFonts w:ascii="方正书宋_GBK" w:hAnsi="宋体" w:eastAsia="方正书宋_GBK" w:cs="宋体"/>
                <w:b/>
                <w:bCs/>
                <w:color w:val="000000"/>
              </w:rPr>
            </w:pPr>
          </w:p>
        </w:tc>
        <w:tc>
          <w:tcPr>
            <w:tcW w:w="3272" w:type="dxa"/>
            <w:vMerge w:val="continue"/>
            <w:shd w:val="clear" w:color="auto" w:fill="auto"/>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736"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补助文化站数量</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补助文化站数量</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个</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行政区划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送公益流动文化服务进基层完成率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年度公共文化设施免费开放时间</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年度公共文化设施免费开放时间达标率320天2400小时</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2400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小时</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rPr>
            </w:pPr>
          </w:p>
        </w:tc>
        <w:tc>
          <w:tcPr>
            <w:tcW w:w="4383" w:type="dxa"/>
            <w:vMerge w:val="continue"/>
            <w:shd w:val="clear" w:color="auto" w:fill="auto"/>
            <w:vAlign w:val="center"/>
          </w:tcPr>
          <w:p>
            <w:pPr>
              <w:rPr>
                <w:rFonts w:ascii="方正书宋_GBK" w:hAnsi="宋体" w:eastAsia="方正书宋_GBK" w:cs="宋体"/>
                <w:color w:val="000000"/>
              </w:rPr>
            </w:pPr>
          </w:p>
        </w:tc>
        <w:tc>
          <w:tcPr>
            <w:tcW w:w="3272"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754" w:type="dxa"/>
            <w:vMerge w:val="continue"/>
            <w:shd w:val="clear" w:color="auto" w:fill="auto"/>
            <w:vAlign w:val="center"/>
          </w:tcPr>
          <w:p>
            <w:pPr>
              <w:rPr>
                <w:rFonts w:ascii="方正书宋_GBK" w:hAnsi="宋体" w:eastAsia="方正书宋_GBK" w:cs="宋体"/>
                <w:color w:val="000000"/>
              </w:rPr>
            </w:pPr>
          </w:p>
        </w:tc>
        <w:tc>
          <w:tcPr>
            <w:tcW w:w="736" w:type="dxa"/>
            <w:vMerge w:val="continue"/>
            <w:shd w:val="clear" w:color="auto" w:fill="auto"/>
            <w:vAlign w:val="center"/>
          </w:tcPr>
          <w:p>
            <w:pP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文化设施达标率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实际文化设施达标数占文化设施总数的比率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演出活动完成率</w:t>
            </w:r>
          </w:p>
        </w:tc>
        <w:tc>
          <w:tcPr>
            <w:tcW w:w="4383"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演出活动业务按年度计划及时完成比率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资金拨付及时性</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完成文化站免费开放资金审核拨付及时性</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文化活动按年度完成及时率</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文化活动按年度完成及时率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支付凭证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讲座培训业务按年度计划完成及时率</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讲座培训业务按年度计划及时完成</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上级转移支付资金</w:t>
            </w:r>
          </w:p>
        </w:tc>
        <w:tc>
          <w:tcPr>
            <w:tcW w:w="4383"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上级转移支付资金</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财政下发</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按上级文件要求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财政投入资金</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财政投入资金</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财政下发</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按上级文件要求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群众对公共文化活动的参与率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参与公共文化服务的人数占总人数的比率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文化站向公众免费提供公共文化服务的时间</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文化站每周执行对外免费开放的总时长</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42</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小时</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免费开放服务水平稳步提升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免费开放服务水平稳步提升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逐步提升</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基本公共文化服务水平逐步提升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基本公共文化服务水平逐步提升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逐步提升</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3260"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受益群众对免费开放文化站服务的满意度</w:t>
            </w:r>
          </w:p>
        </w:tc>
        <w:tc>
          <w:tcPr>
            <w:tcW w:w="4383"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参加文化站活动满意人数占所有参与活动总人数的比率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1、“三馆一站”免费开放补助资金[省级]绩效目标表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补助文化站数量</w:t>
            </w:r>
          </w:p>
        </w:tc>
        <w:tc>
          <w:tcPr>
            <w:tcW w:w="2835" w:type="dxa"/>
            <w:vAlign w:val="center"/>
          </w:tcPr>
          <w:p>
            <w:pPr>
              <w:pStyle w:val="17"/>
            </w:pPr>
            <w:r>
              <w:t>补助文化站数量</w:t>
            </w:r>
          </w:p>
        </w:tc>
        <w:tc>
          <w:tcPr>
            <w:tcW w:w="2551" w:type="dxa"/>
            <w:vAlign w:val="center"/>
          </w:tcPr>
          <w:p>
            <w:pPr>
              <w:pStyle w:val="17"/>
            </w:pPr>
            <w:r>
              <w:t>9个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实际文化设施达标数占文化设施总数的比率</w:t>
            </w:r>
          </w:p>
        </w:tc>
        <w:tc>
          <w:tcPr>
            <w:tcW w:w="2551" w:type="dxa"/>
            <w:vAlign w:val="center"/>
          </w:tcPr>
          <w:p>
            <w:pPr>
              <w:pStyle w:val="17"/>
            </w:pPr>
            <w:r>
              <w:t>≥90百分比</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完成文化站免费开放资金审核拨付及时性</w:t>
            </w:r>
          </w:p>
        </w:tc>
        <w:tc>
          <w:tcPr>
            <w:tcW w:w="2551" w:type="dxa"/>
            <w:vAlign w:val="center"/>
          </w:tcPr>
          <w:p>
            <w:pPr>
              <w:pStyle w:val="17"/>
            </w:pPr>
            <w:r>
              <w:t>及时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补助文化站资金成本</w:t>
            </w:r>
          </w:p>
        </w:tc>
        <w:tc>
          <w:tcPr>
            <w:tcW w:w="2835" w:type="dxa"/>
            <w:vAlign w:val="center"/>
          </w:tcPr>
          <w:p>
            <w:pPr>
              <w:pStyle w:val="17"/>
            </w:pPr>
            <w:r>
              <w:t>每个文化站补助资金成本</w:t>
            </w:r>
          </w:p>
        </w:tc>
        <w:tc>
          <w:tcPr>
            <w:tcW w:w="2551" w:type="dxa"/>
            <w:vAlign w:val="center"/>
          </w:tcPr>
          <w:p>
            <w:pPr>
              <w:pStyle w:val="17"/>
            </w:pPr>
            <w:r>
              <w:t>0.5万元</w:t>
            </w:r>
          </w:p>
        </w:tc>
        <w:tc>
          <w:tcPr>
            <w:tcW w:w="2268" w:type="dxa"/>
            <w:vAlign w:val="center"/>
          </w:tcPr>
          <w:p>
            <w:pPr>
              <w:pStyle w:val="17"/>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文化站向公众免费提供公共文化服务的时间</w:t>
            </w:r>
          </w:p>
        </w:tc>
        <w:tc>
          <w:tcPr>
            <w:tcW w:w="2835" w:type="dxa"/>
            <w:vAlign w:val="center"/>
          </w:tcPr>
          <w:p>
            <w:pPr>
              <w:pStyle w:val="17"/>
            </w:pPr>
            <w:r>
              <w:t>文化站每周执行对外免费开放的总时长</w:t>
            </w:r>
          </w:p>
        </w:tc>
        <w:tc>
          <w:tcPr>
            <w:tcW w:w="2551" w:type="dxa"/>
            <w:vAlign w:val="center"/>
          </w:tcPr>
          <w:p>
            <w:pPr>
              <w:pStyle w:val="17"/>
            </w:pPr>
            <w:r>
              <w:t>≥42小时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免费开放服务水平稳步提升</w:t>
            </w:r>
          </w:p>
        </w:tc>
        <w:tc>
          <w:tcPr>
            <w:tcW w:w="2835" w:type="dxa"/>
            <w:vAlign w:val="center"/>
          </w:tcPr>
          <w:p>
            <w:pPr>
              <w:pStyle w:val="17"/>
            </w:pPr>
            <w:r>
              <w:t>免费开放服务水平稳步提升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受益群众对免费开放文化站服务的满意度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补助文化站数量</w:t>
            </w:r>
          </w:p>
        </w:tc>
        <w:tc>
          <w:tcPr>
            <w:tcW w:w="2835" w:type="dxa"/>
            <w:vAlign w:val="center"/>
          </w:tcPr>
          <w:p>
            <w:pPr>
              <w:pStyle w:val="17"/>
            </w:pPr>
            <w:r>
              <w:t>补助文化站数量</w:t>
            </w:r>
          </w:p>
        </w:tc>
        <w:tc>
          <w:tcPr>
            <w:tcW w:w="2551" w:type="dxa"/>
            <w:vAlign w:val="center"/>
          </w:tcPr>
          <w:p>
            <w:pPr>
              <w:pStyle w:val="17"/>
            </w:pPr>
            <w:r>
              <w:t>9个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实际文化设施达标数占文化设施总数的比率</w:t>
            </w:r>
          </w:p>
        </w:tc>
        <w:tc>
          <w:tcPr>
            <w:tcW w:w="2551" w:type="dxa"/>
            <w:vAlign w:val="center"/>
          </w:tcPr>
          <w:p>
            <w:pPr>
              <w:pStyle w:val="17"/>
            </w:pPr>
            <w:r>
              <w:t>≥90百分比</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完成文化站免费开放资金审核拨付及时性</w:t>
            </w:r>
          </w:p>
        </w:tc>
        <w:tc>
          <w:tcPr>
            <w:tcW w:w="2551" w:type="dxa"/>
            <w:vAlign w:val="center"/>
          </w:tcPr>
          <w:p>
            <w:pPr>
              <w:pStyle w:val="17"/>
            </w:pPr>
            <w:r>
              <w:t>及时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补助文化站资金成本</w:t>
            </w:r>
          </w:p>
        </w:tc>
        <w:tc>
          <w:tcPr>
            <w:tcW w:w="2835" w:type="dxa"/>
            <w:vAlign w:val="center"/>
          </w:tcPr>
          <w:p>
            <w:pPr>
              <w:pStyle w:val="17"/>
            </w:pPr>
            <w:r>
              <w:t>每个文化站补助资金成本</w:t>
            </w:r>
          </w:p>
        </w:tc>
        <w:tc>
          <w:tcPr>
            <w:tcW w:w="2551" w:type="dxa"/>
            <w:vAlign w:val="center"/>
          </w:tcPr>
          <w:p>
            <w:pPr>
              <w:pStyle w:val="17"/>
            </w:pPr>
            <w:r>
              <w:t>0.75万元</w:t>
            </w:r>
          </w:p>
        </w:tc>
        <w:tc>
          <w:tcPr>
            <w:tcW w:w="2268" w:type="dxa"/>
            <w:vAlign w:val="center"/>
          </w:tcPr>
          <w:p>
            <w:pPr>
              <w:pStyle w:val="17"/>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文化站向公众免费提供公共文化服务的时间</w:t>
            </w:r>
          </w:p>
        </w:tc>
        <w:tc>
          <w:tcPr>
            <w:tcW w:w="2835" w:type="dxa"/>
            <w:vAlign w:val="center"/>
          </w:tcPr>
          <w:p>
            <w:pPr>
              <w:pStyle w:val="17"/>
            </w:pPr>
            <w:r>
              <w:t>文化站每周执行对外免费开放的总时长</w:t>
            </w:r>
          </w:p>
        </w:tc>
        <w:tc>
          <w:tcPr>
            <w:tcW w:w="2551" w:type="dxa"/>
            <w:vAlign w:val="center"/>
          </w:tcPr>
          <w:p>
            <w:pPr>
              <w:pStyle w:val="17"/>
            </w:pPr>
            <w:r>
              <w:t>小时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免费开放服务水平稳步提升</w:t>
            </w:r>
          </w:p>
        </w:tc>
        <w:tc>
          <w:tcPr>
            <w:tcW w:w="2835" w:type="dxa"/>
            <w:vAlign w:val="center"/>
          </w:tcPr>
          <w:p>
            <w:pPr>
              <w:pStyle w:val="17"/>
            </w:pPr>
            <w:r>
              <w:t>免费开放服务水平稳步提升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受益群众对免费开放文化站服务的满意度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3、“三馆一站”免费开放补助资金[中央]绩效目标表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补助文化站数量</w:t>
            </w:r>
          </w:p>
        </w:tc>
        <w:tc>
          <w:tcPr>
            <w:tcW w:w="2835" w:type="dxa"/>
            <w:vAlign w:val="center"/>
          </w:tcPr>
          <w:p>
            <w:pPr>
              <w:pStyle w:val="17"/>
            </w:pPr>
            <w:r>
              <w:t>补助文化站数量</w:t>
            </w:r>
          </w:p>
        </w:tc>
        <w:tc>
          <w:tcPr>
            <w:tcW w:w="2551" w:type="dxa"/>
            <w:vAlign w:val="center"/>
          </w:tcPr>
          <w:p>
            <w:pPr>
              <w:pStyle w:val="17"/>
            </w:pPr>
            <w:r>
              <w:t>9个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实际文化设施达标数占文化设施总数的比率</w:t>
            </w:r>
          </w:p>
        </w:tc>
        <w:tc>
          <w:tcPr>
            <w:tcW w:w="2551" w:type="dxa"/>
            <w:vAlign w:val="center"/>
          </w:tcPr>
          <w:p>
            <w:pPr>
              <w:pStyle w:val="17"/>
            </w:pPr>
            <w:r>
              <w:t>≥90百分比</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完成文化站免费开放资金审核拨付及时性</w:t>
            </w:r>
          </w:p>
        </w:tc>
        <w:tc>
          <w:tcPr>
            <w:tcW w:w="2551" w:type="dxa"/>
            <w:vAlign w:val="center"/>
          </w:tcPr>
          <w:p>
            <w:pPr>
              <w:pStyle w:val="17"/>
            </w:pPr>
            <w:r>
              <w:t>及时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补助文化站资金成本</w:t>
            </w:r>
          </w:p>
        </w:tc>
        <w:tc>
          <w:tcPr>
            <w:tcW w:w="2835" w:type="dxa"/>
            <w:vAlign w:val="center"/>
          </w:tcPr>
          <w:p>
            <w:pPr>
              <w:pStyle w:val="17"/>
            </w:pPr>
            <w:r>
              <w:t>每个文化站补助资金成本</w:t>
            </w:r>
          </w:p>
        </w:tc>
        <w:tc>
          <w:tcPr>
            <w:tcW w:w="2551" w:type="dxa"/>
            <w:vAlign w:val="center"/>
          </w:tcPr>
          <w:p>
            <w:pPr>
              <w:pStyle w:val="17"/>
            </w:pPr>
            <w:r>
              <w:t>3万元</w:t>
            </w:r>
          </w:p>
        </w:tc>
        <w:tc>
          <w:tcPr>
            <w:tcW w:w="2268" w:type="dxa"/>
            <w:vAlign w:val="center"/>
          </w:tcPr>
          <w:p>
            <w:pPr>
              <w:pStyle w:val="17"/>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文化站向公众免费提供公共文化服务的时间</w:t>
            </w:r>
          </w:p>
        </w:tc>
        <w:tc>
          <w:tcPr>
            <w:tcW w:w="2835" w:type="dxa"/>
            <w:vAlign w:val="center"/>
          </w:tcPr>
          <w:p>
            <w:pPr>
              <w:pStyle w:val="17"/>
            </w:pPr>
            <w:r>
              <w:t>文化站每周执行对外免费开放的总时长</w:t>
            </w:r>
          </w:p>
        </w:tc>
        <w:tc>
          <w:tcPr>
            <w:tcW w:w="2551" w:type="dxa"/>
            <w:vAlign w:val="center"/>
          </w:tcPr>
          <w:p>
            <w:pPr>
              <w:pStyle w:val="17"/>
            </w:pPr>
            <w:r>
              <w:t>≥42小时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免费开放服务水平稳步提升</w:t>
            </w:r>
          </w:p>
        </w:tc>
        <w:tc>
          <w:tcPr>
            <w:tcW w:w="2835" w:type="dxa"/>
            <w:vAlign w:val="center"/>
          </w:tcPr>
          <w:p>
            <w:pPr>
              <w:pStyle w:val="17"/>
            </w:pPr>
            <w:r>
              <w:t>免费开放服务水平稳步提升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受益群众对免费开放文化站服务的满意度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补助文化站数量</w:t>
            </w:r>
          </w:p>
        </w:tc>
        <w:tc>
          <w:tcPr>
            <w:tcW w:w="2835" w:type="dxa"/>
            <w:vAlign w:val="center"/>
          </w:tcPr>
          <w:p>
            <w:pPr>
              <w:pStyle w:val="17"/>
            </w:pPr>
            <w:r>
              <w:t>专项资金拨付文化站数量</w:t>
            </w:r>
          </w:p>
        </w:tc>
        <w:tc>
          <w:tcPr>
            <w:tcW w:w="2551" w:type="dxa"/>
            <w:vAlign w:val="center"/>
          </w:tcPr>
          <w:p>
            <w:pPr>
              <w:pStyle w:val="17"/>
            </w:pPr>
            <w:r>
              <w:t>9个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实际文化设施达标数占文化设施总数的比率</w:t>
            </w:r>
          </w:p>
        </w:tc>
        <w:tc>
          <w:tcPr>
            <w:tcW w:w="2551" w:type="dxa"/>
            <w:vAlign w:val="center"/>
          </w:tcPr>
          <w:p>
            <w:pPr>
              <w:pStyle w:val="17"/>
            </w:pPr>
            <w:r>
              <w:t>≥90百分比</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完成文化站免费开放资金审核拨付及时性</w:t>
            </w:r>
          </w:p>
        </w:tc>
        <w:tc>
          <w:tcPr>
            <w:tcW w:w="2551" w:type="dxa"/>
            <w:vAlign w:val="center"/>
          </w:tcPr>
          <w:p>
            <w:pPr>
              <w:pStyle w:val="17"/>
            </w:pPr>
            <w:r>
              <w:t>及时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补助文化站资金成本</w:t>
            </w:r>
          </w:p>
        </w:tc>
        <w:tc>
          <w:tcPr>
            <w:tcW w:w="2835" w:type="dxa"/>
            <w:vAlign w:val="center"/>
          </w:tcPr>
          <w:p>
            <w:pPr>
              <w:pStyle w:val="17"/>
            </w:pPr>
            <w:r>
              <w:t>每个文化站补助资金成本</w:t>
            </w:r>
          </w:p>
        </w:tc>
        <w:tc>
          <w:tcPr>
            <w:tcW w:w="2551" w:type="dxa"/>
            <w:vAlign w:val="center"/>
          </w:tcPr>
          <w:p>
            <w:pPr>
              <w:pStyle w:val="17"/>
            </w:pPr>
            <w:r>
              <w:t>0.75万元</w:t>
            </w:r>
          </w:p>
        </w:tc>
        <w:tc>
          <w:tcPr>
            <w:tcW w:w="2268" w:type="dxa"/>
            <w:vAlign w:val="center"/>
          </w:tcPr>
          <w:p>
            <w:pPr>
              <w:pStyle w:val="17"/>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文化站向公众免费提供公共文化服务的时间</w:t>
            </w:r>
          </w:p>
        </w:tc>
        <w:tc>
          <w:tcPr>
            <w:tcW w:w="2835" w:type="dxa"/>
            <w:vAlign w:val="center"/>
          </w:tcPr>
          <w:p>
            <w:pPr>
              <w:pStyle w:val="17"/>
            </w:pPr>
            <w:r>
              <w:t>文化站每周执行对外免费开放的总时长</w:t>
            </w:r>
          </w:p>
        </w:tc>
        <w:tc>
          <w:tcPr>
            <w:tcW w:w="2551" w:type="dxa"/>
            <w:vAlign w:val="center"/>
          </w:tcPr>
          <w:p>
            <w:pPr>
              <w:pStyle w:val="17"/>
            </w:pPr>
            <w:r>
              <w:t>≥42小时</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免费开放服务水平稳步提升</w:t>
            </w:r>
          </w:p>
        </w:tc>
        <w:tc>
          <w:tcPr>
            <w:tcW w:w="2835" w:type="dxa"/>
            <w:vAlign w:val="center"/>
          </w:tcPr>
          <w:p>
            <w:pPr>
              <w:pStyle w:val="17"/>
            </w:pPr>
            <w:r>
              <w:t>免费开放服务水平稳步提升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受益群众对免费开放文化站服务的满意度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5、电影公司人员经费绩效目标表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1.项目资金用于电影公司在职员工养老保险、医疗保险和大病统筹、退休人员大病统筹、全体人员的取暖费、在职人员生活补助等合理支出 。积极协调相关部门，确保到达法定退休年龄的职工能按时退休，享受正常的医疗保障，确实达到病有所医。为确保和维护电影公司退休和在职职工的稳定团结，能按时享受相应的合理福利费用。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受益职工人数</w:t>
            </w:r>
          </w:p>
        </w:tc>
        <w:tc>
          <w:tcPr>
            <w:tcW w:w="2835" w:type="dxa"/>
            <w:vAlign w:val="center"/>
          </w:tcPr>
          <w:p>
            <w:pPr>
              <w:pStyle w:val="17"/>
            </w:pPr>
            <w:r>
              <w:t>电影公司职工受益人数</w:t>
            </w:r>
          </w:p>
        </w:tc>
        <w:tc>
          <w:tcPr>
            <w:tcW w:w="2551" w:type="dxa"/>
            <w:vAlign w:val="center"/>
          </w:tcPr>
          <w:p>
            <w:pPr>
              <w:pStyle w:val="17"/>
            </w:pPr>
            <w:r>
              <w:t>35人</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已补助人数占应补助人数的比率</w:t>
            </w:r>
          </w:p>
        </w:tc>
        <w:tc>
          <w:tcPr>
            <w:tcW w:w="2551" w:type="dxa"/>
            <w:vAlign w:val="center"/>
          </w:tcPr>
          <w:p>
            <w:pPr>
              <w:pStyle w:val="17"/>
            </w:pPr>
            <w:r>
              <w:t>100百分比</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资金拨付和发放完成情况</w:t>
            </w:r>
          </w:p>
        </w:tc>
        <w:tc>
          <w:tcPr>
            <w:tcW w:w="2551" w:type="dxa"/>
            <w:vAlign w:val="center"/>
          </w:tcPr>
          <w:p>
            <w:pPr>
              <w:pStyle w:val="17"/>
            </w:pPr>
            <w:r>
              <w:t>100百分比</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财政投入经费</w:t>
            </w:r>
          </w:p>
        </w:tc>
        <w:tc>
          <w:tcPr>
            <w:tcW w:w="2835" w:type="dxa"/>
            <w:vAlign w:val="center"/>
          </w:tcPr>
          <w:p>
            <w:pPr>
              <w:pStyle w:val="17"/>
            </w:pPr>
            <w:r>
              <w:t>财政投入的电影公司职工经费</w:t>
            </w:r>
          </w:p>
        </w:tc>
        <w:tc>
          <w:tcPr>
            <w:tcW w:w="2551" w:type="dxa"/>
            <w:vAlign w:val="center"/>
          </w:tcPr>
          <w:p>
            <w:pPr>
              <w:pStyle w:val="17"/>
            </w:pPr>
            <w:r>
              <w:t>60万元</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改善全体职工生活水平情况</w:t>
            </w:r>
          </w:p>
        </w:tc>
        <w:tc>
          <w:tcPr>
            <w:tcW w:w="2835" w:type="dxa"/>
            <w:vAlign w:val="center"/>
          </w:tcPr>
          <w:p>
            <w:pPr>
              <w:pStyle w:val="17"/>
            </w:pPr>
            <w:r>
              <w:t>电影公司全体员工生活水平提高情况</w:t>
            </w:r>
          </w:p>
        </w:tc>
        <w:tc>
          <w:tcPr>
            <w:tcW w:w="2551" w:type="dxa"/>
            <w:vAlign w:val="center"/>
          </w:tcPr>
          <w:p>
            <w:pPr>
              <w:pStyle w:val="17"/>
            </w:pPr>
            <w:r>
              <w:t>逐步</w:t>
            </w:r>
          </w:p>
          <w:p>
            <w:pPr>
              <w:pStyle w:val="17"/>
            </w:pPr>
            <w:r>
              <w:t>提高</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确保职工稳定情况</w:t>
            </w:r>
          </w:p>
        </w:tc>
        <w:tc>
          <w:tcPr>
            <w:tcW w:w="2835" w:type="dxa"/>
            <w:vAlign w:val="center"/>
          </w:tcPr>
          <w:p>
            <w:pPr>
              <w:pStyle w:val="17"/>
            </w:pPr>
            <w:r>
              <w:t>确保电影公司职工稳定情况</w:t>
            </w:r>
          </w:p>
        </w:tc>
        <w:tc>
          <w:tcPr>
            <w:tcW w:w="2551" w:type="dxa"/>
            <w:vAlign w:val="center"/>
          </w:tcPr>
          <w:p>
            <w:pPr>
              <w:pStyle w:val="17"/>
            </w:pPr>
            <w:r>
              <w:t>逐步提升</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受益职工满意度</w:t>
            </w:r>
          </w:p>
        </w:tc>
        <w:tc>
          <w:tcPr>
            <w:tcW w:w="2835" w:type="dxa"/>
            <w:vAlign w:val="center"/>
          </w:tcPr>
          <w:p>
            <w:pPr>
              <w:pStyle w:val="17"/>
            </w:pPr>
            <w:r>
              <w:t>电影公司职工满意人数占总人数的比例</w:t>
            </w:r>
          </w:p>
        </w:tc>
        <w:tc>
          <w:tcPr>
            <w:tcW w:w="2551" w:type="dxa"/>
            <w:vAlign w:val="center"/>
          </w:tcPr>
          <w:p>
            <w:pPr>
              <w:pStyle w:val="17"/>
            </w:pPr>
            <w:r>
              <w:t>≥95百分比</w:t>
            </w:r>
          </w:p>
        </w:tc>
        <w:tc>
          <w:tcPr>
            <w:tcW w:w="2268" w:type="dxa"/>
            <w:vAlign w:val="center"/>
          </w:tcPr>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6、公共文化服务体系建设补助资金[中央]绩效目标表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1.通过中央补助公共文化建设资金的拨付,进一步促进基层公共文化服务供给,促进基本公共文化服务标准化、均等化。确保辖区广大居民能够享受到公共文化服务、文化活动等基本文化权益。</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送公益流动文化服务进基层完成率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文化设施达标率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文化活动按年度完成及时率</w:t>
            </w:r>
          </w:p>
        </w:tc>
        <w:tc>
          <w:tcPr>
            <w:tcW w:w="2835" w:type="dxa"/>
            <w:vAlign w:val="center"/>
          </w:tcPr>
          <w:p>
            <w:pPr>
              <w:pStyle w:val="17"/>
            </w:pPr>
            <w:r>
              <w:t>文化活动按年度完成及时率</w:t>
            </w:r>
          </w:p>
        </w:tc>
        <w:tc>
          <w:tcPr>
            <w:tcW w:w="2551" w:type="dxa"/>
            <w:vAlign w:val="center"/>
          </w:tcPr>
          <w:p>
            <w:pPr>
              <w:pStyle w:val="17"/>
            </w:pPr>
            <w:r>
              <w:t>≥90百分比</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中央转移支付资金金额</w:t>
            </w:r>
          </w:p>
        </w:tc>
        <w:tc>
          <w:tcPr>
            <w:tcW w:w="2835" w:type="dxa"/>
            <w:vAlign w:val="center"/>
          </w:tcPr>
          <w:p>
            <w:pPr>
              <w:pStyle w:val="17"/>
            </w:pPr>
            <w:r>
              <w:t>中央转移支付资金金额</w:t>
            </w:r>
          </w:p>
        </w:tc>
        <w:tc>
          <w:tcPr>
            <w:tcW w:w="2551" w:type="dxa"/>
            <w:vAlign w:val="center"/>
          </w:tcPr>
          <w:p>
            <w:pPr>
              <w:pStyle w:val="17"/>
            </w:pPr>
            <w:r>
              <w:t>133.84万元</w:t>
            </w:r>
          </w:p>
        </w:tc>
        <w:tc>
          <w:tcPr>
            <w:tcW w:w="2268" w:type="dxa"/>
            <w:vAlign w:val="center"/>
          </w:tcPr>
          <w:p>
            <w:pPr>
              <w:pStyle w:val="17"/>
            </w:pPr>
            <w: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推动公共文化服务水平提升</w:t>
            </w:r>
          </w:p>
        </w:tc>
        <w:tc>
          <w:tcPr>
            <w:tcW w:w="2835" w:type="dxa"/>
            <w:vAlign w:val="center"/>
          </w:tcPr>
          <w:p>
            <w:pPr>
              <w:pStyle w:val="17"/>
            </w:pPr>
            <w:r>
              <w:t>用来描述开展该项目是否可以促进公共文化服务水平提升</w:t>
            </w:r>
          </w:p>
        </w:tc>
        <w:tc>
          <w:tcPr>
            <w:tcW w:w="2551" w:type="dxa"/>
            <w:vAlign w:val="center"/>
          </w:tcPr>
          <w:p>
            <w:pPr>
              <w:pStyle w:val="17"/>
            </w:pPr>
            <w:r>
              <w:t>稳步提升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7、公共文化服务体系建设补助资金（文化项目）[市级]绩效目标表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1.通过补助扶持农村文化建设，促进基本公共文化服务标准化、均等化，确保广大农村居民能够享受到公共文化服务、农村文化活动等基本文化权益。</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送公益流动文化服务进基层完成率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文化设施达标率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文化活动按年度完成及时率</w:t>
            </w:r>
          </w:p>
        </w:tc>
        <w:tc>
          <w:tcPr>
            <w:tcW w:w="2835" w:type="dxa"/>
            <w:vAlign w:val="center"/>
          </w:tcPr>
          <w:p>
            <w:pPr>
              <w:pStyle w:val="17"/>
            </w:pPr>
            <w:r>
              <w:t>文化活动按年度完成及时率</w:t>
            </w:r>
          </w:p>
        </w:tc>
        <w:tc>
          <w:tcPr>
            <w:tcW w:w="2551" w:type="dxa"/>
            <w:vAlign w:val="center"/>
          </w:tcPr>
          <w:p>
            <w:pPr>
              <w:pStyle w:val="17"/>
            </w:pPr>
            <w:r>
              <w:t>≥90百分比</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市级转移支付资金金额</w:t>
            </w:r>
          </w:p>
        </w:tc>
        <w:tc>
          <w:tcPr>
            <w:tcW w:w="2835" w:type="dxa"/>
            <w:vAlign w:val="center"/>
          </w:tcPr>
          <w:p>
            <w:pPr>
              <w:pStyle w:val="17"/>
            </w:pPr>
            <w:r>
              <w:t>市级转移支付资金金额</w:t>
            </w:r>
          </w:p>
        </w:tc>
        <w:tc>
          <w:tcPr>
            <w:tcW w:w="2551" w:type="dxa"/>
            <w:vAlign w:val="center"/>
          </w:tcPr>
          <w:p>
            <w:pPr>
              <w:pStyle w:val="17"/>
            </w:pPr>
            <w:r>
              <w:t>8.3万元</w:t>
            </w:r>
          </w:p>
        </w:tc>
        <w:tc>
          <w:tcPr>
            <w:tcW w:w="2268" w:type="dxa"/>
            <w:vAlign w:val="center"/>
          </w:tcPr>
          <w:p>
            <w:pPr>
              <w:pStyle w:val="17"/>
            </w:pPr>
            <w:r>
              <w:t>廊财教[2022]40号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推动公共文化服务水平提升</w:t>
            </w:r>
          </w:p>
        </w:tc>
        <w:tc>
          <w:tcPr>
            <w:tcW w:w="2835" w:type="dxa"/>
            <w:vAlign w:val="center"/>
          </w:tcPr>
          <w:p>
            <w:pPr>
              <w:pStyle w:val="17"/>
            </w:pPr>
            <w:r>
              <w:t>用来描述开展该项目是否可以促进公共文化服务水平提升</w:t>
            </w:r>
          </w:p>
        </w:tc>
        <w:tc>
          <w:tcPr>
            <w:tcW w:w="2551" w:type="dxa"/>
            <w:vAlign w:val="center"/>
          </w:tcPr>
          <w:p>
            <w:pPr>
              <w:pStyle w:val="17"/>
            </w:pPr>
            <w:r>
              <w:t>稳步提升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8、公共文化服务体系建设资金[区级]绩效目标表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1.通过补助扶持农村文化建设，促进基本公共文化服务标准化、均等化。确保广大农村居民能够享受到公共文化服务、农村文化活动等基本文化权益。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年开展公共文化服务活动数</w:t>
            </w:r>
          </w:p>
        </w:tc>
        <w:tc>
          <w:tcPr>
            <w:tcW w:w="2835" w:type="dxa"/>
            <w:vAlign w:val="center"/>
          </w:tcPr>
          <w:p>
            <w:pPr>
              <w:pStyle w:val="17"/>
            </w:pPr>
            <w:r>
              <w:t>年开展公共文化服务活动数</w:t>
            </w:r>
          </w:p>
        </w:tc>
        <w:tc>
          <w:tcPr>
            <w:tcW w:w="2551" w:type="dxa"/>
            <w:vAlign w:val="center"/>
          </w:tcPr>
          <w:p>
            <w:pPr>
              <w:pStyle w:val="17"/>
            </w:pPr>
            <w:r>
              <w:t>≥10场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工作完成率</w:t>
            </w:r>
          </w:p>
        </w:tc>
        <w:tc>
          <w:tcPr>
            <w:tcW w:w="2835" w:type="dxa"/>
            <w:vAlign w:val="center"/>
          </w:tcPr>
          <w:p>
            <w:pPr>
              <w:pStyle w:val="17"/>
            </w:pPr>
            <w:r>
              <w:t>实际开展公共文化工作占计划完成工作的比率</w:t>
            </w:r>
          </w:p>
        </w:tc>
        <w:tc>
          <w:tcPr>
            <w:tcW w:w="2551" w:type="dxa"/>
            <w:vAlign w:val="center"/>
          </w:tcPr>
          <w:p>
            <w:pPr>
              <w:pStyle w:val="17"/>
            </w:pPr>
            <w:r>
              <w:t>≥95百分比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工作时效</w:t>
            </w:r>
          </w:p>
        </w:tc>
        <w:tc>
          <w:tcPr>
            <w:tcW w:w="2835" w:type="dxa"/>
            <w:vAlign w:val="center"/>
          </w:tcPr>
          <w:p>
            <w:pPr>
              <w:pStyle w:val="17"/>
            </w:pPr>
            <w:r>
              <w:t>工作完成的时间</w:t>
            </w:r>
          </w:p>
        </w:tc>
        <w:tc>
          <w:tcPr>
            <w:tcW w:w="2551" w:type="dxa"/>
            <w:vAlign w:val="center"/>
          </w:tcPr>
          <w:p>
            <w:pPr>
              <w:pStyle w:val="17"/>
            </w:pPr>
            <w:r>
              <w:t>≤12月</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财政投入资金</w:t>
            </w:r>
          </w:p>
        </w:tc>
        <w:tc>
          <w:tcPr>
            <w:tcW w:w="2835" w:type="dxa"/>
            <w:vAlign w:val="center"/>
          </w:tcPr>
          <w:p>
            <w:pPr>
              <w:pStyle w:val="17"/>
            </w:pPr>
            <w:r>
              <w:t>财政投入标准</w:t>
            </w:r>
          </w:p>
        </w:tc>
        <w:tc>
          <w:tcPr>
            <w:tcW w:w="2551" w:type="dxa"/>
            <w:vAlign w:val="center"/>
          </w:tcPr>
          <w:p>
            <w:pPr>
              <w:pStyle w:val="17"/>
            </w:pPr>
            <w:r>
              <w:t>15.18万元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群众对公共文化活动的参与率</w:t>
            </w:r>
          </w:p>
        </w:tc>
        <w:tc>
          <w:tcPr>
            <w:tcW w:w="2835" w:type="dxa"/>
            <w:vAlign w:val="center"/>
          </w:tcPr>
          <w:p>
            <w:pPr>
              <w:pStyle w:val="17"/>
            </w:pPr>
            <w:r>
              <w:t>参与公共文化服务的人数占总人数的比率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9、公共文化服务体系建设资金[市级]绩效目标表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送公益流动文化服务进基层完成率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文化设施达标率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文化活动按年度完成及时率 </w:t>
            </w:r>
          </w:p>
        </w:tc>
        <w:tc>
          <w:tcPr>
            <w:tcW w:w="2835" w:type="dxa"/>
            <w:vAlign w:val="center"/>
          </w:tcPr>
          <w:p>
            <w:pPr>
              <w:pStyle w:val="17"/>
            </w:pPr>
            <w:r>
              <w:t xml:space="preserve">文化活动按年度完成及时率 </w:t>
            </w:r>
          </w:p>
        </w:tc>
        <w:tc>
          <w:tcPr>
            <w:tcW w:w="2551" w:type="dxa"/>
            <w:vAlign w:val="center"/>
          </w:tcPr>
          <w:p>
            <w:pPr>
              <w:pStyle w:val="17"/>
            </w:pPr>
            <w:r>
              <w:t>≥90百分比</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市级转移支付资金金额</w:t>
            </w:r>
          </w:p>
        </w:tc>
        <w:tc>
          <w:tcPr>
            <w:tcW w:w="2835" w:type="dxa"/>
            <w:vAlign w:val="center"/>
          </w:tcPr>
          <w:p>
            <w:pPr>
              <w:pStyle w:val="17"/>
            </w:pPr>
            <w:r>
              <w:t>市级转移支付资金金额</w:t>
            </w:r>
          </w:p>
        </w:tc>
        <w:tc>
          <w:tcPr>
            <w:tcW w:w="2551" w:type="dxa"/>
            <w:vAlign w:val="center"/>
          </w:tcPr>
          <w:p>
            <w:pPr>
              <w:pStyle w:val="17"/>
            </w:pPr>
            <w:r>
              <w:t>8.3万元</w:t>
            </w:r>
          </w:p>
        </w:tc>
        <w:tc>
          <w:tcPr>
            <w:tcW w:w="2268" w:type="dxa"/>
            <w:vAlign w:val="center"/>
          </w:tcPr>
          <w:p>
            <w:pPr>
              <w:pStyle w:val="17"/>
            </w:pPr>
            <w:r>
              <w:t>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推动公共文化服务水平提升</w:t>
            </w:r>
          </w:p>
        </w:tc>
        <w:tc>
          <w:tcPr>
            <w:tcW w:w="2835" w:type="dxa"/>
            <w:vAlign w:val="center"/>
          </w:tcPr>
          <w:p>
            <w:pPr>
              <w:pStyle w:val="17"/>
            </w:pPr>
            <w:r>
              <w:t>用来描述开展该项目是否可以促进公共文化服务水平提升</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10、公共文化服务体系建设资金[中央]绩效目标表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送公益流动文化服务进基层完成率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文化设施达标率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文化活动按年度完成及时率</w:t>
            </w:r>
          </w:p>
        </w:tc>
        <w:tc>
          <w:tcPr>
            <w:tcW w:w="2835" w:type="dxa"/>
            <w:vAlign w:val="center"/>
          </w:tcPr>
          <w:p>
            <w:pPr>
              <w:pStyle w:val="17"/>
            </w:pPr>
            <w:r>
              <w:t>文化活动按年度完成及时率</w:t>
            </w:r>
          </w:p>
        </w:tc>
        <w:tc>
          <w:tcPr>
            <w:tcW w:w="2551" w:type="dxa"/>
            <w:vAlign w:val="center"/>
          </w:tcPr>
          <w:p>
            <w:pPr>
              <w:pStyle w:val="17"/>
            </w:pPr>
            <w:r>
              <w:t>≥90百分比</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中央转移支付资金金额</w:t>
            </w:r>
          </w:p>
        </w:tc>
        <w:tc>
          <w:tcPr>
            <w:tcW w:w="2835" w:type="dxa"/>
            <w:vAlign w:val="center"/>
          </w:tcPr>
          <w:p>
            <w:pPr>
              <w:pStyle w:val="17"/>
            </w:pPr>
            <w:r>
              <w:t>中央转移支付资金金额</w:t>
            </w:r>
          </w:p>
        </w:tc>
        <w:tc>
          <w:tcPr>
            <w:tcW w:w="2551" w:type="dxa"/>
            <w:vAlign w:val="center"/>
          </w:tcPr>
          <w:p>
            <w:pPr>
              <w:pStyle w:val="17"/>
            </w:pPr>
            <w:r>
              <w:t>62.17万元</w:t>
            </w:r>
          </w:p>
        </w:tc>
        <w:tc>
          <w:tcPr>
            <w:tcW w:w="2268" w:type="dxa"/>
            <w:vAlign w:val="center"/>
          </w:tcPr>
          <w:p>
            <w:pPr>
              <w:pStyle w:val="17"/>
            </w:pPr>
            <w: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推动公共文化服务水平提升</w:t>
            </w:r>
          </w:p>
        </w:tc>
        <w:tc>
          <w:tcPr>
            <w:tcW w:w="2835" w:type="dxa"/>
            <w:vAlign w:val="center"/>
          </w:tcPr>
          <w:p>
            <w:pPr>
              <w:pStyle w:val="17"/>
            </w:pPr>
            <w:r>
              <w:t>用来描述开展该项目是否可以促进公共文化服务水平提升</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11、公共文化服务体系建设资金[中央]绩效目标表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送公益流动文化服务进基层完成率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文化设施达标率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文化活动按年度完成及时率</w:t>
            </w:r>
          </w:p>
        </w:tc>
        <w:tc>
          <w:tcPr>
            <w:tcW w:w="2835" w:type="dxa"/>
            <w:vAlign w:val="center"/>
          </w:tcPr>
          <w:p>
            <w:pPr>
              <w:pStyle w:val="17"/>
            </w:pPr>
            <w:r>
              <w:t>文化活动按年度完成及时率</w:t>
            </w:r>
          </w:p>
        </w:tc>
        <w:tc>
          <w:tcPr>
            <w:tcW w:w="2551" w:type="dxa"/>
            <w:vAlign w:val="center"/>
          </w:tcPr>
          <w:p>
            <w:pPr>
              <w:pStyle w:val="17"/>
            </w:pPr>
            <w:r>
              <w:t>100百分比</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中央转移支付资金金额</w:t>
            </w:r>
          </w:p>
        </w:tc>
        <w:tc>
          <w:tcPr>
            <w:tcW w:w="2835" w:type="dxa"/>
            <w:vAlign w:val="center"/>
          </w:tcPr>
          <w:p>
            <w:pPr>
              <w:pStyle w:val="17"/>
            </w:pPr>
            <w:r>
              <w:t>中央转移支付资金金额</w:t>
            </w:r>
          </w:p>
        </w:tc>
        <w:tc>
          <w:tcPr>
            <w:tcW w:w="2551" w:type="dxa"/>
            <w:vAlign w:val="center"/>
          </w:tcPr>
          <w:p>
            <w:pPr>
              <w:pStyle w:val="17"/>
            </w:pPr>
            <w:r>
              <w:t>19.48万元</w:t>
            </w:r>
          </w:p>
        </w:tc>
        <w:tc>
          <w:tcPr>
            <w:tcW w:w="2268" w:type="dxa"/>
            <w:vAlign w:val="center"/>
          </w:tcPr>
          <w:p>
            <w:pPr>
              <w:pStyle w:val="17"/>
            </w:pPr>
            <w:r>
              <w:t>廊财教[2022]21号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推动公共文化服务水平提升</w:t>
            </w:r>
          </w:p>
        </w:tc>
        <w:tc>
          <w:tcPr>
            <w:tcW w:w="2835" w:type="dxa"/>
            <w:vAlign w:val="center"/>
          </w:tcPr>
          <w:p>
            <w:pPr>
              <w:pStyle w:val="17"/>
            </w:pPr>
            <w:r>
              <w:t>用来描述开展该项目是否可以促进公共文化服务水平提升</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基本公共文化服务水平逐步提升</w:t>
            </w:r>
          </w:p>
        </w:tc>
        <w:tc>
          <w:tcPr>
            <w:tcW w:w="2835" w:type="dxa"/>
            <w:vAlign w:val="center"/>
          </w:tcPr>
          <w:p>
            <w:pPr>
              <w:pStyle w:val="17"/>
            </w:pPr>
            <w:r>
              <w:t>基本公共文化服务水平逐步提升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受益群众对公共文化服务的满意度</w:t>
            </w:r>
          </w:p>
        </w:tc>
        <w:tc>
          <w:tcPr>
            <w:tcW w:w="2835" w:type="dxa"/>
            <w:vAlign w:val="center"/>
          </w:tcPr>
          <w:p>
            <w:pPr>
              <w:pStyle w:val="17"/>
            </w:pPr>
            <w:r>
              <w:t>接受公共文化服务满意人数占所有接受公共文化服务总人数的比率</w:t>
            </w:r>
          </w:p>
        </w:tc>
        <w:tc>
          <w:tcPr>
            <w:tcW w:w="2551" w:type="dxa"/>
            <w:vAlign w:val="center"/>
          </w:tcPr>
          <w:p>
            <w:pPr>
              <w:pStyle w:val="17"/>
            </w:pPr>
            <w:r>
              <w:t>≥90百分比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2023年，廊坊市广阳区文化广电和旅游局本级安排政府采购预算15.00万元。具体内容见下表。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15.00</w:t>
            </w:r>
          </w:p>
        </w:tc>
        <w:tc>
          <w:tcPr>
            <w:tcW w:w="964" w:type="dxa"/>
            <w:vAlign w:val="center"/>
          </w:tcPr>
          <w:p>
            <w:pPr>
              <w:pStyle w:val="20"/>
            </w:pPr>
            <w:r>
              <w:t>15.00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廊坊市广阳区文化广电和旅游局本级小计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15.00</w:t>
            </w:r>
          </w:p>
        </w:tc>
        <w:tc>
          <w:tcPr>
            <w:tcW w:w="964" w:type="dxa"/>
            <w:vAlign w:val="center"/>
          </w:tcPr>
          <w:p>
            <w:pPr>
              <w:pStyle w:val="20"/>
            </w:pPr>
            <w:r>
              <w:t>15.00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公共文化服务体系建设补助资金[中央]</w:t>
            </w:r>
          </w:p>
        </w:tc>
        <w:tc>
          <w:tcPr>
            <w:tcW w:w="964" w:type="dxa"/>
            <w:vAlign w:val="center"/>
          </w:tcPr>
          <w:p>
            <w:pPr>
              <w:pStyle w:val="16"/>
            </w:pPr>
            <w:r>
              <w:t>133.84</w:t>
            </w:r>
          </w:p>
        </w:tc>
        <w:tc>
          <w:tcPr>
            <w:tcW w:w="1134" w:type="dxa"/>
            <w:vAlign w:val="center"/>
          </w:tcPr>
          <w:p>
            <w:pPr>
              <w:pStyle w:val="17"/>
            </w:pPr>
            <w:r>
              <w:t>书籍、课本</w:t>
            </w:r>
          </w:p>
        </w:tc>
        <w:tc>
          <w:tcPr>
            <w:tcW w:w="1134" w:type="dxa"/>
            <w:vAlign w:val="center"/>
          </w:tcPr>
          <w:p>
            <w:pPr>
              <w:pStyle w:val="17"/>
            </w:pPr>
            <w:r>
              <w:t>A04010101</w:t>
            </w:r>
          </w:p>
        </w:tc>
        <w:tc>
          <w:tcPr>
            <w:tcW w:w="709" w:type="dxa"/>
            <w:vAlign w:val="center"/>
          </w:tcPr>
          <w:p>
            <w:pPr>
              <w:pStyle w:val="18"/>
            </w:pPr>
            <w:r>
              <w:t>册</w:t>
            </w:r>
          </w:p>
        </w:tc>
        <w:tc>
          <w:tcPr>
            <w:tcW w:w="850" w:type="dxa"/>
            <w:vAlign w:val="center"/>
          </w:tcPr>
          <w:p>
            <w:pPr>
              <w:pStyle w:val="16"/>
            </w:pPr>
            <w:r>
              <w:t>6000</w:t>
            </w:r>
          </w:p>
        </w:tc>
        <w:tc>
          <w:tcPr>
            <w:tcW w:w="850" w:type="dxa"/>
            <w:vAlign w:val="center"/>
          </w:tcPr>
          <w:p>
            <w:pPr>
              <w:pStyle w:val="16"/>
            </w:pPr>
            <w:r>
              <w:t>0.00</w:t>
            </w: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廊坊市广阳区文化广电和旅游局本级上年末固定资产金额为83.12万元（详见下表）。本年度拟购置固定资产总额为0.00万元，已按要求列入政府采购预算，详见政府采购预算表。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506001廊坊市广阳区文化广电和旅游局本级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177</w:t>
            </w:r>
          </w:p>
        </w:tc>
        <w:tc>
          <w:tcPr>
            <w:tcW w:w="2835"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27.14</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113C18"/>
    <w:rsid w:val="00113C18"/>
    <w:rsid w:val="002D242B"/>
    <w:rsid w:val="00A15A76"/>
    <w:rsid w:val="00A658EC"/>
    <w:rsid w:val="00AA1857"/>
    <w:rsid w:val="00AF092B"/>
    <w:rsid w:val="00C75CED"/>
    <w:rsid w:val="00E03382"/>
    <w:rsid w:val="14264D8C"/>
    <w:rsid w:val="624742B5"/>
    <w:rsid w:val="7499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2023-03-13T11:09:29Z</dcterms:created>
  <dcterms:modified xsi:type="dcterms:W3CDTF">2023-03-13T03:09:29Z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2023-03-13T11:09:19Z</dcterms:created>
  <dcterms:modified xsi:type="dcterms:W3CDTF">2023-03-13T03:09:19Z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2023-03-13T11:09:27Z</dcterms:created>
  <dcterms:modified xsi:type="dcterms:W3CDTF">2023-03-13T03:09:27Z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C34131-C598-4F0E-8310-C7020CD8C56B}">
  <ds:schemaRefs/>
</ds:datastoreItem>
</file>

<file path=customXml/itemProps10.xml><?xml version="1.0" encoding="utf-8"?>
<ds:datastoreItem xmlns:ds="http://schemas.openxmlformats.org/officeDocument/2006/customXml" ds:itemID="{080C9CB4-F072-48F5-A267-47ECBEAC63D9}">
  <ds:schemaRefs/>
</ds:datastoreItem>
</file>

<file path=customXml/itemProps100.xml><?xml version="1.0" encoding="utf-8"?>
<ds:datastoreItem xmlns:ds="http://schemas.openxmlformats.org/officeDocument/2006/customXml" ds:itemID="{91517143-DFC0-4676-B4DE-02E9C36E957A}">
  <ds:schemaRefs/>
</ds:datastoreItem>
</file>

<file path=customXml/itemProps101.xml><?xml version="1.0" encoding="utf-8"?>
<ds:datastoreItem xmlns:ds="http://schemas.openxmlformats.org/officeDocument/2006/customXml" ds:itemID="{609979B0-E8D6-4A2E-9879-DF95B41361A1}">
  <ds:schemaRefs/>
</ds:datastoreItem>
</file>

<file path=customXml/itemProps102.xml><?xml version="1.0" encoding="utf-8"?>
<ds:datastoreItem xmlns:ds="http://schemas.openxmlformats.org/officeDocument/2006/customXml" ds:itemID="{AC4C40F7-68E9-4623-873A-853A5DBB24CB}">
  <ds:schemaRefs/>
</ds:datastoreItem>
</file>

<file path=customXml/itemProps103.xml><?xml version="1.0" encoding="utf-8"?>
<ds:datastoreItem xmlns:ds="http://schemas.openxmlformats.org/officeDocument/2006/customXml" ds:itemID="{707E4E2C-17AA-477F-83BD-46902470BEC3}">
  <ds:schemaRefs/>
</ds:datastoreItem>
</file>

<file path=customXml/itemProps104.xml><?xml version="1.0" encoding="utf-8"?>
<ds:datastoreItem xmlns:ds="http://schemas.openxmlformats.org/officeDocument/2006/customXml" ds:itemID="{94C5487C-CAD4-4F82-A73D-0A5E82F7188B}">
  <ds:schemaRefs/>
</ds:datastoreItem>
</file>

<file path=customXml/itemProps105.xml><?xml version="1.0" encoding="utf-8"?>
<ds:datastoreItem xmlns:ds="http://schemas.openxmlformats.org/officeDocument/2006/customXml" ds:itemID="{CD3B4E39-A563-49FC-8201-0D0B700CF291}">
  <ds:schemaRefs/>
</ds:datastoreItem>
</file>

<file path=customXml/itemProps106.xml><?xml version="1.0" encoding="utf-8"?>
<ds:datastoreItem xmlns:ds="http://schemas.openxmlformats.org/officeDocument/2006/customXml" ds:itemID="{0AA7505C-C49B-45E2-B9CB-115B6B98A3F4}">
  <ds:schemaRefs/>
</ds:datastoreItem>
</file>

<file path=customXml/itemProps11.xml><?xml version="1.0" encoding="utf-8"?>
<ds:datastoreItem xmlns:ds="http://schemas.openxmlformats.org/officeDocument/2006/customXml" ds:itemID="{EB107D85-2CD1-4B6C-BFEB-1C256572D070}">
  <ds:schemaRefs/>
</ds:datastoreItem>
</file>

<file path=customXml/itemProps12.xml><?xml version="1.0" encoding="utf-8"?>
<ds:datastoreItem xmlns:ds="http://schemas.openxmlformats.org/officeDocument/2006/customXml" ds:itemID="{90BDA793-906F-4EA1-BC69-CDA70BA054E8}">
  <ds:schemaRefs/>
</ds:datastoreItem>
</file>

<file path=customXml/itemProps13.xml><?xml version="1.0" encoding="utf-8"?>
<ds:datastoreItem xmlns:ds="http://schemas.openxmlformats.org/officeDocument/2006/customXml" ds:itemID="{9763B849-1497-4B4C-9C74-0D026847F718}">
  <ds:schemaRefs/>
</ds:datastoreItem>
</file>

<file path=customXml/itemProps14.xml><?xml version="1.0" encoding="utf-8"?>
<ds:datastoreItem xmlns:ds="http://schemas.openxmlformats.org/officeDocument/2006/customXml" ds:itemID="{55C58CD4-5BAB-4DA3-AB4F-1A6B5C1A7CB0}">
  <ds:schemaRefs/>
</ds:datastoreItem>
</file>

<file path=customXml/itemProps15.xml><?xml version="1.0" encoding="utf-8"?>
<ds:datastoreItem xmlns:ds="http://schemas.openxmlformats.org/officeDocument/2006/customXml" ds:itemID="{957FC998-E115-4E3B-B7F9-CC878D217E7D}">
  <ds:schemaRefs/>
</ds:datastoreItem>
</file>

<file path=customXml/itemProps16.xml><?xml version="1.0" encoding="utf-8"?>
<ds:datastoreItem xmlns:ds="http://schemas.openxmlformats.org/officeDocument/2006/customXml" ds:itemID="{5F34A770-83C0-46A2-9DC3-FADEDF9AB0C6}">
  <ds:schemaRefs/>
</ds:datastoreItem>
</file>

<file path=customXml/itemProps17.xml><?xml version="1.0" encoding="utf-8"?>
<ds:datastoreItem xmlns:ds="http://schemas.openxmlformats.org/officeDocument/2006/customXml" ds:itemID="{C45BC220-71F7-42A3-942E-400684E6A115}">
  <ds:schemaRefs/>
</ds:datastoreItem>
</file>

<file path=customXml/itemProps18.xml><?xml version="1.0" encoding="utf-8"?>
<ds:datastoreItem xmlns:ds="http://schemas.openxmlformats.org/officeDocument/2006/customXml" ds:itemID="{A2290B1D-6B3C-480A-9F41-47BB8FEA2393}">
  <ds:schemaRefs/>
</ds:datastoreItem>
</file>

<file path=customXml/itemProps19.xml><?xml version="1.0" encoding="utf-8"?>
<ds:datastoreItem xmlns:ds="http://schemas.openxmlformats.org/officeDocument/2006/customXml" ds:itemID="{F35A7BBC-0F09-4747-8F4F-F7041AE88457}">
  <ds:schemaRefs/>
</ds:datastoreItem>
</file>

<file path=customXml/itemProps2.xml><?xml version="1.0" encoding="utf-8"?>
<ds:datastoreItem xmlns:ds="http://schemas.openxmlformats.org/officeDocument/2006/customXml" ds:itemID="{A132AD18-76AA-494D-B001-D9416E34F99D}">
  <ds:schemaRefs/>
</ds:datastoreItem>
</file>

<file path=customXml/itemProps20.xml><?xml version="1.0" encoding="utf-8"?>
<ds:datastoreItem xmlns:ds="http://schemas.openxmlformats.org/officeDocument/2006/customXml" ds:itemID="{3399F7B9-4FE5-4C63-B22B-9EF9155C4F84}">
  <ds:schemaRefs/>
</ds:datastoreItem>
</file>

<file path=customXml/itemProps21.xml><?xml version="1.0" encoding="utf-8"?>
<ds:datastoreItem xmlns:ds="http://schemas.openxmlformats.org/officeDocument/2006/customXml" ds:itemID="{FD40D93E-29FA-49B5-AE83-850D5EC79096}">
  <ds:schemaRefs/>
</ds:datastoreItem>
</file>

<file path=customXml/itemProps22.xml><?xml version="1.0" encoding="utf-8"?>
<ds:datastoreItem xmlns:ds="http://schemas.openxmlformats.org/officeDocument/2006/customXml" ds:itemID="{F03056D3-D3D2-4D64-9E7F-9DE45CFAAFFF}">
  <ds:schemaRefs/>
</ds:datastoreItem>
</file>

<file path=customXml/itemProps23.xml><?xml version="1.0" encoding="utf-8"?>
<ds:datastoreItem xmlns:ds="http://schemas.openxmlformats.org/officeDocument/2006/customXml" ds:itemID="{19E8104A-CB92-47D6-AB3B-8139822471D7}">
  <ds:schemaRefs/>
</ds:datastoreItem>
</file>

<file path=customXml/itemProps24.xml><?xml version="1.0" encoding="utf-8"?>
<ds:datastoreItem xmlns:ds="http://schemas.openxmlformats.org/officeDocument/2006/customXml" ds:itemID="{8668E858-7C7F-41FC-8854-147152F6835A}">
  <ds:schemaRefs/>
</ds:datastoreItem>
</file>

<file path=customXml/itemProps25.xml><?xml version="1.0" encoding="utf-8"?>
<ds:datastoreItem xmlns:ds="http://schemas.openxmlformats.org/officeDocument/2006/customXml" ds:itemID="{63590488-78E7-46A6-8096-5A35C57D03BF}">
  <ds:schemaRefs/>
</ds:datastoreItem>
</file>

<file path=customXml/itemProps26.xml><?xml version="1.0" encoding="utf-8"?>
<ds:datastoreItem xmlns:ds="http://schemas.openxmlformats.org/officeDocument/2006/customXml" ds:itemID="{AB536D5E-F725-46A6-A8C2-B5C619368FD3}">
  <ds:schemaRefs/>
</ds:datastoreItem>
</file>

<file path=customXml/itemProps27.xml><?xml version="1.0" encoding="utf-8"?>
<ds:datastoreItem xmlns:ds="http://schemas.openxmlformats.org/officeDocument/2006/customXml" ds:itemID="{9F846718-352B-42AF-8D9D-79DAA994F444}">
  <ds:schemaRefs/>
</ds:datastoreItem>
</file>

<file path=customXml/itemProps28.xml><?xml version="1.0" encoding="utf-8"?>
<ds:datastoreItem xmlns:ds="http://schemas.openxmlformats.org/officeDocument/2006/customXml" ds:itemID="{9EBD10BB-A7DE-4636-BC4E-892872C87740}">
  <ds:schemaRefs/>
</ds:datastoreItem>
</file>

<file path=customXml/itemProps29.xml><?xml version="1.0" encoding="utf-8"?>
<ds:datastoreItem xmlns:ds="http://schemas.openxmlformats.org/officeDocument/2006/customXml" ds:itemID="{2AB26EAA-3306-4C03-849B-B779A522ED08}">
  <ds:schemaRefs/>
</ds:datastoreItem>
</file>

<file path=customXml/itemProps3.xml><?xml version="1.0" encoding="utf-8"?>
<ds:datastoreItem xmlns:ds="http://schemas.openxmlformats.org/officeDocument/2006/customXml" ds:itemID="{61F50C47-EBC0-4CA6-988A-F54800C7AD67}">
  <ds:schemaRefs/>
</ds:datastoreItem>
</file>

<file path=customXml/itemProps30.xml><?xml version="1.0" encoding="utf-8"?>
<ds:datastoreItem xmlns:ds="http://schemas.openxmlformats.org/officeDocument/2006/customXml" ds:itemID="{6E8479DA-CBA4-4C43-9FE3-8E60DE7061A6}">
  <ds:schemaRefs/>
</ds:datastoreItem>
</file>

<file path=customXml/itemProps31.xml><?xml version="1.0" encoding="utf-8"?>
<ds:datastoreItem xmlns:ds="http://schemas.openxmlformats.org/officeDocument/2006/customXml" ds:itemID="{0E954609-593A-40FA-996E-A7B7342795AF}">
  <ds:schemaRefs/>
</ds:datastoreItem>
</file>

<file path=customXml/itemProps32.xml><?xml version="1.0" encoding="utf-8"?>
<ds:datastoreItem xmlns:ds="http://schemas.openxmlformats.org/officeDocument/2006/customXml" ds:itemID="{2FE9905E-EC89-4D63-94DD-3FC74A039DB0}">
  <ds:schemaRefs/>
</ds:datastoreItem>
</file>

<file path=customXml/itemProps33.xml><?xml version="1.0" encoding="utf-8"?>
<ds:datastoreItem xmlns:ds="http://schemas.openxmlformats.org/officeDocument/2006/customXml" ds:itemID="{C2E3D777-87F8-4452-B09F-658F257B92F0}">
  <ds:schemaRefs/>
</ds:datastoreItem>
</file>

<file path=customXml/itemProps34.xml><?xml version="1.0" encoding="utf-8"?>
<ds:datastoreItem xmlns:ds="http://schemas.openxmlformats.org/officeDocument/2006/customXml" ds:itemID="{F54ECF20-9EE4-4E72-B5E6-644452E1EAAD}">
  <ds:schemaRefs/>
</ds:datastoreItem>
</file>

<file path=customXml/itemProps35.xml><?xml version="1.0" encoding="utf-8"?>
<ds:datastoreItem xmlns:ds="http://schemas.openxmlformats.org/officeDocument/2006/customXml" ds:itemID="{4C5E7174-D965-49B6-BCA0-E037CEF285D0}">
  <ds:schemaRefs/>
</ds:datastoreItem>
</file>

<file path=customXml/itemProps36.xml><?xml version="1.0" encoding="utf-8"?>
<ds:datastoreItem xmlns:ds="http://schemas.openxmlformats.org/officeDocument/2006/customXml" ds:itemID="{7F0D3CFE-1338-4E85-89C9-7D2852646D98}">
  <ds:schemaRefs/>
</ds:datastoreItem>
</file>

<file path=customXml/itemProps37.xml><?xml version="1.0" encoding="utf-8"?>
<ds:datastoreItem xmlns:ds="http://schemas.openxmlformats.org/officeDocument/2006/customXml" ds:itemID="{E7F85171-4EC5-4E16-847D-4E83073A9A47}">
  <ds:schemaRefs/>
</ds:datastoreItem>
</file>

<file path=customXml/itemProps38.xml><?xml version="1.0" encoding="utf-8"?>
<ds:datastoreItem xmlns:ds="http://schemas.openxmlformats.org/officeDocument/2006/customXml" ds:itemID="{AFC98053-8F7B-484B-9F6C-6E470484E92A}">
  <ds:schemaRefs/>
</ds:datastoreItem>
</file>

<file path=customXml/itemProps39.xml><?xml version="1.0" encoding="utf-8"?>
<ds:datastoreItem xmlns:ds="http://schemas.openxmlformats.org/officeDocument/2006/customXml" ds:itemID="{17C9EF15-FBEC-4887-BC00-4F982B7942F2}">
  <ds:schemaRefs/>
</ds:datastoreItem>
</file>

<file path=customXml/itemProps4.xml><?xml version="1.0" encoding="utf-8"?>
<ds:datastoreItem xmlns:ds="http://schemas.openxmlformats.org/officeDocument/2006/customXml" ds:itemID="{C10A985A-EE53-4784-B733-000BF87FDF95}">
  <ds:schemaRefs/>
</ds:datastoreItem>
</file>

<file path=customXml/itemProps40.xml><?xml version="1.0" encoding="utf-8"?>
<ds:datastoreItem xmlns:ds="http://schemas.openxmlformats.org/officeDocument/2006/customXml" ds:itemID="{BB5A462E-C032-4A91-A946-F9608394EBA3}">
  <ds:schemaRefs/>
</ds:datastoreItem>
</file>

<file path=customXml/itemProps41.xml><?xml version="1.0" encoding="utf-8"?>
<ds:datastoreItem xmlns:ds="http://schemas.openxmlformats.org/officeDocument/2006/customXml" ds:itemID="{394AD127-2452-4C91-8534-50DA3AD09815}">
  <ds:schemaRefs/>
</ds:datastoreItem>
</file>

<file path=customXml/itemProps42.xml><?xml version="1.0" encoding="utf-8"?>
<ds:datastoreItem xmlns:ds="http://schemas.openxmlformats.org/officeDocument/2006/customXml" ds:itemID="{D2900A24-4A76-4E58-9D2F-55BC55304821}">
  <ds:schemaRefs/>
</ds:datastoreItem>
</file>

<file path=customXml/itemProps43.xml><?xml version="1.0" encoding="utf-8"?>
<ds:datastoreItem xmlns:ds="http://schemas.openxmlformats.org/officeDocument/2006/customXml" ds:itemID="{AEB502E0-3D10-4682-9DC5-9257D27C6469}">
  <ds:schemaRefs/>
</ds:datastoreItem>
</file>

<file path=customXml/itemProps44.xml><?xml version="1.0" encoding="utf-8"?>
<ds:datastoreItem xmlns:ds="http://schemas.openxmlformats.org/officeDocument/2006/customXml" ds:itemID="{361FD8FA-60ED-44D4-BEBC-B161CC999567}">
  <ds:schemaRefs/>
</ds:datastoreItem>
</file>

<file path=customXml/itemProps45.xml><?xml version="1.0" encoding="utf-8"?>
<ds:datastoreItem xmlns:ds="http://schemas.openxmlformats.org/officeDocument/2006/customXml" ds:itemID="{5080077E-2B9E-4C52-A2CB-7BB58CF69256}">
  <ds:schemaRefs/>
</ds:datastoreItem>
</file>

<file path=customXml/itemProps46.xml><?xml version="1.0" encoding="utf-8"?>
<ds:datastoreItem xmlns:ds="http://schemas.openxmlformats.org/officeDocument/2006/customXml" ds:itemID="{12FA184B-20DA-4EE4-8A0C-D7AED45A8E02}">
  <ds:schemaRefs/>
</ds:datastoreItem>
</file>

<file path=customXml/itemProps47.xml><?xml version="1.0" encoding="utf-8"?>
<ds:datastoreItem xmlns:ds="http://schemas.openxmlformats.org/officeDocument/2006/customXml" ds:itemID="{E9B4F726-E81F-43E8-AA65-95413DB62BA3}">
  <ds:schemaRefs/>
</ds:datastoreItem>
</file>

<file path=customXml/itemProps48.xml><?xml version="1.0" encoding="utf-8"?>
<ds:datastoreItem xmlns:ds="http://schemas.openxmlformats.org/officeDocument/2006/customXml" ds:itemID="{2549BC15-DDD0-4013-B7FF-FE90074D6E5F}">
  <ds:schemaRefs/>
</ds:datastoreItem>
</file>

<file path=customXml/itemProps49.xml><?xml version="1.0" encoding="utf-8"?>
<ds:datastoreItem xmlns:ds="http://schemas.openxmlformats.org/officeDocument/2006/customXml" ds:itemID="{0498471E-A0E0-4C27-92EB-499077A4D6A5}">
  <ds:schemaRefs/>
</ds:datastoreItem>
</file>

<file path=customXml/itemProps5.xml><?xml version="1.0" encoding="utf-8"?>
<ds:datastoreItem xmlns:ds="http://schemas.openxmlformats.org/officeDocument/2006/customXml" ds:itemID="{2FE3FB97-FFA5-4824-9B1D-BF769214824B}">
  <ds:schemaRefs/>
</ds:datastoreItem>
</file>

<file path=customXml/itemProps50.xml><?xml version="1.0" encoding="utf-8"?>
<ds:datastoreItem xmlns:ds="http://schemas.openxmlformats.org/officeDocument/2006/customXml" ds:itemID="{FD1D575A-77C6-4532-8ED2-E994CF58A988}">
  <ds:schemaRefs/>
</ds:datastoreItem>
</file>

<file path=customXml/itemProps51.xml><?xml version="1.0" encoding="utf-8"?>
<ds:datastoreItem xmlns:ds="http://schemas.openxmlformats.org/officeDocument/2006/customXml" ds:itemID="{FB6F3BB4-5870-4DCE-9943-1D4A2C1D321E}">
  <ds:schemaRefs/>
</ds:datastoreItem>
</file>

<file path=customXml/itemProps52.xml><?xml version="1.0" encoding="utf-8"?>
<ds:datastoreItem xmlns:ds="http://schemas.openxmlformats.org/officeDocument/2006/customXml" ds:itemID="{2F640235-DF8F-428C-8EF6-9E75DE3E3A84}">
  <ds:schemaRefs/>
</ds:datastoreItem>
</file>

<file path=customXml/itemProps53.xml><?xml version="1.0" encoding="utf-8"?>
<ds:datastoreItem xmlns:ds="http://schemas.openxmlformats.org/officeDocument/2006/customXml" ds:itemID="{4CEB9EF4-3B18-45DC-AEE8-73BA8F7C6A03}">
  <ds:schemaRefs/>
</ds:datastoreItem>
</file>

<file path=customXml/itemProps54.xml><?xml version="1.0" encoding="utf-8"?>
<ds:datastoreItem xmlns:ds="http://schemas.openxmlformats.org/officeDocument/2006/customXml" ds:itemID="{FCC45317-DA17-4D07-90A4-B63EC2A12308}">
  <ds:schemaRefs/>
</ds:datastoreItem>
</file>

<file path=customXml/itemProps55.xml><?xml version="1.0" encoding="utf-8"?>
<ds:datastoreItem xmlns:ds="http://schemas.openxmlformats.org/officeDocument/2006/customXml" ds:itemID="{F9C9C1BB-7884-4561-B5B2-80C4643C4786}">
  <ds:schemaRefs/>
</ds:datastoreItem>
</file>

<file path=customXml/itemProps56.xml><?xml version="1.0" encoding="utf-8"?>
<ds:datastoreItem xmlns:ds="http://schemas.openxmlformats.org/officeDocument/2006/customXml" ds:itemID="{9B9DA573-2234-4807-A07D-C1248BF1E04B}">
  <ds:schemaRefs/>
</ds:datastoreItem>
</file>

<file path=customXml/itemProps57.xml><?xml version="1.0" encoding="utf-8"?>
<ds:datastoreItem xmlns:ds="http://schemas.openxmlformats.org/officeDocument/2006/customXml" ds:itemID="{3F199B2B-BF68-40A6-9D26-3A412EC2FCD9}">
  <ds:schemaRefs/>
</ds:datastoreItem>
</file>

<file path=customXml/itemProps58.xml><?xml version="1.0" encoding="utf-8"?>
<ds:datastoreItem xmlns:ds="http://schemas.openxmlformats.org/officeDocument/2006/customXml" ds:itemID="{533E9211-CD85-4495-8234-EC865737EF69}">
  <ds:schemaRefs/>
</ds:datastoreItem>
</file>

<file path=customXml/itemProps59.xml><?xml version="1.0" encoding="utf-8"?>
<ds:datastoreItem xmlns:ds="http://schemas.openxmlformats.org/officeDocument/2006/customXml" ds:itemID="{0EA315EC-3C3C-415D-B886-2613F514CA67}">
  <ds:schemaRefs/>
</ds:datastoreItem>
</file>

<file path=customXml/itemProps6.xml><?xml version="1.0" encoding="utf-8"?>
<ds:datastoreItem xmlns:ds="http://schemas.openxmlformats.org/officeDocument/2006/customXml" ds:itemID="{5839458C-B8EB-426C-B6CD-8CED0E4D0842}">
  <ds:schemaRefs/>
</ds:datastoreItem>
</file>

<file path=customXml/itemProps60.xml><?xml version="1.0" encoding="utf-8"?>
<ds:datastoreItem xmlns:ds="http://schemas.openxmlformats.org/officeDocument/2006/customXml" ds:itemID="{0229B294-B04C-4413-9476-0D9A92C6B699}">
  <ds:schemaRefs/>
</ds:datastoreItem>
</file>

<file path=customXml/itemProps61.xml><?xml version="1.0" encoding="utf-8"?>
<ds:datastoreItem xmlns:ds="http://schemas.openxmlformats.org/officeDocument/2006/customXml" ds:itemID="{C680947E-6A92-4DBA-9B07-FAA1DF56BF0A}">
  <ds:schemaRefs/>
</ds:datastoreItem>
</file>

<file path=customXml/itemProps62.xml><?xml version="1.0" encoding="utf-8"?>
<ds:datastoreItem xmlns:ds="http://schemas.openxmlformats.org/officeDocument/2006/customXml" ds:itemID="{89DCE7F6-3EF2-4F82-98E8-395D7D1644A1}">
  <ds:schemaRefs/>
</ds:datastoreItem>
</file>

<file path=customXml/itemProps63.xml><?xml version="1.0" encoding="utf-8"?>
<ds:datastoreItem xmlns:ds="http://schemas.openxmlformats.org/officeDocument/2006/customXml" ds:itemID="{80980F8B-3FF0-4FE8-9E7B-6966A0A3D691}">
  <ds:schemaRefs/>
</ds:datastoreItem>
</file>

<file path=customXml/itemProps64.xml><?xml version="1.0" encoding="utf-8"?>
<ds:datastoreItem xmlns:ds="http://schemas.openxmlformats.org/officeDocument/2006/customXml" ds:itemID="{4318AB4C-A565-4830-A4A5-CE82D17F4DC0}">
  <ds:schemaRefs/>
</ds:datastoreItem>
</file>

<file path=customXml/itemProps65.xml><?xml version="1.0" encoding="utf-8"?>
<ds:datastoreItem xmlns:ds="http://schemas.openxmlformats.org/officeDocument/2006/customXml" ds:itemID="{2FB30128-A570-4F2C-8668-09EF7DCE7423}">
  <ds:schemaRefs/>
</ds:datastoreItem>
</file>

<file path=customXml/itemProps66.xml><?xml version="1.0" encoding="utf-8"?>
<ds:datastoreItem xmlns:ds="http://schemas.openxmlformats.org/officeDocument/2006/customXml" ds:itemID="{646415BD-1B8D-42E7-A7B0-24F626532E3B}">
  <ds:schemaRefs/>
</ds:datastoreItem>
</file>

<file path=customXml/itemProps67.xml><?xml version="1.0" encoding="utf-8"?>
<ds:datastoreItem xmlns:ds="http://schemas.openxmlformats.org/officeDocument/2006/customXml" ds:itemID="{D765A88C-CEBF-4313-8031-5C104D4D7AB1}">
  <ds:schemaRefs/>
</ds:datastoreItem>
</file>

<file path=customXml/itemProps68.xml><?xml version="1.0" encoding="utf-8"?>
<ds:datastoreItem xmlns:ds="http://schemas.openxmlformats.org/officeDocument/2006/customXml" ds:itemID="{D8983CE3-AA37-4CEF-B063-4415625116BA}">
  <ds:schemaRefs/>
</ds:datastoreItem>
</file>

<file path=customXml/itemProps69.xml><?xml version="1.0" encoding="utf-8"?>
<ds:datastoreItem xmlns:ds="http://schemas.openxmlformats.org/officeDocument/2006/customXml" ds:itemID="{538B2E59-8A74-4C9A-984E-CADD82C6C44C}">
  <ds:schemaRefs/>
</ds:datastoreItem>
</file>

<file path=customXml/itemProps7.xml><?xml version="1.0" encoding="utf-8"?>
<ds:datastoreItem xmlns:ds="http://schemas.openxmlformats.org/officeDocument/2006/customXml" ds:itemID="{5AE1425E-E50C-4B81-A7D9-1AF00500207C}">
  <ds:schemaRefs/>
</ds:datastoreItem>
</file>

<file path=customXml/itemProps70.xml><?xml version="1.0" encoding="utf-8"?>
<ds:datastoreItem xmlns:ds="http://schemas.openxmlformats.org/officeDocument/2006/customXml" ds:itemID="{E8C5F779-0478-4FE1-A21A-C2ECCB4C6D24}">
  <ds:schemaRefs/>
</ds:datastoreItem>
</file>

<file path=customXml/itemProps71.xml><?xml version="1.0" encoding="utf-8"?>
<ds:datastoreItem xmlns:ds="http://schemas.openxmlformats.org/officeDocument/2006/customXml" ds:itemID="{665251FB-C9A8-4597-B2DB-B1CCE31C28AB}">
  <ds:schemaRefs/>
</ds:datastoreItem>
</file>

<file path=customXml/itemProps72.xml><?xml version="1.0" encoding="utf-8"?>
<ds:datastoreItem xmlns:ds="http://schemas.openxmlformats.org/officeDocument/2006/customXml" ds:itemID="{E1F1F7CB-F7B1-4169-86C0-ED36CC44DFB1}">
  <ds:schemaRefs/>
</ds:datastoreItem>
</file>

<file path=customXml/itemProps73.xml><?xml version="1.0" encoding="utf-8"?>
<ds:datastoreItem xmlns:ds="http://schemas.openxmlformats.org/officeDocument/2006/customXml" ds:itemID="{C621A5C8-0259-4360-ADD2-5D96E1D7EFBC}">
  <ds:schemaRefs/>
</ds:datastoreItem>
</file>

<file path=customXml/itemProps74.xml><?xml version="1.0" encoding="utf-8"?>
<ds:datastoreItem xmlns:ds="http://schemas.openxmlformats.org/officeDocument/2006/customXml" ds:itemID="{DBDF09A7-29E0-4A7D-B7FF-905459625BD1}">
  <ds:schemaRefs/>
</ds:datastoreItem>
</file>

<file path=customXml/itemProps75.xml><?xml version="1.0" encoding="utf-8"?>
<ds:datastoreItem xmlns:ds="http://schemas.openxmlformats.org/officeDocument/2006/customXml" ds:itemID="{053E30CC-ED27-43AC-AD98-4DACD0D55BEF}">
  <ds:schemaRefs/>
</ds:datastoreItem>
</file>

<file path=customXml/itemProps76.xml><?xml version="1.0" encoding="utf-8"?>
<ds:datastoreItem xmlns:ds="http://schemas.openxmlformats.org/officeDocument/2006/customXml" ds:itemID="{C2533646-7429-4AB4-A36B-EA7DE9E82DCD}">
  <ds:schemaRefs/>
</ds:datastoreItem>
</file>

<file path=customXml/itemProps77.xml><?xml version="1.0" encoding="utf-8"?>
<ds:datastoreItem xmlns:ds="http://schemas.openxmlformats.org/officeDocument/2006/customXml" ds:itemID="{C14031B9-51FB-47A7-A64E-E79509BC452D}">
  <ds:schemaRefs/>
</ds:datastoreItem>
</file>

<file path=customXml/itemProps78.xml><?xml version="1.0" encoding="utf-8"?>
<ds:datastoreItem xmlns:ds="http://schemas.openxmlformats.org/officeDocument/2006/customXml" ds:itemID="{52B7AE0A-373B-4E77-9A99-04647A32A891}">
  <ds:schemaRefs/>
</ds:datastoreItem>
</file>

<file path=customXml/itemProps79.xml><?xml version="1.0" encoding="utf-8"?>
<ds:datastoreItem xmlns:ds="http://schemas.openxmlformats.org/officeDocument/2006/customXml" ds:itemID="{3E3C6876-780F-44BF-ABE5-933410C2A083}">
  <ds:schemaRefs/>
</ds:datastoreItem>
</file>

<file path=customXml/itemProps8.xml><?xml version="1.0" encoding="utf-8"?>
<ds:datastoreItem xmlns:ds="http://schemas.openxmlformats.org/officeDocument/2006/customXml" ds:itemID="{1E28C8E9-F2F1-4A5B-BDB6-80F178328919}">
  <ds:schemaRefs/>
</ds:datastoreItem>
</file>

<file path=customXml/itemProps80.xml><?xml version="1.0" encoding="utf-8"?>
<ds:datastoreItem xmlns:ds="http://schemas.openxmlformats.org/officeDocument/2006/customXml" ds:itemID="{95931F79-909F-44AD-B780-41E41AA31BD2}">
  <ds:schemaRefs/>
</ds:datastoreItem>
</file>

<file path=customXml/itemProps81.xml><?xml version="1.0" encoding="utf-8"?>
<ds:datastoreItem xmlns:ds="http://schemas.openxmlformats.org/officeDocument/2006/customXml" ds:itemID="{F34AEBA7-D3F0-4481-A788-42395D995AF8}">
  <ds:schemaRefs/>
</ds:datastoreItem>
</file>

<file path=customXml/itemProps82.xml><?xml version="1.0" encoding="utf-8"?>
<ds:datastoreItem xmlns:ds="http://schemas.openxmlformats.org/officeDocument/2006/customXml" ds:itemID="{0B67CC71-2F7F-429F-B170-5383B60F135B}">
  <ds:schemaRefs/>
</ds:datastoreItem>
</file>

<file path=customXml/itemProps83.xml><?xml version="1.0" encoding="utf-8"?>
<ds:datastoreItem xmlns:ds="http://schemas.openxmlformats.org/officeDocument/2006/customXml" ds:itemID="{CE387976-9064-4996-9441-D4B12F75E347}">
  <ds:schemaRefs/>
</ds:datastoreItem>
</file>

<file path=customXml/itemProps84.xml><?xml version="1.0" encoding="utf-8"?>
<ds:datastoreItem xmlns:ds="http://schemas.openxmlformats.org/officeDocument/2006/customXml" ds:itemID="{3F35F472-74CF-4E07-9898-4CD822EA02F8}">
  <ds:schemaRefs/>
</ds:datastoreItem>
</file>

<file path=customXml/itemProps85.xml><?xml version="1.0" encoding="utf-8"?>
<ds:datastoreItem xmlns:ds="http://schemas.openxmlformats.org/officeDocument/2006/customXml" ds:itemID="{C1EC5A3F-1BCE-468C-A116-46C1D712D3DA}">
  <ds:schemaRefs/>
</ds:datastoreItem>
</file>

<file path=customXml/itemProps86.xml><?xml version="1.0" encoding="utf-8"?>
<ds:datastoreItem xmlns:ds="http://schemas.openxmlformats.org/officeDocument/2006/customXml" ds:itemID="{CA7BEF0F-152E-496E-B40E-B8B25B8DA1DC}">
  <ds:schemaRefs/>
</ds:datastoreItem>
</file>

<file path=customXml/itemProps87.xml><?xml version="1.0" encoding="utf-8"?>
<ds:datastoreItem xmlns:ds="http://schemas.openxmlformats.org/officeDocument/2006/customXml" ds:itemID="{7D41A0AC-97AF-4E6E-8B21-EB85267683B1}">
  <ds:schemaRefs/>
</ds:datastoreItem>
</file>

<file path=customXml/itemProps88.xml><?xml version="1.0" encoding="utf-8"?>
<ds:datastoreItem xmlns:ds="http://schemas.openxmlformats.org/officeDocument/2006/customXml" ds:itemID="{E5A8F611-E53B-4325-9D2E-171B531FA3EC}">
  <ds:schemaRefs/>
</ds:datastoreItem>
</file>

<file path=customXml/itemProps89.xml><?xml version="1.0" encoding="utf-8"?>
<ds:datastoreItem xmlns:ds="http://schemas.openxmlformats.org/officeDocument/2006/customXml" ds:itemID="{28EBE1B4-A37F-470F-8081-F6F4B3C4B257}">
  <ds:schemaRefs/>
</ds:datastoreItem>
</file>

<file path=customXml/itemProps9.xml><?xml version="1.0" encoding="utf-8"?>
<ds:datastoreItem xmlns:ds="http://schemas.openxmlformats.org/officeDocument/2006/customXml" ds:itemID="{9DA1A7E0-2A9E-475B-93FE-372C3D42C6B4}">
  <ds:schemaRefs/>
</ds:datastoreItem>
</file>

<file path=customXml/itemProps90.xml><?xml version="1.0" encoding="utf-8"?>
<ds:datastoreItem xmlns:ds="http://schemas.openxmlformats.org/officeDocument/2006/customXml" ds:itemID="{89A27430-CC65-448E-BCC3-4D87AFD439CE}">
  <ds:schemaRefs/>
</ds:datastoreItem>
</file>

<file path=customXml/itemProps91.xml><?xml version="1.0" encoding="utf-8"?>
<ds:datastoreItem xmlns:ds="http://schemas.openxmlformats.org/officeDocument/2006/customXml" ds:itemID="{12DD9275-AD05-4668-8F4E-CB597A2961B3}">
  <ds:schemaRefs/>
</ds:datastoreItem>
</file>

<file path=customXml/itemProps92.xml><?xml version="1.0" encoding="utf-8"?>
<ds:datastoreItem xmlns:ds="http://schemas.openxmlformats.org/officeDocument/2006/customXml" ds:itemID="{C70FAE73-2334-467C-8951-1B96BF8ACFDD}">
  <ds:schemaRefs/>
</ds:datastoreItem>
</file>

<file path=customXml/itemProps93.xml><?xml version="1.0" encoding="utf-8"?>
<ds:datastoreItem xmlns:ds="http://schemas.openxmlformats.org/officeDocument/2006/customXml" ds:itemID="{EE6C84BC-1DEA-4873-AD81-CDB5B7E5DC8F}">
  <ds:schemaRefs/>
</ds:datastoreItem>
</file>

<file path=customXml/itemProps94.xml><?xml version="1.0" encoding="utf-8"?>
<ds:datastoreItem xmlns:ds="http://schemas.openxmlformats.org/officeDocument/2006/customXml" ds:itemID="{C02E02A2-3350-4884-9FCD-E507C0BC55A1}">
  <ds:schemaRefs/>
</ds:datastoreItem>
</file>

<file path=customXml/itemProps95.xml><?xml version="1.0" encoding="utf-8"?>
<ds:datastoreItem xmlns:ds="http://schemas.openxmlformats.org/officeDocument/2006/customXml" ds:itemID="{CDE0F0FD-8FD7-408B-B771-5EE43DAE79DB}">
  <ds:schemaRefs/>
</ds:datastoreItem>
</file>

<file path=customXml/itemProps96.xml><?xml version="1.0" encoding="utf-8"?>
<ds:datastoreItem xmlns:ds="http://schemas.openxmlformats.org/officeDocument/2006/customXml" ds:itemID="{48C2A22C-4B0B-4938-BFCE-5F4129729B5B}">
  <ds:schemaRefs/>
</ds:datastoreItem>
</file>

<file path=customXml/itemProps97.xml><?xml version="1.0" encoding="utf-8"?>
<ds:datastoreItem xmlns:ds="http://schemas.openxmlformats.org/officeDocument/2006/customXml" ds:itemID="{C18A8BF5-99CC-49D3-8530-C44407EDE9AD}">
  <ds:schemaRefs/>
</ds:datastoreItem>
</file>

<file path=customXml/itemProps98.xml><?xml version="1.0" encoding="utf-8"?>
<ds:datastoreItem xmlns:ds="http://schemas.openxmlformats.org/officeDocument/2006/customXml" ds:itemID="{BCEB3D56-202A-4E93-856B-FAA95EE81BCF}">
  <ds:schemaRefs/>
</ds:datastoreItem>
</file>

<file path=customXml/itemProps99.xml><?xml version="1.0" encoding="utf-8"?>
<ds:datastoreItem xmlns:ds="http://schemas.openxmlformats.org/officeDocument/2006/customXml" ds:itemID="{86B9AC7C-645C-419E-A4D6-5BE1CAC396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2828</Words>
  <Characters>16122</Characters>
  <Lines>134</Lines>
  <Paragraphs>37</Paragraphs>
  <TotalTime>5</TotalTime>
  <ScaleCrop>false</ScaleCrop>
  <LinksUpToDate>false</LinksUpToDate>
  <CharactersWithSpaces>18913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2023-03-15T03:08:00Z</dcterms:created>
  <dc:creator>Liz</dc:creator>
  <cp:lastModifiedBy>111</cp:lastModifiedBy>
  <dcterms:modified xsi:type="dcterms:W3CDTF">2024-07-18T01:40:03Z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F8990C089DEB4EA7B33C4DBFC909BF29</vt:lpwstr>
  </property>
</Properties>
</file>