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2023年单位预算信息公开目录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单位预算公开表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单位预算收支总表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单位预算收入总表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单位预算支出总表</w:t>
      </w:r>
      <w:r>
        <w:rPr>
          <w:rStyle w:val="11"/>
        </w:rPr>
        <w:tab/>
      </w:r>
      <w:r>
        <w:rPr>
          <w:rStyle w:val="11"/>
        </w:rPr>
        <w:t>6</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单位预算财政拨款收支总表</w:t>
      </w:r>
      <w:r>
        <w:rPr>
          <w:rStyle w:val="11"/>
        </w:rPr>
        <w:tab/>
      </w:r>
      <w:r>
        <w:rPr>
          <w:rStyle w:val="11"/>
        </w:rPr>
        <w:t>7</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单位预算一般公共预算财政拨款支出表</w:t>
      </w:r>
      <w:r>
        <w:rPr>
          <w:rStyle w:val="11"/>
        </w:rPr>
        <w:tab/>
      </w:r>
      <w:r>
        <w:rPr>
          <w:rStyle w:val="11"/>
        </w:rPr>
        <w:t>10</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单位预算一般公共预算财政拨款基本支出表</w:t>
      </w:r>
      <w:r>
        <w:rPr>
          <w:rStyle w:val="11"/>
        </w:rPr>
        <w:tab/>
      </w:r>
      <w:r>
        <w:rPr>
          <w:rStyle w:val="11"/>
        </w:rPr>
        <w:t>11</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单位预算政府基金预算财政拨款支出表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单位预算国有资本经营预算财政拨款支出表</w:t>
      </w:r>
      <w:r>
        <w:rPr>
          <w:rStyle w:val="11"/>
        </w:rPr>
        <w:tab/>
      </w:r>
      <w:r>
        <w:rPr>
          <w:rStyle w:val="11"/>
        </w:rPr>
        <w:t>14</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单位预算财政拨款“三公”经费支出表</w:t>
      </w:r>
      <w:r>
        <w:rPr>
          <w:rStyle w:val="11"/>
        </w:rPr>
        <w:tab/>
      </w:r>
      <w:r>
        <w:rPr>
          <w:rStyle w:val="11"/>
        </w:rPr>
        <w:t>15</w:t>
      </w:r>
      <w:r>
        <w:rPr>
          <w:rStyle w:val="11"/>
        </w:rPr>
        <w:fldChar w:fldCharType="end"/>
      </w:r>
    </w:p>
    <w:p>
      <w:r>
        <w:fldChar w:fldCharType="end"/>
      </w:r>
    </w:p>
    <w:p>
      <w:r>
        <w:rPr>
          <w:rFonts w:ascii="方正楷体_GBK" w:hAnsi="方正楷体_GBK" w:eastAsia="方正楷体_GBK" w:cs="方正楷体_GBK"/>
          <w:b/>
          <w:color w:val="000000"/>
          <w:sz w:val="28"/>
        </w:rPr>
        <w:t>单位预算信息公开情况说明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一、单位职责及机构设置情况</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二、单位预算安排的总体情况</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18</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18</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19</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25</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25</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26</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27</w:t>
      </w:r>
      <w:r>
        <w:rPr>
          <w:rStyle w:val="11"/>
        </w:rP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outlineLvl w:val="1"/>
      </w:pPr>
      <w:bookmarkStart w:id="0" w:name="tz_0001_0001"/>
      <w:bookmarkEnd w:id="0"/>
      <w:bookmarkStart w:id="1" w:name="_Toc_2_2_0000000001"/>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1"/>
    </w:p>
    <w:p>
      <w:pPr>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481001廊坊市广阳区科学技术局本级</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464.97</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r>
              <w:t>464.97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464.97</w:t>
            </w:r>
          </w:p>
        </w:tc>
        <w:tc>
          <w:tcPr>
            <w:tcW w:w="4535" w:type="dxa"/>
            <w:vAlign w:val="center"/>
          </w:tcPr>
          <w:p>
            <w:pPr>
              <w:pStyle w:val="19"/>
            </w:pPr>
            <w:r>
              <w:t>本年支出合计</w:t>
            </w:r>
          </w:p>
        </w:tc>
        <w:tc>
          <w:tcPr>
            <w:tcW w:w="2126" w:type="dxa"/>
            <w:vAlign w:val="center"/>
          </w:tcPr>
          <w:p>
            <w:pPr>
              <w:pStyle w:val="20"/>
            </w:pPr>
            <w:r>
              <w:t>464.97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464.97</w:t>
            </w:r>
          </w:p>
        </w:tc>
        <w:tc>
          <w:tcPr>
            <w:tcW w:w="4535" w:type="dxa"/>
            <w:vAlign w:val="center"/>
          </w:tcPr>
          <w:p>
            <w:pPr>
              <w:pStyle w:val="19"/>
            </w:pPr>
            <w:r>
              <w:t>支出总计</w:t>
            </w:r>
          </w:p>
        </w:tc>
        <w:tc>
          <w:tcPr>
            <w:tcW w:w="2126" w:type="dxa"/>
            <w:vAlign w:val="center"/>
          </w:tcPr>
          <w:p>
            <w:pPr>
              <w:pStyle w:val="20"/>
            </w:pPr>
            <w:r>
              <w:t>464.97</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bookmarkStart w:id="2" w:name="tz_0001_0002"/>
      <w:bookmarkEnd w:id="2"/>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481001廊坊市广阳区科学技术局本级</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464.97</w:t>
            </w:r>
          </w:p>
        </w:tc>
        <w:tc>
          <w:tcPr>
            <w:tcW w:w="1134" w:type="dxa"/>
            <w:vAlign w:val="center"/>
          </w:tcPr>
          <w:p>
            <w:pPr>
              <w:pStyle w:val="20"/>
            </w:pPr>
            <w:r>
              <w:t>464.97</w:t>
            </w:r>
          </w:p>
        </w:tc>
        <w:tc>
          <w:tcPr>
            <w:tcW w:w="1134" w:type="dxa"/>
            <w:vAlign w:val="center"/>
          </w:tcPr>
          <w:p>
            <w:pPr>
              <w:pStyle w:val="20"/>
            </w:pPr>
            <w:r>
              <w:t>464.97</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206</w:t>
            </w:r>
          </w:p>
        </w:tc>
        <w:tc>
          <w:tcPr>
            <w:tcW w:w="1559" w:type="dxa"/>
            <w:vAlign w:val="center"/>
          </w:tcPr>
          <w:p>
            <w:pPr>
              <w:pStyle w:val="17"/>
            </w:pPr>
            <w:r>
              <w:t>科学技术支出</w:t>
            </w:r>
          </w:p>
        </w:tc>
        <w:tc>
          <w:tcPr>
            <w:tcW w:w="1134" w:type="dxa"/>
            <w:vAlign w:val="center"/>
          </w:tcPr>
          <w:p>
            <w:pPr>
              <w:pStyle w:val="16"/>
            </w:pPr>
            <w:r>
              <w:t>464.97</w:t>
            </w:r>
          </w:p>
        </w:tc>
        <w:tc>
          <w:tcPr>
            <w:tcW w:w="1134" w:type="dxa"/>
            <w:vAlign w:val="center"/>
          </w:tcPr>
          <w:p>
            <w:pPr>
              <w:pStyle w:val="16"/>
            </w:pPr>
            <w:r>
              <w:t>464.97</w:t>
            </w:r>
          </w:p>
        </w:tc>
        <w:tc>
          <w:tcPr>
            <w:tcW w:w="1134" w:type="dxa"/>
            <w:vAlign w:val="center"/>
          </w:tcPr>
          <w:p>
            <w:pPr>
              <w:pStyle w:val="16"/>
            </w:pPr>
            <w:r>
              <w:t>464.97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20601</w:t>
            </w:r>
          </w:p>
        </w:tc>
        <w:tc>
          <w:tcPr>
            <w:tcW w:w="1559" w:type="dxa"/>
            <w:vAlign w:val="center"/>
          </w:tcPr>
          <w:p>
            <w:pPr>
              <w:pStyle w:val="17"/>
            </w:pPr>
            <w:r>
              <w:t>科学技术管理事务</w:t>
            </w:r>
          </w:p>
        </w:tc>
        <w:tc>
          <w:tcPr>
            <w:tcW w:w="1134" w:type="dxa"/>
            <w:vAlign w:val="center"/>
          </w:tcPr>
          <w:p>
            <w:pPr>
              <w:pStyle w:val="16"/>
            </w:pPr>
            <w:r>
              <w:t>464.97</w:t>
            </w:r>
          </w:p>
        </w:tc>
        <w:tc>
          <w:tcPr>
            <w:tcW w:w="1134" w:type="dxa"/>
            <w:vAlign w:val="center"/>
          </w:tcPr>
          <w:p>
            <w:pPr>
              <w:pStyle w:val="16"/>
            </w:pPr>
            <w:r>
              <w:t>464.97</w:t>
            </w:r>
          </w:p>
        </w:tc>
        <w:tc>
          <w:tcPr>
            <w:tcW w:w="1134" w:type="dxa"/>
            <w:vAlign w:val="center"/>
          </w:tcPr>
          <w:p>
            <w:pPr>
              <w:pStyle w:val="16"/>
            </w:pPr>
            <w:r>
              <w:t>464.97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2060101</w:t>
            </w:r>
          </w:p>
        </w:tc>
        <w:tc>
          <w:tcPr>
            <w:tcW w:w="1559" w:type="dxa"/>
            <w:vAlign w:val="center"/>
          </w:tcPr>
          <w:p>
            <w:pPr>
              <w:pStyle w:val="17"/>
            </w:pPr>
            <w:r>
              <w:t>行政运行</w:t>
            </w:r>
          </w:p>
        </w:tc>
        <w:tc>
          <w:tcPr>
            <w:tcW w:w="1134" w:type="dxa"/>
            <w:vAlign w:val="center"/>
          </w:tcPr>
          <w:p>
            <w:pPr>
              <w:pStyle w:val="16"/>
            </w:pPr>
            <w:r>
              <w:t>464.97</w:t>
            </w:r>
          </w:p>
        </w:tc>
        <w:tc>
          <w:tcPr>
            <w:tcW w:w="1134" w:type="dxa"/>
            <w:vAlign w:val="center"/>
          </w:tcPr>
          <w:p>
            <w:pPr>
              <w:pStyle w:val="16"/>
            </w:pPr>
            <w:r>
              <w:t>464.97</w:t>
            </w:r>
          </w:p>
        </w:tc>
        <w:tc>
          <w:tcPr>
            <w:tcW w:w="1134" w:type="dxa"/>
            <w:vAlign w:val="center"/>
          </w:tcPr>
          <w:p>
            <w:pPr>
              <w:pStyle w:val="16"/>
            </w:pPr>
            <w:r>
              <w:t>464.97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3" w:name="tz_0001_0003"/>
      <w:bookmarkEnd w:id="3"/>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481001廊坊市广阳区科学技术局本级</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464.97</w:t>
            </w:r>
          </w:p>
        </w:tc>
        <w:tc>
          <w:tcPr>
            <w:tcW w:w="1361" w:type="dxa"/>
            <w:vAlign w:val="center"/>
          </w:tcPr>
          <w:p>
            <w:pPr>
              <w:pStyle w:val="20"/>
            </w:pPr>
            <w:r>
              <w:t>434.97</w:t>
            </w:r>
          </w:p>
        </w:tc>
        <w:tc>
          <w:tcPr>
            <w:tcW w:w="1361" w:type="dxa"/>
            <w:vAlign w:val="center"/>
          </w:tcPr>
          <w:p>
            <w:pPr>
              <w:pStyle w:val="20"/>
            </w:pPr>
            <w:r>
              <w:t>30.00</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206</w:t>
            </w:r>
          </w:p>
        </w:tc>
        <w:tc>
          <w:tcPr>
            <w:tcW w:w="4535" w:type="dxa"/>
            <w:vAlign w:val="center"/>
          </w:tcPr>
          <w:p>
            <w:pPr>
              <w:pStyle w:val="17"/>
            </w:pPr>
            <w:r>
              <w:t>科学技术支出</w:t>
            </w:r>
          </w:p>
        </w:tc>
        <w:tc>
          <w:tcPr>
            <w:tcW w:w="1361" w:type="dxa"/>
            <w:vAlign w:val="center"/>
          </w:tcPr>
          <w:p>
            <w:pPr>
              <w:pStyle w:val="16"/>
            </w:pPr>
            <w:r>
              <w:t>464.97</w:t>
            </w:r>
          </w:p>
        </w:tc>
        <w:tc>
          <w:tcPr>
            <w:tcW w:w="1361" w:type="dxa"/>
            <w:vAlign w:val="center"/>
          </w:tcPr>
          <w:p>
            <w:pPr>
              <w:pStyle w:val="16"/>
            </w:pPr>
            <w:r>
              <w:t>434.97</w:t>
            </w:r>
          </w:p>
        </w:tc>
        <w:tc>
          <w:tcPr>
            <w:tcW w:w="1361" w:type="dxa"/>
            <w:vAlign w:val="center"/>
          </w:tcPr>
          <w:p>
            <w:pPr>
              <w:pStyle w:val="16"/>
            </w:pPr>
            <w:r>
              <w:t>30.00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20601</w:t>
            </w:r>
          </w:p>
        </w:tc>
        <w:tc>
          <w:tcPr>
            <w:tcW w:w="4535" w:type="dxa"/>
            <w:vAlign w:val="center"/>
          </w:tcPr>
          <w:p>
            <w:pPr>
              <w:pStyle w:val="17"/>
            </w:pPr>
            <w:r>
              <w:t>科学技术管理事务</w:t>
            </w:r>
          </w:p>
        </w:tc>
        <w:tc>
          <w:tcPr>
            <w:tcW w:w="1361" w:type="dxa"/>
            <w:vAlign w:val="center"/>
          </w:tcPr>
          <w:p>
            <w:pPr>
              <w:pStyle w:val="16"/>
            </w:pPr>
            <w:r>
              <w:t>464.97</w:t>
            </w:r>
          </w:p>
        </w:tc>
        <w:tc>
          <w:tcPr>
            <w:tcW w:w="1361" w:type="dxa"/>
            <w:vAlign w:val="center"/>
          </w:tcPr>
          <w:p>
            <w:pPr>
              <w:pStyle w:val="16"/>
            </w:pPr>
            <w:r>
              <w:t>434.97</w:t>
            </w:r>
          </w:p>
        </w:tc>
        <w:tc>
          <w:tcPr>
            <w:tcW w:w="1361" w:type="dxa"/>
            <w:vAlign w:val="center"/>
          </w:tcPr>
          <w:p>
            <w:pPr>
              <w:pStyle w:val="16"/>
            </w:pPr>
            <w:r>
              <w:t>30.00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2060101</w:t>
            </w:r>
          </w:p>
        </w:tc>
        <w:tc>
          <w:tcPr>
            <w:tcW w:w="4535" w:type="dxa"/>
            <w:vAlign w:val="center"/>
          </w:tcPr>
          <w:p>
            <w:pPr>
              <w:pStyle w:val="17"/>
            </w:pPr>
            <w:r>
              <w:t>行政运行</w:t>
            </w:r>
          </w:p>
        </w:tc>
        <w:tc>
          <w:tcPr>
            <w:tcW w:w="1361" w:type="dxa"/>
            <w:vAlign w:val="center"/>
          </w:tcPr>
          <w:p>
            <w:pPr>
              <w:pStyle w:val="16"/>
            </w:pPr>
            <w:r>
              <w:t>464.97</w:t>
            </w:r>
          </w:p>
        </w:tc>
        <w:tc>
          <w:tcPr>
            <w:tcW w:w="1361" w:type="dxa"/>
            <w:vAlign w:val="center"/>
          </w:tcPr>
          <w:p>
            <w:pPr>
              <w:pStyle w:val="16"/>
            </w:pPr>
            <w:r>
              <w:t>434.97</w:t>
            </w:r>
          </w:p>
        </w:tc>
        <w:tc>
          <w:tcPr>
            <w:tcW w:w="1361" w:type="dxa"/>
            <w:vAlign w:val="center"/>
          </w:tcPr>
          <w:p>
            <w:pPr>
              <w:pStyle w:val="16"/>
            </w:pPr>
            <w:r>
              <w:t>30.00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4" w:name="tz_0001_0004"/>
      <w:bookmarkEnd w:id="4"/>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481001廊坊市广阳区科学技术局本级</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464.97</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r>
              <w:t>464.97</w:t>
            </w:r>
          </w:p>
        </w:tc>
        <w:tc>
          <w:tcPr>
            <w:tcW w:w="1474" w:type="dxa"/>
            <w:vAlign w:val="center"/>
          </w:tcPr>
          <w:p>
            <w:pPr>
              <w:pStyle w:val="16"/>
            </w:pPr>
            <w:r>
              <w:t>464.97</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464.97</w:t>
            </w:r>
          </w:p>
        </w:tc>
        <w:tc>
          <w:tcPr>
            <w:tcW w:w="3402" w:type="dxa"/>
            <w:vAlign w:val="center"/>
          </w:tcPr>
          <w:p>
            <w:pPr>
              <w:pStyle w:val="19"/>
            </w:pPr>
            <w:r>
              <w:t>本年支出合计</w:t>
            </w:r>
          </w:p>
        </w:tc>
        <w:tc>
          <w:tcPr>
            <w:tcW w:w="1474" w:type="dxa"/>
            <w:vAlign w:val="center"/>
          </w:tcPr>
          <w:p>
            <w:pPr>
              <w:pStyle w:val="20"/>
            </w:pPr>
            <w:r>
              <w:t>464.97</w:t>
            </w:r>
          </w:p>
        </w:tc>
        <w:tc>
          <w:tcPr>
            <w:tcW w:w="1474" w:type="dxa"/>
            <w:vAlign w:val="center"/>
          </w:tcPr>
          <w:p>
            <w:pPr>
              <w:pStyle w:val="20"/>
            </w:pPr>
            <w:r>
              <w:t>464.97</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464.97</w:t>
            </w:r>
          </w:p>
        </w:tc>
        <w:tc>
          <w:tcPr>
            <w:tcW w:w="3402" w:type="dxa"/>
            <w:vAlign w:val="center"/>
          </w:tcPr>
          <w:p>
            <w:pPr>
              <w:pStyle w:val="19"/>
            </w:pPr>
            <w:r>
              <w:t>支出总计</w:t>
            </w:r>
          </w:p>
        </w:tc>
        <w:tc>
          <w:tcPr>
            <w:tcW w:w="1474" w:type="dxa"/>
            <w:vAlign w:val="center"/>
          </w:tcPr>
          <w:p>
            <w:pPr>
              <w:pStyle w:val="20"/>
            </w:pPr>
            <w:r>
              <w:t>464.97</w:t>
            </w:r>
          </w:p>
        </w:tc>
        <w:tc>
          <w:tcPr>
            <w:tcW w:w="1474" w:type="dxa"/>
            <w:vAlign w:val="center"/>
          </w:tcPr>
          <w:p>
            <w:pPr>
              <w:pStyle w:val="20"/>
            </w:pPr>
            <w:r>
              <w:t>464.97</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4"/>
      </w:pPr>
      <w:bookmarkStart w:id="5" w:name="tz_0001_0005"/>
      <w:bookmarkEnd w:id="5"/>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481001廊坊市广阳区科学技术局本级</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464.97</w:t>
            </w:r>
          </w:p>
        </w:tc>
        <w:tc>
          <w:tcPr>
            <w:tcW w:w="2551" w:type="dxa"/>
            <w:vAlign w:val="center"/>
          </w:tcPr>
          <w:p>
            <w:pPr>
              <w:pStyle w:val="20"/>
            </w:pPr>
            <w:r>
              <w:t>434.97</w:t>
            </w:r>
          </w:p>
        </w:tc>
        <w:tc>
          <w:tcPr>
            <w:tcW w:w="2551" w:type="dxa"/>
            <w:vAlign w:val="center"/>
          </w:tcPr>
          <w:p>
            <w:pPr>
              <w:pStyle w:val="20"/>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206</w:t>
            </w:r>
          </w:p>
        </w:tc>
        <w:tc>
          <w:tcPr>
            <w:tcW w:w="4535" w:type="dxa"/>
            <w:vAlign w:val="center"/>
          </w:tcPr>
          <w:p>
            <w:pPr>
              <w:pStyle w:val="17"/>
            </w:pPr>
            <w:r>
              <w:t>科学技术支出</w:t>
            </w:r>
          </w:p>
        </w:tc>
        <w:tc>
          <w:tcPr>
            <w:tcW w:w="2551" w:type="dxa"/>
            <w:vAlign w:val="center"/>
          </w:tcPr>
          <w:p>
            <w:pPr>
              <w:pStyle w:val="16"/>
            </w:pPr>
            <w:r>
              <w:t>464.97</w:t>
            </w:r>
          </w:p>
        </w:tc>
        <w:tc>
          <w:tcPr>
            <w:tcW w:w="2551" w:type="dxa"/>
            <w:vAlign w:val="center"/>
          </w:tcPr>
          <w:p>
            <w:pPr>
              <w:pStyle w:val="16"/>
            </w:pPr>
            <w:r>
              <w:t>434.97</w:t>
            </w:r>
          </w:p>
        </w:tc>
        <w:tc>
          <w:tcPr>
            <w:tcW w:w="2551" w:type="dxa"/>
            <w:vAlign w:val="center"/>
          </w:tcPr>
          <w:p>
            <w:pPr>
              <w:pStyle w:val="16"/>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20601</w:t>
            </w:r>
          </w:p>
        </w:tc>
        <w:tc>
          <w:tcPr>
            <w:tcW w:w="4535" w:type="dxa"/>
            <w:vAlign w:val="center"/>
          </w:tcPr>
          <w:p>
            <w:pPr>
              <w:pStyle w:val="17"/>
            </w:pPr>
            <w:r>
              <w:t>科学技术管理事务</w:t>
            </w:r>
          </w:p>
        </w:tc>
        <w:tc>
          <w:tcPr>
            <w:tcW w:w="2551" w:type="dxa"/>
            <w:vAlign w:val="center"/>
          </w:tcPr>
          <w:p>
            <w:pPr>
              <w:pStyle w:val="16"/>
            </w:pPr>
            <w:r>
              <w:t>464.97</w:t>
            </w:r>
          </w:p>
        </w:tc>
        <w:tc>
          <w:tcPr>
            <w:tcW w:w="2551" w:type="dxa"/>
            <w:vAlign w:val="center"/>
          </w:tcPr>
          <w:p>
            <w:pPr>
              <w:pStyle w:val="16"/>
            </w:pPr>
            <w:r>
              <w:t>434.97</w:t>
            </w:r>
          </w:p>
        </w:tc>
        <w:tc>
          <w:tcPr>
            <w:tcW w:w="2551" w:type="dxa"/>
            <w:vAlign w:val="center"/>
          </w:tcPr>
          <w:p>
            <w:pPr>
              <w:pStyle w:val="16"/>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2060101</w:t>
            </w:r>
          </w:p>
        </w:tc>
        <w:tc>
          <w:tcPr>
            <w:tcW w:w="4535" w:type="dxa"/>
            <w:vAlign w:val="center"/>
          </w:tcPr>
          <w:p>
            <w:pPr>
              <w:pStyle w:val="17"/>
            </w:pPr>
            <w:r>
              <w:t>行政运行</w:t>
            </w:r>
          </w:p>
        </w:tc>
        <w:tc>
          <w:tcPr>
            <w:tcW w:w="2551" w:type="dxa"/>
            <w:vAlign w:val="center"/>
          </w:tcPr>
          <w:p>
            <w:pPr>
              <w:pStyle w:val="16"/>
            </w:pPr>
            <w:r>
              <w:t>464.97</w:t>
            </w:r>
          </w:p>
        </w:tc>
        <w:tc>
          <w:tcPr>
            <w:tcW w:w="2551" w:type="dxa"/>
            <w:vAlign w:val="center"/>
          </w:tcPr>
          <w:p>
            <w:pPr>
              <w:pStyle w:val="16"/>
            </w:pPr>
            <w:r>
              <w:t>434.97</w:t>
            </w:r>
          </w:p>
        </w:tc>
        <w:tc>
          <w:tcPr>
            <w:tcW w:w="2551" w:type="dxa"/>
            <w:vAlign w:val="center"/>
          </w:tcPr>
          <w:p>
            <w:pPr>
              <w:pStyle w:val="16"/>
            </w:pPr>
            <w:r>
              <w:t>30.00</w:t>
            </w:r>
          </w:p>
        </w:tc>
      </w:tr>
    </w:tbl>
    <w:p>
      <w:pPr>
        <w:sectPr>
          <w:pgSz w:w="16840" w:h="11900" w:orient="landscape"/>
          <w:pgMar w:top="1361" w:right="1020" w:bottom="1134" w:left="1020" w:header="720" w:footer="720" w:gutter="0"/>
          <w:cols w:space="720" w:num="1"/>
        </w:sectPr>
      </w:pPr>
    </w:p>
    <w:p>
      <w:pPr>
        <w:jc w:val="center"/>
        <w:outlineLvl w:val="4"/>
      </w:pPr>
      <w:bookmarkStart w:id="6" w:name="tz_0001_0006"/>
      <w:bookmarkEnd w:id="6"/>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481001廊坊市广阳区科学技术局本级</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434.97</w:t>
            </w:r>
          </w:p>
        </w:tc>
        <w:tc>
          <w:tcPr>
            <w:tcW w:w="2551" w:type="dxa"/>
            <w:vAlign w:val="center"/>
          </w:tcPr>
          <w:p>
            <w:pPr>
              <w:pStyle w:val="20"/>
            </w:pPr>
            <w:r>
              <w:t>399.81</w:t>
            </w:r>
          </w:p>
        </w:tc>
        <w:tc>
          <w:tcPr>
            <w:tcW w:w="2551" w:type="dxa"/>
            <w:vAlign w:val="center"/>
          </w:tcPr>
          <w:p>
            <w:pPr>
              <w:pStyle w:val="20"/>
            </w:pPr>
            <w:r>
              <w:t>35.16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293.35</w:t>
            </w:r>
          </w:p>
        </w:tc>
        <w:tc>
          <w:tcPr>
            <w:tcW w:w="2551" w:type="dxa"/>
            <w:vAlign w:val="center"/>
          </w:tcPr>
          <w:p>
            <w:pPr>
              <w:pStyle w:val="16"/>
            </w:pPr>
            <w:r>
              <w:t>293.35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82.06</w:t>
            </w:r>
          </w:p>
        </w:tc>
        <w:tc>
          <w:tcPr>
            <w:tcW w:w="2551" w:type="dxa"/>
            <w:vAlign w:val="center"/>
          </w:tcPr>
          <w:p>
            <w:pPr>
              <w:pStyle w:val="16"/>
            </w:pPr>
            <w:r>
              <w:t>82.06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75.92</w:t>
            </w:r>
          </w:p>
        </w:tc>
        <w:tc>
          <w:tcPr>
            <w:tcW w:w="2551" w:type="dxa"/>
            <w:vAlign w:val="center"/>
          </w:tcPr>
          <w:p>
            <w:pPr>
              <w:pStyle w:val="16"/>
            </w:pPr>
            <w:r>
              <w:t>75.92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55.53</w:t>
            </w:r>
          </w:p>
        </w:tc>
        <w:tc>
          <w:tcPr>
            <w:tcW w:w="2551" w:type="dxa"/>
            <w:vAlign w:val="center"/>
          </w:tcPr>
          <w:p>
            <w:pPr>
              <w:pStyle w:val="16"/>
            </w:pPr>
            <w:r>
              <w:t>55.53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19.77</w:t>
            </w:r>
          </w:p>
        </w:tc>
        <w:tc>
          <w:tcPr>
            <w:tcW w:w="2551" w:type="dxa"/>
            <w:vAlign w:val="center"/>
          </w:tcPr>
          <w:p>
            <w:pPr>
              <w:pStyle w:val="16"/>
            </w:pPr>
            <w:r>
              <w:t>19.77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27.78</w:t>
            </w:r>
          </w:p>
        </w:tc>
        <w:tc>
          <w:tcPr>
            <w:tcW w:w="2551" w:type="dxa"/>
            <w:vAlign w:val="center"/>
          </w:tcPr>
          <w:p>
            <w:pPr>
              <w:pStyle w:val="16"/>
            </w:pPr>
            <w:r>
              <w:t>27.78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8.37</w:t>
            </w:r>
          </w:p>
        </w:tc>
        <w:tc>
          <w:tcPr>
            <w:tcW w:w="2551" w:type="dxa"/>
            <w:vAlign w:val="center"/>
          </w:tcPr>
          <w:p>
            <w:pPr>
              <w:pStyle w:val="16"/>
            </w:pPr>
            <w:r>
              <w:t>8.37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0.81</w:t>
            </w:r>
          </w:p>
        </w:tc>
        <w:tc>
          <w:tcPr>
            <w:tcW w:w="2551" w:type="dxa"/>
            <w:vAlign w:val="center"/>
          </w:tcPr>
          <w:p>
            <w:pPr>
              <w:pStyle w:val="16"/>
            </w:pPr>
            <w:r>
              <w:t>0.81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22.91</w:t>
            </w:r>
          </w:p>
        </w:tc>
        <w:tc>
          <w:tcPr>
            <w:tcW w:w="2551" w:type="dxa"/>
            <w:vAlign w:val="center"/>
          </w:tcPr>
          <w:p>
            <w:pPr>
              <w:pStyle w:val="16"/>
            </w:pPr>
            <w:r>
              <w:t>22.91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0.22</w:t>
            </w:r>
          </w:p>
        </w:tc>
        <w:tc>
          <w:tcPr>
            <w:tcW w:w="2551" w:type="dxa"/>
            <w:vAlign w:val="center"/>
          </w:tcPr>
          <w:p>
            <w:pPr>
              <w:pStyle w:val="16"/>
            </w:pPr>
            <w:r>
              <w:t>0.22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35.16</w:t>
            </w:r>
          </w:p>
        </w:tc>
        <w:tc>
          <w:tcPr>
            <w:tcW w:w="2551" w:type="dxa"/>
            <w:vAlign w:val="center"/>
          </w:tcPr>
          <w:p>
            <w:pPr>
              <w:pStyle w:val="16"/>
            </w:pPr>
          </w:p>
        </w:tc>
        <w:tc>
          <w:tcPr>
            <w:tcW w:w="2551" w:type="dxa"/>
            <w:vAlign w:val="center"/>
          </w:tcPr>
          <w:p>
            <w:pPr>
              <w:pStyle w:val="16"/>
            </w:pPr>
            <w:r>
              <w:t>35.16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30201</w:t>
            </w:r>
          </w:p>
        </w:tc>
        <w:tc>
          <w:tcPr>
            <w:tcW w:w="4535" w:type="dxa"/>
            <w:vAlign w:val="center"/>
          </w:tcPr>
          <w:p>
            <w:pPr>
              <w:pStyle w:val="17"/>
            </w:pPr>
            <w:r>
              <w:t>办公费</w:t>
            </w:r>
          </w:p>
        </w:tc>
        <w:tc>
          <w:tcPr>
            <w:tcW w:w="2551" w:type="dxa"/>
            <w:vAlign w:val="center"/>
          </w:tcPr>
          <w:p>
            <w:pPr>
              <w:pStyle w:val="16"/>
            </w:pPr>
            <w:r>
              <w:t>2.88</w:t>
            </w:r>
          </w:p>
        </w:tc>
        <w:tc>
          <w:tcPr>
            <w:tcW w:w="2551" w:type="dxa"/>
            <w:vAlign w:val="center"/>
          </w:tcPr>
          <w:p>
            <w:pPr>
              <w:pStyle w:val="16"/>
            </w:pPr>
          </w:p>
        </w:tc>
        <w:tc>
          <w:tcPr>
            <w:tcW w:w="2551" w:type="dxa"/>
            <w:vAlign w:val="center"/>
          </w:tcPr>
          <w:p>
            <w:pPr>
              <w:pStyle w:val="16"/>
            </w:pPr>
            <w:r>
              <w:t>2.88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30202</w:t>
            </w:r>
          </w:p>
        </w:tc>
        <w:tc>
          <w:tcPr>
            <w:tcW w:w="4535" w:type="dxa"/>
            <w:vAlign w:val="center"/>
          </w:tcPr>
          <w:p>
            <w:pPr>
              <w:pStyle w:val="17"/>
            </w:pPr>
            <w:r>
              <w:t>印刷费</w:t>
            </w:r>
          </w:p>
        </w:tc>
        <w:tc>
          <w:tcPr>
            <w:tcW w:w="2551" w:type="dxa"/>
            <w:vAlign w:val="center"/>
          </w:tcPr>
          <w:p>
            <w:pPr>
              <w:pStyle w:val="16"/>
            </w:pPr>
            <w:r>
              <w:t>0.22</w:t>
            </w:r>
          </w:p>
        </w:tc>
        <w:tc>
          <w:tcPr>
            <w:tcW w:w="2551" w:type="dxa"/>
            <w:vAlign w:val="center"/>
          </w:tcPr>
          <w:p>
            <w:pPr>
              <w:pStyle w:val="16"/>
            </w:pPr>
          </w:p>
        </w:tc>
        <w:tc>
          <w:tcPr>
            <w:tcW w:w="2551" w:type="dxa"/>
            <w:vAlign w:val="center"/>
          </w:tcPr>
          <w:p>
            <w:pPr>
              <w:pStyle w:val="16"/>
            </w:pPr>
            <w:r>
              <w:t>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30205</w:t>
            </w:r>
          </w:p>
        </w:tc>
        <w:tc>
          <w:tcPr>
            <w:tcW w:w="4535" w:type="dxa"/>
            <w:vAlign w:val="center"/>
          </w:tcPr>
          <w:p>
            <w:pPr>
              <w:pStyle w:val="17"/>
            </w:pPr>
            <w:r>
              <w:t>水费</w:t>
            </w:r>
          </w:p>
        </w:tc>
        <w:tc>
          <w:tcPr>
            <w:tcW w:w="2551" w:type="dxa"/>
            <w:vAlign w:val="center"/>
          </w:tcPr>
          <w:p>
            <w:pPr>
              <w:pStyle w:val="16"/>
            </w:pPr>
            <w:r>
              <w:t>0.58</w:t>
            </w:r>
          </w:p>
        </w:tc>
        <w:tc>
          <w:tcPr>
            <w:tcW w:w="2551" w:type="dxa"/>
            <w:vAlign w:val="center"/>
          </w:tcPr>
          <w:p>
            <w:pPr>
              <w:pStyle w:val="16"/>
            </w:pPr>
          </w:p>
        </w:tc>
        <w:tc>
          <w:tcPr>
            <w:tcW w:w="2551" w:type="dxa"/>
            <w:vAlign w:val="center"/>
          </w:tcPr>
          <w:p>
            <w:pPr>
              <w:pStyle w:val="16"/>
            </w:pPr>
            <w:r>
              <w:t>0.58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30206</w:t>
            </w:r>
          </w:p>
        </w:tc>
        <w:tc>
          <w:tcPr>
            <w:tcW w:w="4535" w:type="dxa"/>
            <w:vAlign w:val="center"/>
          </w:tcPr>
          <w:p>
            <w:pPr>
              <w:pStyle w:val="17"/>
            </w:pPr>
            <w:r>
              <w:t>电费</w:t>
            </w:r>
          </w:p>
        </w:tc>
        <w:tc>
          <w:tcPr>
            <w:tcW w:w="2551" w:type="dxa"/>
            <w:vAlign w:val="center"/>
          </w:tcPr>
          <w:p>
            <w:pPr>
              <w:pStyle w:val="16"/>
            </w:pPr>
            <w:r>
              <w:t>4.62</w:t>
            </w:r>
          </w:p>
        </w:tc>
        <w:tc>
          <w:tcPr>
            <w:tcW w:w="2551" w:type="dxa"/>
            <w:vAlign w:val="center"/>
          </w:tcPr>
          <w:p>
            <w:pPr>
              <w:pStyle w:val="16"/>
            </w:pPr>
          </w:p>
        </w:tc>
        <w:tc>
          <w:tcPr>
            <w:tcW w:w="2551" w:type="dxa"/>
            <w:vAlign w:val="center"/>
          </w:tcPr>
          <w:p>
            <w:pPr>
              <w:pStyle w:val="16"/>
            </w:pPr>
            <w:r>
              <w:t>4.62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30207</w:t>
            </w:r>
          </w:p>
        </w:tc>
        <w:tc>
          <w:tcPr>
            <w:tcW w:w="4535" w:type="dxa"/>
            <w:vAlign w:val="center"/>
          </w:tcPr>
          <w:p>
            <w:pPr>
              <w:pStyle w:val="17"/>
            </w:pPr>
            <w:r>
              <w:t>邮电费</w:t>
            </w:r>
          </w:p>
        </w:tc>
        <w:tc>
          <w:tcPr>
            <w:tcW w:w="2551" w:type="dxa"/>
            <w:vAlign w:val="center"/>
          </w:tcPr>
          <w:p>
            <w:pPr>
              <w:pStyle w:val="16"/>
            </w:pPr>
            <w:r>
              <w:t>8.46</w:t>
            </w:r>
          </w:p>
        </w:tc>
        <w:tc>
          <w:tcPr>
            <w:tcW w:w="2551" w:type="dxa"/>
            <w:vAlign w:val="center"/>
          </w:tcPr>
          <w:p>
            <w:pPr>
              <w:pStyle w:val="16"/>
            </w:pPr>
          </w:p>
        </w:tc>
        <w:tc>
          <w:tcPr>
            <w:tcW w:w="2551" w:type="dxa"/>
            <w:vAlign w:val="center"/>
          </w:tcPr>
          <w:p>
            <w:pPr>
              <w:pStyle w:val="16"/>
            </w:pPr>
            <w:r>
              <w:t>8.46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30209</w:t>
            </w:r>
          </w:p>
        </w:tc>
        <w:tc>
          <w:tcPr>
            <w:tcW w:w="4535" w:type="dxa"/>
            <w:vAlign w:val="center"/>
          </w:tcPr>
          <w:p>
            <w:pPr>
              <w:pStyle w:val="17"/>
            </w:pPr>
            <w:r>
              <w:t>物业管理费</w:t>
            </w:r>
          </w:p>
        </w:tc>
        <w:tc>
          <w:tcPr>
            <w:tcW w:w="2551" w:type="dxa"/>
            <w:vAlign w:val="center"/>
          </w:tcPr>
          <w:p>
            <w:pPr>
              <w:pStyle w:val="16"/>
            </w:pPr>
            <w:r>
              <w:t>1.04</w:t>
            </w:r>
          </w:p>
        </w:tc>
        <w:tc>
          <w:tcPr>
            <w:tcW w:w="2551" w:type="dxa"/>
            <w:vAlign w:val="center"/>
          </w:tcPr>
          <w:p>
            <w:pPr>
              <w:pStyle w:val="16"/>
            </w:pPr>
          </w:p>
        </w:tc>
        <w:tc>
          <w:tcPr>
            <w:tcW w:w="2551" w:type="dxa"/>
            <w:vAlign w:val="center"/>
          </w:tcPr>
          <w:p>
            <w:pPr>
              <w:pStyle w:val="16"/>
            </w:pPr>
            <w:r>
              <w:t>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30211</w:t>
            </w:r>
          </w:p>
        </w:tc>
        <w:tc>
          <w:tcPr>
            <w:tcW w:w="4535" w:type="dxa"/>
            <w:vAlign w:val="center"/>
          </w:tcPr>
          <w:p>
            <w:pPr>
              <w:pStyle w:val="17"/>
            </w:pPr>
            <w:r>
              <w:t>差旅费</w:t>
            </w:r>
          </w:p>
        </w:tc>
        <w:tc>
          <w:tcPr>
            <w:tcW w:w="2551" w:type="dxa"/>
            <w:vAlign w:val="center"/>
          </w:tcPr>
          <w:p>
            <w:pPr>
              <w:pStyle w:val="16"/>
            </w:pPr>
            <w:r>
              <w:t>2.88</w:t>
            </w:r>
          </w:p>
        </w:tc>
        <w:tc>
          <w:tcPr>
            <w:tcW w:w="2551" w:type="dxa"/>
            <w:vAlign w:val="center"/>
          </w:tcPr>
          <w:p>
            <w:pPr>
              <w:pStyle w:val="16"/>
            </w:pPr>
          </w:p>
        </w:tc>
        <w:tc>
          <w:tcPr>
            <w:tcW w:w="2551" w:type="dxa"/>
            <w:vAlign w:val="center"/>
          </w:tcPr>
          <w:p>
            <w:pPr>
              <w:pStyle w:val="16"/>
            </w:pPr>
            <w:r>
              <w:t>2.88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pPr>
            <w:r>
              <w:t>30213</w:t>
            </w:r>
          </w:p>
        </w:tc>
        <w:tc>
          <w:tcPr>
            <w:tcW w:w="4535" w:type="dxa"/>
            <w:vAlign w:val="center"/>
          </w:tcPr>
          <w:p>
            <w:pPr>
              <w:pStyle w:val="17"/>
            </w:pPr>
            <w:r>
              <w:t>维修(护)费</w:t>
            </w:r>
          </w:p>
        </w:tc>
        <w:tc>
          <w:tcPr>
            <w:tcW w:w="2551" w:type="dxa"/>
            <w:vAlign w:val="center"/>
          </w:tcPr>
          <w:p>
            <w:pPr>
              <w:pStyle w:val="16"/>
            </w:pPr>
            <w:r>
              <w:t>0.18</w:t>
            </w:r>
          </w:p>
        </w:tc>
        <w:tc>
          <w:tcPr>
            <w:tcW w:w="2551" w:type="dxa"/>
            <w:vAlign w:val="center"/>
          </w:tcPr>
          <w:p>
            <w:pPr>
              <w:pStyle w:val="16"/>
            </w:pPr>
          </w:p>
        </w:tc>
        <w:tc>
          <w:tcPr>
            <w:tcW w:w="2551" w:type="dxa"/>
            <w:vAlign w:val="center"/>
          </w:tcPr>
          <w:p>
            <w:pPr>
              <w:pStyle w:val="16"/>
            </w:pPr>
            <w:r>
              <w:t>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1.63</w:t>
            </w:r>
          </w:p>
        </w:tc>
        <w:tc>
          <w:tcPr>
            <w:tcW w:w="2551" w:type="dxa"/>
            <w:vAlign w:val="center"/>
          </w:tcPr>
          <w:p>
            <w:pPr>
              <w:pStyle w:val="16"/>
            </w:pPr>
          </w:p>
        </w:tc>
        <w:tc>
          <w:tcPr>
            <w:tcW w:w="2551" w:type="dxa"/>
            <w:vAlign w:val="center"/>
          </w:tcPr>
          <w:p>
            <w:pPr>
              <w:pStyle w:val="16"/>
            </w:pPr>
            <w:r>
              <w:t>1.63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3.10</w:t>
            </w:r>
          </w:p>
        </w:tc>
        <w:tc>
          <w:tcPr>
            <w:tcW w:w="2551" w:type="dxa"/>
            <w:vAlign w:val="center"/>
          </w:tcPr>
          <w:p>
            <w:pPr>
              <w:pStyle w:val="16"/>
            </w:pPr>
          </w:p>
        </w:tc>
        <w:tc>
          <w:tcPr>
            <w:tcW w:w="2551" w:type="dxa"/>
            <w:vAlign w:val="center"/>
          </w:tcPr>
          <w:p>
            <w:pPr>
              <w:pStyle w:val="16"/>
            </w:pPr>
            <w:r>
              <w:t>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1191" w:type="dxa"/>
            <w:vAlign w:val="center"/>
          </w:tcPr>
          <w:p>
            <w:pPr>
              <w:pStyle w:val="17"/>
            </w:pPr>
            <w:r>
              <w:t>30231</w:t>
            </w:r>
          </w:p>
        </w:tc>
        <w:tc>
          <w:tcPr>
            <w:tcW w:w="4535" w:type="dxa"/>
            <w:vAlign w:val="center"/>
          </w:tcPr>
          <w:p>
            <w:pPr>
              <w:pStyle w:val="17"/>
            </w:pPr>
            <w:r>
              <w:t>公务用车运行维护费</w:t>
            </w:r>
          </w:p>
        </w:tc>
        <w:tc>
          <w:tcPr>
            <w:tcW w:w="2551" w:type="dxa"/>
            <w:vAlign w:val="center"/>
          </w:tcPr>
          <w:p>
            <w:pPr>
              <w:pStyle w:val="16"/>
            </w:pPr>
            <w:r>
              <w:t>2.19</w:t>
            </w:r>
          </w:p>
        </w:tc>
        <w:tc>
          <w:tcPr>
            <w:tcW w:w="2551" w:type="dxa"/>
            <w:vAlign w:val="center"/>
          </w:tcPr>
          <w:p>
            <w:pPr>
              <w:pStyle w:val="16"/>
            </w:pPr>
          </w:p>
        </w:tc>
        <w:tc>
          <w:tcPr>
            <w:tcW w:w="2551" w:type="dxa"/>
            <w:vAlign w:val="center"/>
          </w:tcPr>
          <w:p>
            <w:pPr>
              <w:pStyle w:val="16"/>
            </w:pPr>
            <w:r>
              <w:t>2.19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1191" w:type="dxa"/>
            <w:vAlign w:val="center"/>
          </w:tcPr>
          <w:p>
            <w:pPr>
              <w:pStyle w:val="17"/>
            </w:pPr>
            <w:r>
              <w:t>30239</w:t>
            </w:r>
          </w:p>
        </w:tc>
        <w:tc>
          <w:tcPr>
            <w:tcW w:w="4535" w:type="dxa"/>
            <w:vAlign w:val="center"/>
          </w:tcPr>
          <w:p>
            <w:pPr>
              <w:pStyle w:val="17"/>
            </w:pPr>
            <w:r>
              <w:t>其他交通费用</w:t>
            </w:r>
          </w:p>
        </w:tc>
        <w:tc>
          <w:tcPr>
            <w:tcW w:w="2551" w:type="dxa"/>
            <w:vAlign w:val="center"/>
          </w:tcPr>
          <w:p>
            <w:pPr>
              <w:pStyle w:val="16"/>
            </w:pPr>
            <w:r>
              <w:t>7.38</w:t>
            </w:r>
          </w:p>
        </w:tc>
        <w:tc>
          <w:tcPr>
            <w:tcW w:w="2551" w:type="dxa"/>
            <w:vAlign w:val="center"/>
          </w:tcPr>
          <w:p>
            <w:pPr>
              <w:pStyle w:val="16"/>
            </w:pPr>
          </w:p>
        </w:tc>
        <w:tc>
          <w:tcPr>
            <w:tcW w:w="2551" w:type="dxa"/>
            <w:vAlign w:val="center"/>
          </w:tcPr>
          <w:p>
            <w:pPr>
              <w:pStyle w:val="16"/>
            </w:pPr>
            <w:r>
              <w:t>7.38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106.46</w:t>
            </w:r>
          </w:p>
        </w:tc>
        <w:tc>
          <w:tcPr>
            <w:tcW w:w="2551" w:type="dxa"/>
            <w:vAlign w:val="center"/>
          </w:tcPr>
          <w:p>
            <w:pPr>
              <w:pStyle w:val="16"/>
            </w:pPr>
            <w:r>
              <w:t>106.46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106.41</w:t>
            </w:r>
          </w:p>
        </w:tc>
        <w:tc>
          <w:tcPr>
            <w:tcW w:w="2551" w:type="dxa"/>
            <w:vAlign w:val="center"/>
          </w:tcPr>
          <w:p>
            <w:pPr>
              <w:pStyle w:val="16"/>
            </w:pPr>
            <w:r>
              <w:t>106.41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0.05</w:t>
            </w:r>
          </w:p>
        </w:tc>
        <w:tc>
          <w:tcPr>
            <w:tcW w:w="2551" w:type="dxa"/>
            <w:vAlign w:val="center"/>
          </w:tcPr>
          <w:p>
            <w:pPr>
              <w:pStyle w:val="16"/>
            </w:pPr>
            <w:r>
              <w:t>0.05</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7" w:name="tz_0001_0007"/>
      <w:bookmarkEnd w:id="7"/>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481001廊坊市广阳区科学技术局本级</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bookmarkStart w:id="8" w:name="tz_0001_0008"/>
      <w:bookmarkEnd w:id="8"/>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481001廊坊市广阳区科学技术局本级</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bookmarkStart w:id="9" w:name="tz_0001_0009"/>
      <w:bookmarkEnd w:id="9"/>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481001廊坊市广阳区科学技术局本级</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1</w:t>
            </w:r>
          </w:p>
        </w:tc>
        <w:tc>
          <w:tcPr>
            <w:tcW w:w="3798" w:type="dxa"/>
            <w:vAlign w:val="center"/>
          </w:tcPr>
          <w:p>
            <w:pPr>
              <w:pStyle w:val="19"/>
            </w:pPr>
            <w:r>
              <w:t>“三公”经费小计</w:t>
            </w:r>
          </w:p>
        </w:tc>
        <w:tc>
          <w:tcPr>
            <w:tcW w:w="2381" w:type="dxa"/>
            <w:vAlign w:val="center"/>
          </w:tcPr>
          <w:p>
            <w:pPr>
              <w:pStyle w:val="20"/>
            </w:pPr>
            <w:r>
              <w:t>2.19</w:t>
            </w:r>
          </w:p>
        </w:tc>
        <w:tc>
          <w:tcPr>
            <w:tcW w:w="2381" w:type="dxa"/>
            <w:vAlign w:val="center"/>
          </w:tcPr>
          <w:p>
            <w:pPr>
              <w:pStyle w:val="20"/>
            </w:pPr>
            <w:r>
              <w:t>2.19</w:t>
            </w:r>
          </w:p>
        </w:tc>
        <w:tc>
          <w:tcPr>
            <w:tcW w:w="2381" w:type="dxa"/>
            <w:vAlign w:val="center"/>
          </w:tcPr>
          <w:p>
            <w:pPr>
              <w:pStyle w:val="20"/>
            </w:pPr>
          </w:p>
        </w:tc>
        <w:tc>
          <w:tcPr>
            <w:tcW w:w="238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2</w:t>
            </w:r>
          </w:p>
        </w:tc>
        <w:tc>
          <w:tcPr>
            <w:tcW w:w="3798" w:type="dxa"/>
            <w:vAlign w:val="center"/>
          </w:tcPr>
          <w:p>
            <w:pPr>
              <w:pStyle w:val="17"/>
            </w:pPr>
            <w:r>
              <w:t>一、因公出国（境）费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3</w:t>
            </w:r>
          </w:p>
        </w:tc>
        <w:tc>
          <w:tcPr>
            <w:tcW w:w="3798" w:type="dxa"/>
            <w:vAlign w:val="center"/>
          </w:tcPr>
          <w:p>
            <w:pPr>
              <w:pStyle w:val="17"/>
            </w:pPr>
            <w:r>
              <w:t>二、公务用车购置及运维费</w:t>
            </w:r>
          </w:p>
        </w:tc>
        <w:tc>
          <w:tcPr>
            <w:tcW w:w="2381" w:type="dxa"/>
            <w:vAlign w:val="center"/>
          </w:tcPr>
          <w:p>
            <w:pPr>
              <w:pStyle w:val="16"/>
            </w:pPr>
            <w:r>
              <w:t>2.19</w:t>
            </w:r>
          </w:p>
        </w:tc>
        <w:tc>
          <w:tcPr>
            <w:tcW w:w="2381" w:type="dxa"/>
            <w:vAlign w:val="center"/>
          </w:tcPr>
          <w:p>
            <w:pPr>
              <w:pStyle w:val="16"/>
            </w:pPr>
            <w:r>
              <w:t>2.19</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4</w:t>
            </w:r>
          </w:p>
        </w:tc>
        <w:tc>
          <w:tcPr>
            <w:tcW w:w="3798" w:type="dxa"/>
            <w:vAlign w:val="center"/>
          </w:tcPr>
          <w:p>
            <w:pPr>
              <w:pStyle w:val="17"/>
            </w:pPr>
            <w:r>
              <w:t xml:space="preserve">    其中：公务用车购置费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5</w:t>
            </w:r>
          </w:p>
        </w:tc>
        <w:tc>
          <w:tcPr>
            <w:tcW w:w="3798" w:type="dxa"/>
            <w:vAlign w:val="center"/>
          </w:tcPr>
          <w:p>
            <w:pPr>
              <w:pStyle w:val="17"/>
            </w:pPr>
            <w:r>
              <w:t xml:space="preserve">          公务用车运行维护费</w:t>
            </w:r>
          </w:p>
        </w:tc>
        <w:tc>
          <w:tcPr>
            <w:tcW w:w="2381" w:type="dxa"/>
            <w:vAlign w:val="center"/>
          </w:tcPr>
          <w:p>
            <w:pPr>
              <w:pStyle w:val="16"/>
            </w:pPr>
            <w:r>
              <w:t>2.19</w:t>
            </w:r>
          </w:p>
        </w:tc>
        <w:tc>
          <w:tcPr>
            <w:tcW w:w="2381" w:type="dxa"/>
            <w:vAlign w:val="center"/>
          </w:tcPr>
          <w:p>
            <w:pPr>
              <w:pStyle w:val="16"/>
            </w:pPr>
            <w:r>
              <w:t>2.19</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6</w:t>
            </w:r>
          </w:p>
        </w:tc>
        <w:tc>
          <w:tcPr>
            <w:tcW w:w="3798" w:type="dxa"/>
            <w:vAlign w:val="center"/>
          </w:tcPr>
          <w:p>
            <w:pPr>
              <w:pStyle w:val="17"/>
            </w:pPr>
            <w:r>
              <w:t>三、公务接待费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廊坊市广阳区科学技术局本级2023年单位预算信息公开情况说明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w:t>
      </w:r>
      <w:r>
        <w:rPr>
          <w:rFonts w:eastAsia="方正仿宋_GBK" w:cs="Times New Roman"/>
          <w:color w:val="000000"/>
          <w:sz w:val="28"/>
        </w:rPr>
        <w:t>预算法》、《地方预决算公开操作规程》和《关于进一步推进预算公开工作的实施意见》规定，现将廊坊市广阳区科学技术局本级2023年单位预算公开如下：</w:t>
      </w:r>
    </w:p>
    <w:p>
      <w:pPr>
        <w:spacing w:before="10" w:after="10"/>
        <w:ind w:firstLine="640"/>
        <w:outlineLvl w:val="5"/>
      </w:pPr>
      <w:bookmarkStart w:id="10" w:name="tz_0002_0001"/>
      <w:bookmarkEnd w:id="10"/>
      <w:r>
        <w:rPr>
          <w:rFonts w:ascii="黑体" w:hAnsi="黑体" w:eastAsia="黑体" w:cs="黑体"/>
          <w:color w:val="000000"/>
          <w:sz w:val="32"/>
        </w:rPr>
        <w:t>一、单位职责及机构设置情况</w:t>
      </w:r>
      <w:bookmarkStart w:id="19" w:name="_GoBack"/>
      <w:bookmarkEnd w:id="19"/>
    </w:p>
    <w:p>
      <w:pPr>
        <w:ind w:firstLine="640"/>
      </w:pPr>
      <w:r>
        <w:rPr>
          <w:rFonts w:ascii="方正楷体_GBK" w:hAnsi="方正楷体_GBK" w:eastAsia="方正楷体_GBK" w:cs="方正楷体_GBK"/>
          <w:b/>
          <w:color w:val="000000"/>
          <w:sz w:val="32"/>
        </w:rPr>
        <w:t>单位职责：</w:t>
      </w:r>
    </w:p>
    <w:p>
      <w:pPr>
        <w:pStyle w:val="30"/>
      </w:pPr>
      <w:r>
        <w:t>　　（一）贯彻落实创新驱动发展战略方针，拟订科技发展、引进国外智力规划和政策并组织实施。</w:t>
      </w:r>
    </w:p>
    <w:p>
      <w:pPr>
        <w:pStyle w:val="30"/>
      </w:pPr>
      <w:r>
        <w:t>　　（二）统筹推进全区创新体系建设和科技体制改革，会同有关部门健全技术创新激励机制。优化科研体系建设，指导科研机构改革发展，推动企业科技创新能力建设，承担推进科技军民融合发展相关工作，推进区重大科技决策咨询制度建设。拟订科学普及和科学传播规划、政策。</w:t>
      </w:r>
    </w:p>
    <w:p>
      <w:pPr>
        <w:pStyle w:val="30"/>
      </w:pPr>
      <w:r>
        <w:t>　　（三）牵头建立统一的区级科技管理平台和科研项目资金协调、评估、监管机制。会同有关部门提出优化配置科技资源的政策措施建议，推动多元化科技投入体系建设，协调管理区级财政科技计划（专项、基金等）并监督实施。</w:t>
      </w:r>
    </w:p>
    <w:p>
      <w:pPr>
        <w:pStyle w:val="30"/>
      </w:pPr>
      <w:r>
        <w:t>　　（四）拟订重大科技创新基地建设规划并监督实施，推动科研条件保障、科技平台建设和科技资源开放共享。拟订基础研究规划、政策并组织实施，组织协调区重大基础研究和应用基础研究。组织推荐省自然科学基金项目。</w:t>
      </w:r>
    </w:p>
    <w:p>
      <w:pPr>
        <w:pStyle w:val="30"/>
      </w:pPr>
      <w:r>
        <w:t>　　（五）编制区重大科技项目规划并监督实施，统筹关键共性技术、前沿引领技术、现代工程技术、颠覆性技术研发和创新，牵头组织重大技术攻关和成果应用示范。</w:t>
      </w:r>
    </w:p>
    <w:p>
      <w:pPr>
        <w:pStyle w:val="30"/>
      </w:pPr>
      <w:r>
        <w:t>　　（六）组织拟订高新技术发展及产业化、科技促进农业农村和社会发展的规划、政策和措施。组织开展重点领域技术发展需求分析，提出重大任务并监督实施。指导域内高新技术产业开发区、农业科技园区等科技园区建设。</w:t>
      </w:r>
    </w:p>
    <w:p>
      <w:pPr>
        <w:pStyle w:val="30"/>
      </w:pPr>
      <w:r>
        <w:t>　　（七）牵头技术转移体系建设，拟订科技成果转移转化和促进产学研结合的相关政策措施并监督实施。指导科技服务业、技术市场和科技中介组织发展。</w:t>
      </w:r>
    </w:p>
    <w:p>
      <w:pPr>
        <w:pStyle w:val="30"/>
      </w:pPr>
      <w:r>
        <w:t>　　（八）统筹区域科技创新体系建设，指导区域创新发展、科技资源合理布局和协同创新能力建设。</w:t>
      </w:r>
    </w:p>
    <w:p>
      <w:pPr>
        <w:pStyle w:val="30"/>
      </w:pPr>
      <w:r>
        <w:t>　　（九）负责科技监督评价体系建设和相关科技评估管理，指导科技评价机制改革，统筹科研诚信建设。组织实施创新调查和科技报告制度，指导全区科技保密工作。</w:t>
      </w:r>
    </w:p>
    <w:p>
      <w:pPr>
        <w:pStyle w:val="30"/>
      </w:pPr>
      <w:r>
        <w:t>　　（十）拟订与域外科技合作和创新能力开放合作的规划、政策和措施，组织开展与域外科技合作交流。指导相关部门和乡镇（街道办事处）对外科技合作交流工作。</w:t>
      </w:r>
    </w:p>
    <w:p>
      <w:pPr>
        <w:pStyle w:val="30"/>
      </w:pPr>
      <w:r>
        <w:t>　　（十一）负责引进国外智力工作。拟订区重点引进外国专家总体规划、计划并组织实施，建立外国高层次人才吸引集聚机制和重点外国专家联系服务机制。拟订出国（境）培训总体规划、政策和年度计划并监督实施。</w:t>
      </w:r>
    </w:p>
    <w:p>
      <w:pPr>
        <w:pStyle w:val="30"/>
      </w:pPr>
      <w:r>
        <w:t>　　（十二）会同有关部门拟订科技人才队伍建设规划和政策，建立健全科技人才评价和激励机制，组织实施科技人才计划，推动高端科技创新人才队伍建设。</w:t>
      </w:r>
    </w:p>
    <w:p>
      <w:pPr>
        <w:pStyle w:val="30"/>
      </w:pPr>
      <w:r>
        <w:t>　　（十三）承担省科学技术奖、燕赵友谊奖的申报组织工作。</w:t>
      </w:r>
    </w:p>
    <w:p>
      <w:pPr>
        <w:pStyle w:val="30"/>
      </w:pPr>
      <w:r>
        <w:t>　　（十四）完成区委、区政府交办的其他任务。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廊坊市广阳区科学技术局本级</w:t>
            </w:r>
          </w:p>
        </w:tc>
        <w:tc>
          <w:tcPr>
            <w:tcW w:w="1843" w:type="dxa"/>
            <w:vAlign w:val="center"/>
          </w:tcPr>
          <w:p>
            <w:pPr>
              <w:pStyle w:val="18"/>
            </w:pPr>
            <w:r>
              <w:t>行政</w:t>
            </w:r>
          </w:p>
        </w:tc>
        <w:tc>
          <w:tcPr>
            <w:tcW w:w="2126" w:type="dxa"/>
            <w:vAlign w:val="center"/>
          </w:tcPr>
          <w:p>
            <w:pPr>
              <w:pStyle w:val="18"/>
            </w:pPr>
            <w:r>
              <w:t>正科级</w:t>
            </w:r>
          </w:p>
        </w:tc>
        <w:tc>
          <w:tcPr>
            <w:tcW w:w="3827" w:type="dxa"/>
            <w:vAlign w:val="center"/>
          </w:tcPr>
          <w:p>
            <w:pPr>
              <w:pStyle w:val="18"/>
            </w:pPr>
            <w:r>
              <w:t>财政拨款</w:t>
            </w:r>
          </w:p>
        </w:tc>
      </w:tr>
    </w:tbl>
    <w:p>
      <w:pPr>
        <w:spacing w:before="10" w:after="10"/>
        <w:ind w:firstLine="640"/>
        <w:outlineLvl w:val="5"/>
      </w:pPr>
      <w:bookmarkStart w:id="11" w:name="tz_0002_0002"/>
      <w:bookmarkEnd w:id="11"/>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w:t>
      </w:r>
      <w:r>
        <w:rPr>
          <w:rFonts w:hint="eastAsia" w:eastAsia="方正仿宋_GBK" w:cs="Times New Roman"/>
          <w:color w:val="000000"/>
          <w:sz w:val="28"/>
          <w:lang w:eastAsia="zh-CN"/>
        </w:rPr>
        <w:t>区</w:t>
      </w:r>
      <w:r>
        <w:rPr>
          <w:rFonts w:eastAsia="方正仿宋_GBK" w:cs="Times New Roman"/>
          <w:color w:val="000000"/>
          <w:sz w:val="28"/>
        </w:rPr>
        <w:t>单位预算的编制实行综合预算管理，即全部收入和支出都反映在预算中。</w:t>
      </w:r>
    </w:p>
    <w:p>
      <w:pPr>
        <w:pStyle w:val="31"/>
      </w:pPr>
      <w:r>
        <w:t>1、收入说明</w:t>
      </w:r>
    </w:p>
    <w:p>
      <w:pPr>
        <w:pStyle w:val="31"/>
      </w:pPr>
      <w:r>
        <w:t>反映本部门当年全部收入。2023年预算收入464.97万元，其中：一般公共预算收入464.97万元，基金预算收入0万元，财政专户核拨收入0万元，其他来源收入0万元，上年结转0万元。</w:t>
      </w:r>
    </w:p>
    <w:p>
      <w:pPr>
        <w:pStyle w:val="31"/>
      </w:pPr>
      <w:r>
        <w:t>2、支出说明</w:t>
      </w:r>
    </w:p>
    <w:p>
      <w:pPr>
        <w:pStyle w:val="31"/>
      </w:pPr>
      <w:r>
        <w:t>收支预算总表支出栏、基本支出表、项目支出表按经济分类和支出功能分类科目编制，反映廊坊市广阳区科学技术局本级2023年度部门预算中支出预算的总体情况。2023年支出预算464.97万元，其中：基本支出434.97万元，包括人员经费支出399.81万元和日常公用经费35.16万元；全部为本级支出。项目支出30万元，为上级转移性支付资金，主要为科技特派团工作经费补助和廊坊市生产力促进中心技术合同认定登记机构奖补资金两个项目。</w:t>
      </w:r>
    </w:p>
    <w:p>
      <w:pPr>
        <w:pStyle w:val="31"/>
      </w:pPr>
      <w:r>
        <w:t>3、比上年增减情况</w:t>
      </w:r>
    </w:p>
    <w:p>
      <w:pPr>
        <w:pStyle w:val="31"/>
      </w:pPr>
      <w:r>
        <w:t>2023年预算收支安排464.97万元，较2022年预算减少15.63万元，其中：基本支出增加84.37元，增加原因主要为人员经费支出增加；项目支出增加减少100万元，减少原因主要为减少区级科技创新奖励项目支出减少100万元。</w:t>
      </w:r>
    </w:p>
    <w:p>
      <w:pPr>
        <w:spacing w:before="10" w:after="10"/>
        <w:ind w:firstLine="640"/>
        <w:outlineLvl w:val="5"/>
      </w:pPr>
      <w:bookmarkStart w:id="12" w:name="tz_0002_0003"/>
      <w:bookmarkEnd w:id="12"/>
      <w:r>
        <w:rPr>
          <w:rFonts w:ascii="黑体" w:hAnsi="黑体" w:eastAsia="黑体" w:cs="黑体"/>
          <w:color w:val="000000"/>
          <w:sz w:val="32"/>
        </w:rPr>
        <w:t>三、机关运行经费安排情况</w:t>
      </w:r>
    </w:p>
    <w:p>
      <w:pPr>
        <w:pStyle w:val="32"/>
      </w:pPr>
      <w:r>
        <w:t>2023年，我单位运行经费共计安排35.16万元，主要用于办公区的日常维修、办公费用、办公用房水电费、办公用房取暖费、邮电费、差旅费、办公用房物业管理费、公务用车运行维护费等日常运行支出。</w:t>
      </w:r>
    </w:p>
    <w:p>
      <w:pPr>
        <w:spacing w:before="10" w:after="10"/>
        <w:ind w:firstLine="640"/>
        <w:outlineLvl w:val="5"/>
      </w:pPr>
      <w:bookmarkStart w:id="13" w:name="tz_0002_0004"/>
      <w:bookmarkEnd w:id="13"/>
      <w:r>
        <w:rPr>
          <w:rFonts w:ascii="黑体" w:hAnsi="黑体" w:eastAsia="黑体" w:cs="黑体"/>
          <w:color w:val="000000"/>
          <w:sz w:val="32"/>
        </w:rPr>
        <w:t>四、财政拨款“三公”经费预算情况及增减变化原因</w:t>
      </w:r>
    </w:p>
    <w:p>
      <w:pPr>
        <w:pStyle w:val="33"/>
      </w:pPr>
      <w:r>
        <w:t>2023年，我单位财政拨款“三公”经费预算安排2.19万元。其中，因公出国（境）费0万元；公务用车购置及运维费2.19万元（其中：公务用车购置费为0万元，公务用车运维费2.19万元)；公务接待费0万元。与2022年相比持平，无增减变化。</w:t>
      </w:r>
    </w:p>
    <w:p>
      <w:pPr>
        <w:spacing w:before="10" w:after="10"/>
        <w:ind w:firstLine="640"/>
        <w:outlineLvl w:val="5"/>
        <w:rPr>
          <w:rFonts w:ascii="黑体" w:hAnsi="黑体" w:eastAsia="黑体" w:cs="黑体"/>
          <w:color w:val="000000"/>
          <w:sz w:val="32"/>
          <w:lang w:eastAsia="zh-CN"/>
        </w:rPr>
      </w:pPr>
      <w:bookmarkStart w:id="14" w:name="tz_0002_0005"/>
      <w:bookmarkEnd w:id="14"/>
      <w:r>
        <w:rPr>
          <w:rFonts w:ascii="黑体" w:hAnsi="黑体" w:eastAsia="黑体" w:cs="黑体"/>
          <w:color w:val="000000"/>
          <w:sz w:val="32"/>
        </w:rPr>
        <w:t>五、预算绩效信息</w:t>
      </w:r>
    </w:p>
    <w:p>
      <w:pPr>
        <w:ind w:firstLine="640"/>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整体绩效目标</w:t>
      </w:r>
    </w:p>
    <w:p>
      <w:pPr>
        <w:spacing w:line="500" w:lineRule="exact"/>
        <w:ind w:firstLine="560"/>
      </w:pPr>
      <w:r>
        <w:rPr>
          <w:rFonts w:eastAsia="方正仿宋_GBK"/>
          <w:color w:val="000000"/>
          <w:sz w:val="28"/>
        </w:rPr>
        <w:t>（一）总体绩效目标</w:t>
      </w:r>
    </w:p>
    <w:p>
      <w:pPr>
        <w:pStyle w:val="26"/>
      </w:pPr>
      <w:r>
        <w:t>1、开展高新技术企业申报、认定工作。</w:t>
      </w:r>
    </w:p>
    <w:p>
      <w:pPr>
        <w:pStyle w:val="26"/>
      </w:pPr>
      <w:r>
        <w:t>2、开展科技型中小企业申报、认定工作。</w:t>
      </w:r>
    </w:p>
    <w:p>
      <w:pPr>
        <w:pStyle w:val="26"/>
      </w:pPr>
      <w:r>
        <w:t>3、开展企业技术研发中心申报、认定工作</w:t>
      </w:r>
    </w:p>
    <w:p>
      <w:pPr>
        <w:pStyle w:val="26"/>
      </w:pPr>
      <w:r>
        <w:t>4、开展市级众创空间申报、认定工作。</w:t>
      </w:r>
    </w:p>
    <w:p>
      <w:pPr>
        <w:pStyle w:val="26"/>
      </w:pPr>
      <w:r>
        <w:t>5、开展市级科技企业孵化器申报认定工作。</w:t>
      </w:r>
    </w:p>
    <w:p>
      <w:pPr>
        <w:pStyle w:val="26"/>
      </w:pPr>
      <w:r>
        <w:t>6、支持省级双创示范基地建设协助市科技局做好省级“双创”示范基地建设。</w:t>
      </w:r>
    </w:p>
    <w:p>
      <w:pPr>
        <w:spacing w:line="500" w:lineRule="exact"/>
        <w:ind w:firstLine="560"/>
      </w:pPr>
      <w:r>
        <w:rPr>
          <w:rFonts w:eastAsia="方正仿宋_GBK"/>
          <w:color w:val="000000"/>
          <w:sz w:val="28"/>
        </w:rPr>
        <w:t>（二）分项绩效目标</w:t>
      </w:r>
    </w:p>
    <w:p>
      <w:pPr>
        <w:pStyle w:val="27"/>
      </w:pPr>
      <w:r>
        <w:t>1、支持科技型中小企业技术创新</w:t>
      </w:r>
    </w:p>
    <w:p>
      <w:pPr>
        <w:pStyle w:val="27"/>
      </w:pPr>
      <w:r>
        <w:t>绩效目标：加强落实申报国家、省、市科学计划项目数量。申报研究开发及产业化的产品、软件、系统、专用设备等项目数量。支持科技型中小企业技术创新，发挥财政资金引导作用，推动科技型中小企业技术创新能力不断增强；发挥科技基金作用，逐步建立有利于促进企业自主创新的多元化、多层次、多渠道科技投融资体系。</w:t>
      </w:r>
    </w:p>
    <w:p>
      <w:pPr>
        <w:pStyle w:val="27"/>
      </w:pPr>
      <w:r>
        <w:t>绩效指标：兑现科技型中小企业申报认定任务，鼓励企业申报科技型中小企业。扩大科技型中小企业增量，增加科技型中小企业认定数量。</w:t>
      </w:r>
    </w:p>
    <w:p>
      <w:pPr>
        <w:pStyle w:val="27"/>
      </w:pPr>
      <w:r>
        <w:t>2、科技创新平台建设</w:t>
      </w:r>
    </w:p>
    <w:p>
      <w:pPr>
        <w:pStyle w:val="27"/>
      </w:pPr>
      <w:r>
        <w:t>绩效目标：通过科技创新平台建设，培育高质量发展新动能，为企业创新提供科技支撑。</w:t>
      </w:r>
    </w:p>
    <w:p>
      <w:pPr>
        <w:pStyle w:val="27"/>
      </w:pPr>
      <w:r>
        <w:t>绩效指标：科技创新平台设备、人才等科研条件进一步改善，各类科技资源配置更加合理，助推科技创新能力不断增强。</w:t>
      </w:r>
    </w:p>
    <w:p>
      <w:pPr>
        <w:spacing w:line="500" w:lineRule="exact"/>
        <w:ind w:firstLine="560"/>
      </w:pPr>
      <w:r>
        <w:rPr>
          <w:rFonts w:eastAsia="方正仿宋_GBK"/>
          <w:color w:val="000000"/>
          <w:sz w:val="28"/>
        </w:rPr>
        <w:t>（三）工作保障措施</w:t>
      </w:r>
    </w:p>
    <w:p>
      <w:pPr>
        <w:pStyle w:val="28"/>
      </w:pPr>
      <w:r>
        <w:t>2023年度科技工作任务已经确定，按照局党组工作要求，各股室对应承担的工作任务进行了梳理，经主管领导审核把关后，以台账的形式上报局办公室。办公室对各股室上报的台账，逐条对照市、区委重点工作和股室“三定职能”进行了审核，确保工作不落项。为如期圆满完成各项目标任务，特提出如下要求：</w:t>
      </w:r>
    </w:p>
    <w:p>
      <w:pPr>
        <w:pStyle w:val="28"/>
      </w:pPr>
      <w:r>
        <w:t>1、建立工作日志制度。要注重工作积累，详细记录每天工作内容和领导交办的临时性工作任务进展情况、遇到的问题和解决问题的思路、方法，做到日事日清，提高工作技能和工作执行力。</w:t>
      </w:r>
    </w:p>
    <w:p>
      <w:pPr>
        <w:pStyle w:val="28"/>
      </w:pPr>
      <w:r>
        <w:t>2、建立周调度制度。每周一召开领导班子成员碰头会，由局长主持，听取分管领导对负责股室上一周工作进展情况的汇报，协调解决台账所列任务进展中遇到的困难和问题。</w:t>
      </w:r>
    </w:p>
    <w:p>
      <w:pPr>
        <w:pStyle w:val="28"/>
      </w:pPr>
      <w:r>
        <w:t>3、建立月汇报制度。每月中旬，由主管领导按照台账所列任务，听取分管股室的工作汇报，逐项掌握进度，侧重发现问题、分析问题、研究问题、解决问题，共同研究改进工作的方法和措施。</w:t>
      </w:r>
    </w:p>
    <w:p>
      <w:pPr>
        <w:pStyle w:val="28"/>
      </w:pPr>
      <w:r>
        <w:t>4、建立月督导制度。试行局领导月度值班督导（局领导月度督导值班表附后）。每月25日，由当月值班局领导和下月值班局领导共同听取各股室工作完成情况汇报，各股室要按照当月台账所列任务，逐条汇报完成情况，对没有按照时间节点完成的，要详细说明原因和拟完成时限。对当月股室完成的调研报告，值班局领导要审核把关后，同意上报局主要领导。要切实履行好监督责任，要逐项进行讲评，总结好的经验和做法，解决问题和不足，并列出改进意见。对没有按照时间节点完成目标任务的股室，要视情况追究股室主要负责同志责任，并将具体情况通报给其他分管领导。办公室要做好督导汇报会记录，并在下周一的党组会上做汇报。</w:t>
      </w:r>
    </w:p>
    <w:p>
      <w:pPr>
        <w:pStyle w:val="28"/>
      </w:pPr>
      <w:r>
        <w:t>5、建立季度报制度。办公室将各股室每月台账完成情况，认真汇总，按照股室性质，既全面梳理，又突出重点，特别是着重分析收入完成情况，支出进度、保障措施的落实等按季度形成专题督导报告，在全局通报。</w:t>
      </w: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w:t>
      </w:r>
      <w:r>
        <w:rPr>
          <w:rFonts w:hint="eastAsia" w:ascii="方正仿宋_GBK" w:hAnsi="方正楷体_GBK" w:eastAsia="方正仿宋_GBK" w:cs="方正楷体_GBK"/>
          <w:color w:val="000000"/>
          <w:sz w:val="28"/>
          <w:lang w:eastAsia="zh-CN"/>
        </w:rPr>
        <w:t>单位</w:t>
      </w:r>
      <w:r>
        <w:rPr>
          <w:rFonts w:ascii="方正仿宋_GBK" w:hAnsi="方正楷体_GBK" w:eastAsia="方正仿宋_GBK" w:cs="方正楷体_GBK"/>
          <w:color w:val="000000"/>
          <w:sz w:val="28"/>
        </w:rPr>
        <w:t>整体支出绩效指标</w:t>
      </w:r>
    </w:p>
    <w:tbl>
      <w:tblPr>
        <w:tblStyle w:val="8"/>
        <w:tblW w:w="0" w:type="auto"/>
        <w:jc w:val="center"/>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724"/>
        <w:gridCol w:w="709"/>
        <w:gridCol w:w="2268"/>
        <w:gridCol w:w="5953"/>
        <w:gridCol w:w="1560"/>
        <w:gridCol w:w="992"/>
        <w:gridCol w:w="567"/>
        <w:gridCol w:w="709"/>
        <w:gridCol w:w="1348"/>
      </w:tblGrid>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lang w:eastAsia="zh-CN"/>
              </w:rPr>
            </w:pPr>
            <w:r>
              <w:rPr>
                <w:rFonts w:hint="eastAsia" w:ascii="方正书宋_GBK" w:eastAsia="方正书宋_GBK"/>
                <w:b/>
                <w:bCs/>
                <w:color w:val="000000"/>
              </w:rPr>
              <w:t>一级指标</w:t>
            </w:r>
          </w:p>
        </w:tc>
        <w:tc>
          <w:tcPr>
            <w:tcW w:w="709"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二级</w:t>
            </w:r>
          </w:p>
          <w:p>
            <w:pPr>
              <w:jc w:val="center"/>
              <w:rPr>
                <w:rFonts w:ascii="方正书宋_GBK" w:eastAsia="方正书宋_GBK"/>
                <w:b/>
                <w:bCs/>
                <w:color w:val="000000"/>
              </w:rPr>
            </w:pPr>
            <w:r>
              <w:rPr>
                <w:rFonts w:hint="eastAsia" w:ascii="方正书宋_GBK" w:eastAsia="方正书宋_GBK"/>
                <w:b/>
                <w:bCs/>
                <w:color w:val="000000"/>
              </w:rPr>
              <w:t>指标</w:t>
            </w:r>
          </w:p>
        </w:tc>
        <w:tc>
          <w:tcPr>
            <w:tcW w:w="2268"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三级指标</w:t>
            </w:r>
          </w:p>
        </w:tc>
        <w:tc>
          <w:tcPr>
            <w:tcW w:w="5953"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评（扣）分标准</w:t>
            </w:r>
          </w:p>
        </w:tc>
        <w:tc>
          <w:tcPr>
            <w:tcW w:w="1560"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绩效指标描述</w:t>
            </w:r>
          </w:p>
        </w:tc>
        <w:tc>
          <w:tcPr>
            <w:tcW w:w="2268" w:type="dxa"/>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tc>
        <w:tc>
          <w:tcPr>
            <w:tcW w:w="1348"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p>
            <w:pPr>
              <w:jc w:val="center"/>
              <w:rPr>
                <w:rFonts w:ascii="方正书宋_GBK" w:eastAsia="方正书宋_GBK"/>
                <w:b/>
                <w:bCs/>
                <w:color w:val="000000"/>
              </w:rPr>
            </w:pPr>
            <w:r>
              <w:rPr>
                <w:rFonts w:hint="eastAsia" w:ascii="方正书宋_GBK" w:eastAsia="方正书宋_GBK"/>
                <w:b/>
                <w:bCs/>
                <w:color w:val="000000"/>
              </w:rPr>
              <w:t>确定依据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b/>
                <w:bCs/>
                <w:color w:val="000000"/>
              </w:rPr>
            </w:pPr>
          </w:p>
        </w:tc>
        <w:tc>
          <w:tcPr>
            <w:tcW w:w="709" w:type="dxa"/>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rPr>
            </w:pPr>
          </w:p>
        </w:tc>
        <w:tc>
          <w:tcPr>
            <w:tcW w:w="2268" w:type="dxa"/>
            <w:vMerge w:val="continue"/>
            <w:shd w:val="clear" w:color="auto" w:fill="auto"/>
            <w:tcMar>
              <w:top w:w="15" w:type="dxa"/>
              <w:left w:w="15" w:type="dxa"/>
              <w:bottom w:w="0" w:type="dxa"/>
              <w:right w:w="15" w:type="dxa"/>
            </w:tcMar>
            <w:vAlign w:val="center"/>
          </w:tcPr>
          <w:p>
            <w:pPr>
              <w:rPr>
                <w:rFonts w:ascii="方正书宋_GBK" w:hAnsi="宋体" w:eastAsia="方正书宋_GBK" w:cs="宋体"/>
                <w:b/>
                <w:bCs/>
                <w:color w:val="000000"/>
              </w:rPr>
            </w:pPr>
          </w:p>
        </w:tc>
        <w:tc>
          <w:tcPr>
            <w:tcW w:w="5953" w:type="dxa"/>
            <w:vMerge w:val="continue"/>
            <w:shd w:val="clear" w:color="auto" w:fill="auto"/>
            <w:tcMar>
              <w:top w:w="15" w:type="dxa"/>
              <w:left w:w="15" w:type="dxa"/>
              <w:bottom w:w="0" w:type="dxa"/>
              <w:right w:w="15" w:type="dxa"/>
            </w:tcMar>
            <w:vAlign w:val="center"/>
          </w:tcPr>
          <w:p>
            <w:pPr>
              <w:rPr>
                <w:rFonts w:ascii="方正书宋_GBK" w:hAnsi="宋体" w:eastAsia="方正书宋_GBK" w:cs="宋体"/>
                <w:b/>
                <w:bCs/>
                <w:color w:val="000000"/>
              </w:rPr>
            </w:pPr>
          </w:p>
        </w:tc>
        <w:tc>
          <w:tcPr>
            <w:tcW w:w="1560" w:type="dxa"/>
            <w:vMerge w:val="continue"/>
            <w:shd w:val="clear" w:color="auto" w:fill="auto"/>
            <w:tcMar>
              <w:top w:w="15" w:type="dxa"/>
              <w:left w:w="15" w:type="dxa"/>
              <w:bottom w:w="0" w:type="dxa"/>
              <w:right w:w="15" w:type="dxa"/>
            </w:tcMar>
            <w:vAlign w:val="center"/>
          </w:tcPr>
          <w:p>
            <w:pPr>
              <w:rPr>
                <w:rFonts w:ascii="方正书宋_GBK" w:hAnsi="宋体" w:eastAsia="方正书宋_GBK" w:cs="宋体"/>
                <w:b/>
                <w:bCs/>
                <w:color w:val="000000"/>
              </w:rPr>
            </w:pPr>
          </w:p>
        </w:tc>
        <w:tc>
          <w:tcPr>
            <w:tcW w:w="992"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符号</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值</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单位</w:t>
            </w:r>
          </w:p>
        </w:tc>
        <w:tc>
          <w:tcPr>
            <w:tcW w:w="1348" w:type="dxa"/>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724"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lang w:eastAsia="zh-CN"/>
              </w:rPr>
              <w:t>单位</w:t>
            </w:r>
            <w:r>
              <w:rPr>
                <w:rFonts w:hint="eastAsia" w:ascii="方正书宋_GBK" w:eastAsia="方正书宋_GBK"/>
                <w:color w:val="000000"/>
              </w:rPr>
              <w:t>产出</w:t>
            </w:r>
          </w:p>
        </w:tc>
        <w:tc>
          <w:tcPr>
            <w:tcW w:w="709"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2268" w:type="dxa"/>
            <w:vMerge w:val="restart"/>
            <w:shd w:val="clear" w:color="auto" w:fill="auto"/>
            <w:tcMar>
              <w:top w:w="15" w:type="dxa"/>
              <w:left w:w="15" w:type="dxa"/>
              <w:bottom w:w="0" w:type="dxa"/>
              <w:right w:w="15" w:type="dxa"/>
            </w:tcMar>
            <w:vAlign w:val="center"/>
          </w:tcPr>
          <w:p>
            <w:pPr>
              <w:rPr>
                <w:rFonts w:eastAsia="宋体"/>
                <w:color w:val="000000"/>
              </w:rPr>
            </w:pPr>
            <w:r>
              <w:rPr>
                <w:rFonts w:hint="eastAsia" w:ascii="宋体" w:hAnsi="宋体" w:eastAsia="宋体" w:cs="宋体"/>
                <w:color w:val="000000"/>
              </w:rPr>
              <w:t>支持市县科技创新和科学普认定企业数量</w:t>
            </w:r>
          </w:p>
        </w:tc>
        <w:tc>
          <w:tcPr>
            <w:tcW w:w="5953" w:type="dxa"/>
            <w:vMerge w:val="restart"/>
            <w:shd w:val="clear" w:color="auto" w:fill="auto"/>
            <w:tcMar>
              <w:top w:w="15" w:type="dxa"/>
              <w:left w:w="15" w:type="dxa"/>
              <w:bottom w:w="0" w:type="dxa"/>
              <w:right w:w="15" w:type="dxa"/>
            </w:tcMar>
            <w:vAlign w:val="center"/>
          </w:tcPr>
          <w:p>
            <w:pPr>
              <w:jc w:val="both"/>
              <w:rPr>
                <w:rFonts w:ascii="微软雅黑" w:hAnsi="微软雅黑" w:eastAsia="微软雅黑" w:cs="宋体"/>
                <w:color w:val="000000"/>
                <w:sz w:val="20"/>
                <w:szCs w:val="20"/>
              </w:rPr>
            </w:pPr>
            <w:r>
              <w:rPr>
                <w:rFonts w:hint="eastAsia" w:ascii="微软雅黑" w:hAnsi="微软雅黑" w:eastAsia="微软雅黑"/>
                <w:color w:val="000000"/>
                <w:sz w:val="20"/>
                <w:szCs w:val="20"/>
              </w:rPr>
              <w:t>完成指标值，满分； 完成指标设定值 80%， 得分 80%，完成指标设 定值 60%，得分 60%， 完成指标设定值 60%以 下，不得分。</w:t>
            </w:r>
          </w:p>
        </w:tc>
        <w:tc>
          <w:tcPr>
            <w:tcW w:w="1560" w:type="dxa"/>
            <w:vMerge w:val="restart"/>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企业认定数量</w:t>
            </w:r>
          </w:p>
        </w:tc>
        <w:tc>
          <w:tcPr>
            <w:tcW w:w="992" w:type="dxa"/>
            <w:vMerge w:val="restart"/>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567" w:type="dxa"/>
            <w:vMerge w:val="restar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1</w:t>
            </w:r>
          </w:p>
        </w:tc>
        <w:tc>
          <w:tcPr>
            <w:tcW w:w="709" w:type="dxa"/>
            <w:vMerge w:val="restart"/>
            <w:shd w:val="clear" w:color="auto" w:fill="auto"/>
            <w:tcMar>
              <w:top w:w="15" w:type="dxa"/>
              <w:left w:w="15" w:type="dxa"/>
              <w:bottom w:w="0" w:type="dxa"/>
              <w:right w:w="15" w:type="dxa"/>
            </w:tcMar>
            <w:vAlign w:val="center"/>
          </w:tcPr>
          <w:p>
            <w:pPr>
              <w:jc w:val="center"/>
              <w:rPr>
                <w:rFonts w:eastAsia="宋体"/>
                <w:color w:val="000000"/>
              </w:rPr>
            </w:pPr>
            <w:r>
              <w:rPr>
                <w:rFonts w:hint="eastAsia" w:ascii="宋体" w:hAnsi="宋体" w:eastAsia="宋体" w:cs="宋体"/>
                <w:color w:val="000000"/>
              </w:rPr>
              <w:t>家</w:t>
            </w:r>
          </w:p>
        </w:tc>
        <w:tc>
          <w:tcPr>
            <w:tcW w:w="1348" w:type="dxa"/>
            <w:vMerge w:val="restart"/>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文件依据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vMerge w:val="continue"/>
            <w:shd w:val="clear" w:color="auto" w:fill="auto"/>
            <w:vAlign w:val="center"/>
          </w:tcPr>
          <w:p>
            <w:pPr>
              <w:rPr>
                <w:rFonts w:ascii="方正书宋_GBK" w:hAnsi="宋体" w:eastAsia="方正书宋_GBK" w:cs="宋体"/>
                <w:color w:val="000000"/>
              </w:rPr>
            </w:pPr>
          </w:p>
        </w:tc>
        <w:tc>
          <w:tcPr>
            <w:tcW w:w="2268" w:type="dxa"/>
            <w:vMerge w:val="continue"/>
            <w:shd w:val="clear" w:color="auto" w:fill="auto"/>
            <w:vAlign w:val="center"/>
          </w:tcPr>
          <w:p>
            <w:pPr>
              <w:rPr>
                <w:rFonts w:eastAsia="宋体"/>
                <w:color w:val="000000"/>
              </w:rPr>
            </w:pPr>
          </w:p>
        </w:tc>
        <w:tc>
          <w:tcPr>
            <w:tcW w:w="5953" w:type="dxa"/>
            <w:vMerge w:val="continue"/>
            <w:shd w:val="clear" w:color="auto" w:fill="auto"/>
            <w:vAlign w:val="center"/>
          </w:tcPr>
          <w:p>
            <w:pPr>
              <w:rPr>
                <w:rFonts w:ascii="微软雅黑" w:hAnsi="微软雅黑" w:eastAsia="微软雅黑" w:cs="宋体"/>
                <w:color w:val="000000"/>
                <w:sz w:val="20"/>
                <w:szCs w:val="20"/>
              </w:rPr>
            </w:pPr>
          </w:p>
        </w:tc>
        <w:tc>
          <w:tcPr>
            <w:tcW w:w="1560" w:type="dxa"/>
            <w:vMerge w:val="continue"/>
            <w:shd w:val="clear" w:color="auto" w:fill="auto"/>
            <w:vAlign w:val="center"/>
          </w:tcPr>
          <w:p>
            <w:pPr>
              <w:rPr>
                <w:rFonts w:eastAsia="宋体"/>
                <w:color w:val="000000"/>
                <w:sz w:val="22"/>
                <w:szCs w:val="22"/>
              </w:rPr>
            </w:pPr>
          </w:p>
        </w:tc>
        <w:tc>
          <w:tcPr>
            <w:tcW w:w="992" w:type="dxa"/>
            <w:vMerge w:val="continue"/>
            <w:shd w:val="clear" w:color="auto" w:fill="auto"/>
            <w:vAlign w:val="center"/>
          </w:tcPr>
          <w:p>
            <w:pPr>
              <w:rPr>
                <w:rFonts w:eastAsia="宋体"/>
                <w:color w:val="000000"/>
                <w:sz w:val="22"/>
                <w:szCs w:val="22"/>
              </w:rPr>
            </w:pPr>
          </w:p>
        </w:tc>
        <w:tc>
          <w:tcPr>
            <w:tcW w:w="567" w:type="dxa"/>
            <w:vMerge w:val="continue"/>
            <w:shd w:val="clear" w:color="auto" w:fill="auto"/>
            <w:vAlign w:val="center"/>
          </w:tcPr>
          <w:p>
            <w:pPr>
              <w:rPr>
                <w:rFonts w:ascii="方正书宋_GBK" w:hAnsi="宋体" w:eastAsia="方正书宋_GBK" w:cs="宋体"/>
                <w:color w:val="000000"/>
              </w:rPr>
            </w:pPr>
          </w:p>
        </w:tc>
        <w:tc>
          <w:tcPr>
            <w:tcW w:w="709" w:type="dxa"/>
            <w:vMerge w:val="continue"/>
            <w:shd w:val="clear" w:color="auto" w:fill="auto"/>
            <w:vAlign w:val="center"/>
          </w:tcPr>
          <w:p>
            <w:pPr>
              <w:rPr>
                <w:rFonts w:eastAsia="宋体"/>
                <w:color w:val="000000"/>
              </w:rPr>
            </w:pPr>
          </w:p>
        </w:tc>
        <w:tc>
          <w:tcPr>
            <w:tcW w:w="1348" w:type="dxa"/>
            <w:vMerge w:val="continue"/>
            <w:shd w:val="clear" w:color="auto" w:fill="auto"/>
            <w:vAlign w:val="center"/>
          </w:tcPr>
          <w:p>
            <w:pPr>
              <w:rPr>
                <w:rFonts w:eastAsia="宋体"/>
                <w:color w:val="000000"/>
                <w:sz w:val="22"/>
                <w:szCs w:val="22"/>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vMerge w:val="continue"/>
            <w:shd w:val="clear" w:color="auto" w:fill="auto"/>
            <w:vAlign w:val="center"/>
          </w:tcPr>
          <w:p>
            <w:pPr>
              <w:rPr>
                <w:rFonts w:ascii="方正书宋_GBK" w:hAnsi="宋体" w:eastAsia="方正书宋_GBK" w:cs="宋体"/>
                <w:color w:val="000000"/>
              </w:rPr>
            </w:pPr>
          </w:p>
        </w:tc>
        <w:tc>
          <w:tcPr>
            <w:tcW w:w="2268" w:type="dxa"/>
            <w:vMerge w:val="continue"/>
            <w:shd w:val="clear" w:color="auto" w:fill="auto"/>
            <w:vAlign w:val="center"/>
          </w:tcPr>
          <w:p>
            <w:pPr>
              <w:rPr>
                <w:rFonts w:eastAsia="宋体"/>
                <w:color w:val="000000"/>
              </w:rPr>
            </w:pPr>
          </w:p>
        </w:tc>
        <w:tc>
          <w:tcPr>
            <w:tcW w:w="5953" w:type="dxa"/>
            <w:vMerge w:val="continue"/>
            <w:shd w:val="clear" w:color="auto" w:fill="auto"/>
            <w:vAlign w:val="center"/>
          </w:tcPr>
          <w:p>
            <w:pPr>
              <w:rPr>
                <w:rFonts w:ascii="微软雅黑" w:hAnsi="微软雅黑" w:eastAsia="微软雅黑" w:cs="宋体"/>
                <w:color w:val="000000"/>
                <w:sz w:val="20"/>
                <w:szCs w:val="20"/>
              </w:rPr>
            </w:pPr>
          </w:p>
        </w:tc>
        <w:tc>
          <w:tcPr>
            <w:tcW w:w="1560" w:type="dxa"/>
            <w:vMerge w:val="continue"/>
            <w:shd w:val="clear" w:color="auto" w:fill="auto"/>
            <w:vAlign w:val="center"/>
          </w:tcPr>
          <w:p>
            <w:pPr>
              <w:rPr>
                <w:rFonts w:eastAsia="宋体"/>
                <w:color w:val="000000"/>
                <w:sz w:val="22"/>
                <w:szCs w:val="22"/>
              </w:rPr>
            </w:pPr>
          </w:p>
        </w:tc>
        <w:tc>
          <w:tcPr>
            <w:tcW w:w="992" w:type="dxa"/>
            <w:vMerge w:val="continue"/>
            <w:shd w:val="clear" w:color="auto" w:fill="auto"/>
            <w:vAlign w:val="center"/>
          </w:tcPr>
          <w:p>
            <w:pPr>
              <w:rPr>
                <w:rFonts w:eastAsia="宋体"/>
                <w:color w:val="000000"/>
                <w:sz w:val="22"/>
                <w:szCs w:val="22"/>
              </w:rPr>
            </w:pPr>
          </w:p>
        </w:tc>
        <w:tc>
          <w:tcPr>
            <w:tcW w:w="567" w:type="dxa"/>
            <w:vMerge w:val="continue"/>
            <w:shd w:val="clear" w:color="auto" w:fill="auto"/>
            <w:vAlign w:val="center"/>
          </w:tcPr>
          <w:p>
            <w:pPr>
              <w:rPr>
                <w:rFonts w:ascii="方正书宋_GBK" w:hAnsi="宋体" w:eastAsia="方正书宋_GBK" w:cs="宋体"/>
                <w:color w:val="000000"/>
              </w:rPr>
            </w:pPr>
          </w:p>
        </w:tc>
        <w:tc>
          <w:tcPr>
            <w:tcW w:w="709" w:type="dxa"/>
            <w:vMerge w:val="continue"/>
            <w:shd w:val="clear" w:color="auto" w:fill="auto"/>
            <w:vAlign w:val="center"/>
          </w:tcPr>
          <w:p>
            <w:pPr>
              <w:rPr>
                <w:rFonts w:eastAsia="宋体"/>
                <w:color w:val="000000"/>
              </w:rPr>
            </w:pPr>
          </w:p>
        </w:tc>
        <w:tc>
          <w:tcPr>
            <w:tcW w:w="1348" w:type="dxa"/>
            <w:vMerge w:val="continue"/>
            <w:shd w:val="clear" w:color="auto" w:fill="auto"/>
            <w:vAlign w:val="center"/>
          </w:tcPr>
          <w:p>
            <w:pPr>
              <w:rPr>
                <w:rFonts w:eastAsia="宋体"/>
                <w:color w:val="000000"/>
                <w:sz w:val="22"/>
                <w:szCs w:val="22"/>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vMerge w:val="restar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质量</w:t>
            </w:r>
          </w:p>
        </w:tc>
        <w:tc>
          <w:tcPr>
            <w:tcW w:w="2268" w:type="dxa"/>
            <w:vMerge w:val="restart"/>
            <w:shd w:val="clear" w:color="auto" w:fill="auto"/>
            <w:tcMar>
              <w:top w:w="15" w:type="dxa"/>
              <w:left w:w="15" w:type="dxa"/>
              <w:bottom w:w="0" w:type="dxa"/>
              <w:right w:w="15" w:type="dxa"/>
            </w:tcMar>
            <w:vAlign w:val="center"/>
          </w:tcPr>
          <w:p>
            <w:pPr>
              <w:rPr>
                <w:rFonts w:eastAsia="宋体"/>
                <w:color w:val="000000"/>
              </w:rPr>
            </w:pPr>
            <w:r>
              <w:rPr>
                <w:rFonts w:hint="eastAsia" w:ascii="宋体" w:hAnsi="宋体" w:eastAsia="宋体" w:cs="宋体"/>
                <w:color w:val="000000"/>
              </w:rPr>
              <w:t>科技管理业务工作保障率</w:t>
            </w:r>
            <w:r>
              <w:rPr>
                <w:color w:val="000000"/>
              </w:rPr>
              <w:t>(%</w:t>
            </w:r>
            <w:r>
              <w:rPr>
                <w:rFonts w:hint="eastAsia" w:ascii="宋体" w:hAnsi="宋体" w:eastAsia="宋体" w:cs="宋体"/>
                <w:color w:val="000000"/>
              </w:rPr>
              <w:t>）</w:t>
            </w:r>
          </w:p>
        </w:tc>
        <w:tc>
          <w:tcPr>
            <w:tcW w:w="5953" w:type="dxa"/>
            <w:vMerge w:val="restart"/>
            <w:shd w:val="clear" w:color="auto" w:fill="auto"/>
            <w:tcMar>
              <w:top w:w="15" w:type="dxa"/>
              <w:left w:w="15" w:type="dxa"/>
              <w:bottom w:w="0" w:type="dxa"/>
              <w:right w:w="15" w:type="dxa"/>
            </w:tcMar>
            <w:vAlign w:val="center"/>
          </w:tcPr>
          <w:p>
            <w:pPr>
              <w:jc w:val="both"/>
              <w:rPr>
                <w:rFonts w:ascii="微软雅黑" w:hAnsi="微软雅黑" w:eastAsia="微软雅黑" w:cs="宋体"/>
                <w:color w:val="000000"/>
                <w:sz w:val="20"/>
                <w:szCs w:val="20"/>
              </w:rPr>
            </w:pPr>
            <w:r>
              <w:rPr>
                <w:rFonts w:hint="eastAsia" w:ascii="微软雅黑" w:hAnsi="微软雅黑" w:eastAsia="微软雅黑"/>
                <w:color w:val="000000"/>
                <w:sz w:val="20"/>
                <w:szCs w:val="20"/>
              </w:rPr>
              <w:t>完成指标值，满分； 完成指标设定值 80%， 得分 80%，完成指标设 定值 60%，得分 60%， 完成指标设定值 60%以 下，不得分。</w:t>
            </w:r>
          </w:p>
        </w:tc>
        <w:tc>
          <w:tcPr>
            <w:tcW w:w="1560" w:type="dxa"/>
            <w:vMerge w:val="restart"/>
            <w:shd w:val="clear" w:color="auto" w:fill="auto"/>
            <w:tcMar>
              <w:top w:w="15" w:type="dxa"/>
              <w:left w:w="15" w:type="dxa"/>
              <w:bottom w:w="0" w:type="dxa"/>
              <w:right w:w="15" w:type="dxa"/>
            </w:tcMar>
            <w:vAlign w:val="center"/>
          </w:tcPr>
          <w:p>
            <w:pPr>
              <w:rPr>
                <w:rFonts w:eastAsia="宋体"/>
                <w:color w:val="000000"/>
              </w:rPr>
            </w:pPr>
            <w:r>
              <w:rPr>
                <w:rFonts w:hint="eastAsia" w:ascii="宋体" w:hAnsi="宋体" w:eastAsia="宋体" w:cs="宋体"/>
                <w:color w:val="000000"/>
              </w:rPr>
              <w:t>科技管理业务工作保障率</w:t>
            </w:r>
            <w:r>
              <w:rPr>
                <w:color w:val="000000"/>
              </w:rPr>
              <w:t>(%</w:t>
            </w:r>
            <w:r>
              <w:rPr>
                <w:rFonts w:hint="eastAsia" w:ascii="宋体" w:hAnsi="宋体" w:eastAsia="宋体" w:cs="宋体"/>
                <w:color w:val="000000"/>
              </w:rPr>
              <w:t>）</w:t>
            </w:r>
          </w:p>
        </w:tc>
        <w:tc>
          <w:tcPr>
            <w:tcW w:w="992" w:type="dxa"/>
            <w:vMerge w:val="restart"/>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567" w:type="dxa"/>
            <w:vMerge w:val="restart"/>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95</w:t>
            </w:r>
          </w:p>
        </w:tc>
        <w:tc>
          <w:tcPr>
            <w:tcW w:w="709" w:type="dxa"/>
            <w:vMerge w:val="restart"/>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1348" w:type="dxa"/>
            <w:vMerge w:val="restart"/>
            <w:shd w:val="clear" w:color="auto" w:fill="auto"/>
            <w:tcMar>
              <w:top w:w="15" w:type="dxa"/>
              <w:left w:w="15" w:type="dxa"/>
              <w:bottom w:w="0" w:type="dxa"/>
              <w:right w:w="15" w:type="dxa"/>
            </w:tcMar>
            <w:vAlign w:val="center"/>
          </w:tcPr>
          <w:p>
            <w:pPr>
              <w:jc w:val="center"/>
              <w:rPr>
                <w:color w:val="000000"/>
              </w:rPr>
            </w:pPr>
            <w:r>
              <w:rPr>
                <w:rFonts w:hint="eastAsia" w:ascii="宋体" w:hAnsi="宋体" w:eastAsia="宋体" w:cs="宋体"/>
                <w:color w:val="000000"/>
              </w:rPr>
              <w:t>廊财教【</w:t>
            </w:r>
            <w:r>
              <w:rPr>
                <w:color w:val="000000"/>
              </w:rPr>
              <w:t>2022</w:t>
            </w:r>
            <w:r>
              <w:rPr>
                <w:rFonts w:hint="eastAsia" w:ascii="宋体" w:hAnsi="宋体" w:eastAsia="宋体" w:cs="宋体"/>
                <w:color w:val="000000"/>
              </w:rPr>
              <w:t>】</w:t>
            </w:r>
            <w:r>
              <w:rPr>
                <w:color w:val="000000"/>
              </w:rPr>
              <w:t>55</w:t>
            </w:r>
            <w:r>
              <w:rPr>
                <w:rFonts w:hint="eastAsia" w:ascii="宋体" w:hAnsi="宋体" w:eastAsia="宋体" w:cs="宋体"/>
                <w:color w:val="000000"/>
              </w:rPr>
              <w:t>号文</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vMerge w:val="continue"/>
            <w:shd w:val="clear" w:color="auto" w:fill="auto"/>
            <w:vAlign w:val="center"/>
          </w:tcPr>
          <w:p>
            <w:pPr>
              <w:rPr>
                <w:rFonts w:ascii="方正书宋_GBK" w:hAnsi="宋体" w:eastAsia="方正书宋_GBK" w:cs="宋体"/>
                <w:color w:val="000000"/>
              </w:rPr>
            </w:pPr>
          </w:p>
        </w:tc>
        <w:tc>
          <w:tcPr>
            <w:tcW w:w="2268" w:type="dxa"/>
            <w:vMerge w:val="continue"/>
            <w:shd w:val="clear" w:color="auto" w:fill="auto"/>
            <w:vAlign w:val="center"/>
          </w:tcPr>
          <w:p>
            <w:pPr>
              <w:rPr>
                <w:rFonts w:eastAsia="宋体"/>
                <w:color w:val="000000"/>
              </w:rPr>
            </w:pPr>
          </w:p>
        </w:tc>
        <w:tc>
          <w:tcPr>
            <w:tcW w:w="5953" w:type="dxa"/>
            <w:vMerge w:val="continue"/>
            <w:shd w:val="clear" w:color="auto" w:fill="auto"/>
            <w:vAlign w:val="center"/>
          </w:tcPr>
          <w:p>
            <w:pPr>
              <w:rPr>
                <w:rFonts w:ascii="微软雅黑" w:hAnsi="微软雅黑" w:eastAsia="微软雅黑" w:cs="宋体"/>
                <w:color w:val="000000"/>
                <w:sz w:val="20"/>
                <w:szCs w:val="20"/>
              </w:rPr>
            </w:pPr>
          </w:p>
        </w:tc>
        <w:tc>
          <w:tcPr>
            <w:tcW w:w="1560" w:type="dxa"/>
            <w:vMerge w:val="continue"/>
            <w:shd w:val="clear" w:color="auto" w:fill="auto"/>
            <w:vAlign w:val="center"/>
          </w:tcPr>
          <w:p>
            <w:pPr>
              <w:rPr>
                <w:rFonts w:eastAsia="宋体"/>
                <w:color w:val="000000"/>
              </w:rPr>
            </w:pPr>
          </w:p>
        </w:tc>
        <w:tc>
          <w:tcPr>
            <w:tcW w:w="992" w:type="dxa"/>
            <w:vMerge w:val="continue"/>
            <w:shd w:val="clear" w:color="auto" w:fill="auto"/>
            <w:vAlign w:val="center"/>
          </w:tcPr>
          <w:p>
            <w:pPr>
              <w:rPr>
                <w:rFonts w:eastAsia="宋体"/>
                <w:color w:val="000000"/>
                <w:sz w:val="22"/>
                <w:szCs w:val="22"/>
              </w:rPr>
            </w:pPr>
          </w:p>
        </w:tc>
        <w:tc>
          <w:tcPr>
            <w:tcW w:w="567" w:type="dxa"/>
            <w:vMerge w:val="continue"/>
            <w:shd w:val="clear" w:color="auto" w:fill="auto"/>
            <w:vAlign w:val="center"/>
          </w:tcPr>
          <w:p>
            <w:pPr>
              <w:rPr>
                <w:rFonts w:eastAsia="宋体"/>
                <w:color w:val="000000"/>
                <w:sz w:val="22"/>
                <w:szCs w:val="22"/>
              </w:rPr>
            </w:pPr>
          </w:p>
        </w:tc>
        <w:tc>
          <w:tcPr>
            <w:tcW w:w="709" w:type="dxa"/>
            <w:vMerge w:val="continue"/>
            <w:shd w:val="clear" w:color="auto" w:fill="auto"/>
            <w:vAlign w:val="center"/>
          </w:tcPr>
          <w:p>
            <w:pPr>
              <w:rPr>
                <w:rFonts w:eastAsia="宋体"/>
                <w:color w:val="000000"/>
                <w:sz w:val="22"/>
                <w:szCs w:val="22"/>
              </w:rPr>
            </w:pPr>
          </w:p>
        </w:tc>
        <w:tc>
          <w:tcPr>
            <w:tcW w:w="1348" w:type="dxa"/>
            <w:vMerge w:val="continue"/>
            <w:shd w:val="clear" w:color="auto" w:fill="auto"/>
            <w:vAlign w:val="center"/>
          </w:tcPr>
          <w:p>
            <w:pPr>
              <w:rPr>
                <w:rFonts w:eastAsia="宋体"/>
                <w:color w:val="000000"/>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vMerge w:val="continue"/>
            <w:shd w:val="clear" w:color="auto" w:fill="auto"/>
            <w:vAlign w:val="center"/>
          </w:tcPr>
          <w:p>
            <w:pPr>
              <w:rPr>
                <w:rFonts w:ascii="方正书宋_GBK" w:hAnsi="宋体" w:eastAsia="方正书宋_GBK" w:cs="宋体"/>
                <w:color w:val="000000"/>
              </w:rPr>
            </w:pPr>
          </w:p>
        </w:tc>
        <w:tc>
          <w:tcPr>
            <w:tcW w:w="2268" w:type="dxa"/>
            <w:vMerge w:val="continue"/>
            <w:shd w:val="clear" w:color="auto" w:fill="auto"/>
            <w:vAlign w:val="center"/>
          </w:tcPr>
          <w:p>
            <w:pPr>
              <w:rPr>
                <w:rFonts w:eastAsia="宋体"/>
                <w:color w:val="000000"/>
              </w:rPr>
            </w:pPr>
          </w:p>
        </w:tc>
        <w:tc>
          <w:tcPr>
            <w:tcW w:w="5953" w:type="dxa"/>
            <w:vMerge w:val="continue"/>
            <w:shd w:val="clear" w:color="auto" w:fill="auto"/>
            <w:vAlign w:val="center"/>
          </w:tcPr>
          <w:p>
            <w:pPr>
              <w:rPr>
                <w:rFonts w:ascii="微软雅黑" w:hAnsi="微软雅黑" w:eastAsia="微软雅黑" w:cs="宋体"/>
                <w:color w:val="000000"/>
                <w:sz w:val="20"/>
                <w:szCs w:val="20"/>
              </w:rPr>
            </w:pPr>
          </w:p>
        </w:tc>
        <w:tc>
          <w:tcPr>
            <w:tcW w:w="1560" w:type="dxa"/>
            <w:vMerge w:val="continue"/>
            <w:shd w:val="clear" w:color="auto" w:fill="auto"/>
            <w:vAlign w:val="center"/>
          </w:tcPr>
          <w:p>
            <w:pPr>
              <w:rPr>
                <w:rFonts w:eastAsia="宋体"/>
                <w:color w:val="000000"/>
              </w:rPr>
            </w:pPr>
          </w:p>
        </w:tc>
        <w:tc>
          <w:tcPr>
            <w:tcW w:w="992" w:type="dxa"/>
            <w:vMerge w:val="continue"/>
            <w:shd w:val="clear" w:color="auto" w:fill="auto"/>
            <w:vAlign w:val="center"/>
          </w:tcPr>
          <w:p>
            <w:pPr>
              <w:rPr>
                <w:rFonts w:eastAsia="宋体"/>
                <w:color w:val="000000"/>
                <w:sz w:val="22"/>
                <w:szCs w:val="22"/>
              </w:rPr>
            </w:pPr>
          </w:p>
        </w:tc>
        <w:tc>
          <w:tcPr>
            <w:tcW w:w="567" w:type="dxa"/>
            <w:vMerge w:val="continue"/>
            <w:shd w:val="clear" w:color="auto" w:fill="auto"/>
            <w:vAlign w:val="center"/>
          </w:tcPr>
          <w:p>
            <w:pPr>
              <w:rPr>
                <w:rFonts w:eastAsia="宋体"/>
                <w:color w:val="000000"/>
                <w:sz w:val="22"/>
                <w:szCs w:val="22"/>
              </w:rPr>
            </w:pPr>
          </w:p>
        </w:tc>
        <w:tc>
          <w:tcPr>
            <w:tcW w:w="709" w:type="dxa"/>
            <w:vMerge w:val="continue"/>
            <w:shd w:val="clear" w:color="auto" w:fill="auto"/>
            <w:vAlign w:val="center"/>
          </w:tcPr>
          <w:p>
            <w:pPr>
              <w:rPr>
                <w:rFonts w:eastAsia="宋体"/>
                <w:color w:val="000000"/>
                <w:sz w:val="22"/>
                <w:szCs w:val="22"/>
              </w:rPr>
            </w:pPr>
          </w:p>
        </w:tc>
        <w:tc>
          <w:tcPr>
            <w:tcW w:w="1348" w:type="dxa"/>
            <w:vMerge w:val="continue"/>
            <w:shd w:val="clear" w:color="auto" w:fill="auto"/>
            <w:vAlign w:val="center"/>
          </w:tcPr>
          <w:p>
            <w:pPr>
              <w:rPr>
                <w:rFonts w:eastAsia="宋体"/>
                <w:color w:val="000000"/>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vMerge w:val="restar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质量</w:t>
            </w:r>
          </w:p>
        </w:tc>
        <w:tc>
          <w:tcPr>
            <w:tcW w:w="2268" w:type="dxa"/>
            <w:vMerge w:val="restart"/>
            <w:shd w:val="clear" w:color="auto" w:fill="auto"/>
            <w:tcMar>
              <w:top w:w="15" w:type="dxa"/>
              <w:left w:w="15" w:type="dxa"/>
              <w:bottom w:w="0" w:type="dxa"/>
              <w:right w:w="15" w:type="dxa"/>
            </w:tcMar>
            <w:vAlign w:val="center"/>
          </w:tcPr>
          <w:p>
            <w:pPr>
              <w:rPr>
                <w:rFonts w:eastAsia="宋体"/>
                <w:color w:val="000000"/>
              </w:rPr>
            </w:pPr>
            <w:r>
              <w:rPr>
                <w:rFonts w:hint="eastAsia" w:ascii="宋体" w:hAnsi="宋体" w:eastAsia="宋体" w:cs="宋体"/>
                <w:color w:val="000000"/>
              </w:rPr>
              <w:t>一对一精准服务</w:t>
            </w:r>
          </w:p>
        </w:tc>
        <w:tc>
          <w:tcPr>
            <w:tcW w:w="5953" w:type="dxa"/>
            <w:vMerge w:val="restart"/>
            <w:shd w:val="clear" w:color="auto" w:fill="auto"/>
            <w:tcMar>
              <w:top w:w="15" w:type="dxa"/>
              <w:left w:w="15" w:type="dxa"/>
              <w:bottom w:w="0" w:type="dxa"/>
              <w:right w:w="15" w:type="dxa"/>
            </w:tcMar>
            <w:vAlign w:val="center"/>
          </w:tcPr>
          <w:p>
            <w:pPr>
              <w:jc w:val="both"/>
              <w:rPr>
                <w:rFonts w:ascii="微软雅黑" w:hAnsi="微软雅黑" w:eastAsia="微软雅黑" w:cs="宋体"/>
                <w:color w:val="000000"/>
                <w:sz w:val="20"/>
                <w:szCs w:val="20"/>
              </w:rPr>
            </w:pPr>
            <w:r>
              <w:rPr>
                <w:rFonts w:hint="eastAsia" w:ascii="微软雅黑" w:hAnsi="微软雅黑" w:eastAsia="微软雅黑"/>
                <w:color w:val="000000"/>
                <w:sz w:val="20"/>
                <w:szCs w:val="20"/>
              </w:rPr>
              <w:t>完成指标值，满分； 完成指标设定值 80%， 得分 80%，完成指标设 定值 60%，得分 60%， 完成指标设定值 60%以 下，不得分。</w:t>
            </w:r>
          </w:p>
        </w:tc>
        <w:tc>
          <w:tcPr>
            <w:tcW w:w="1560" w:type="dxa"/>
            <w:vMerge w:val="restart"/>
            <w:shd w:val="clear" w:color="auto" w:fill="auto"/>
            <w:tcMar>
              <w:top w:w="15" w:type="dxa"/>
              <w:left w:w="15" w:type="dxa"/>
              <w:bottom w:w="0" w:type="dxa"/>
              <w:right w:w="15" w:type="dxa"/>
            </w:tcMar>
            <w:vAlign w:val="center"/>
          </w:tcPr>
          <w:p>
            <w:pPr>
              <w:rPr>
                <w:rFonts w:eastAsia="宋体"/>
                <w:color w:val="000000"/>
              </w:rPr>
            </w:pPr>
            <w:r>
              <w:rPr>
                <w:rFonts w:hint="eastAsia" w:ascii="宋体" w:hAnsi="宋体" w:eastAsia="宋体" w:cs="宋体"/>
                <w:color w:val="000000"/>
              </w:rPr>
              <w:t>一对一精准服务</w:t>
            </w:r>
          </w:p>
        </w:tc>
        <w:tc>
          <w:tcPr>
            <w:tcW w:w="992" w:type="dxa"/>
            <w:vMerge w:val="restart"/>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567" w:type="dxa"/>
            <w:vMerge w:val="restart"/>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100</w:t>
            </w:r>
          </w:p>
        </w:tc>
        <w:tc>
          <w:tcPr>
            <w:tcW w:w="709" w:type="dxa"/>
            <w:vMerge w:val="restart"/>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1348" w:type="dxa"/>
            <w:vMerge w:val="restart"/>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任务书</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vMerge w:val="continue"/>
            <w:shd w:val="clear" w:color="auto" w:fill="auto"/>
            <w:vAlign w:val="center"/>
          </w:tcPr>
          <w:p>
            <w:pPr>
              <w:rPr>
                <w:rFonts w:ascii="方正书宋_GBK" w:hAnsi="宋体" w:eastAsia="方正书宋_GBK" w:cs="宋体"/>
                <w:color w:val="000000"/>
              </w:rPr>
            </w:pPr>
          </w:p>
        </w:tc>
        <w:tc>
          <w:tcPr>
            <w:tcW w:w="2268" w:type="dxa"/>
            <w:vMerge w:val="continue"/>
            <w:shd w:val="clear" w:color="auto" w:fill="auto"/>
            <w:vAlign w:val="center"/>
          </w:tcPr>
          <w:p>
            <w:pPr>
              <w:rPr>
                <w:rFonts w:eastAsia="宋体"/>
                <w:color w:val="000000"/>
              </w:rPr>
            </w:pPr>
          </w:p>
        </w:tc>
        <w:tc>
          <w:tcPr>
            <w:tcW w:w="5953" w:type="dxa"/>
            <w:vMerge w:val="continue"/>
            <w:shd w:val="clear" w:color="auto" w:fill="auto"/>
            <w:vAlign w:val="center"/>
          </w:tcPr>
          <w:p>
            <w:pPr>
              <w:rPr>
                <w:rFonts w:ascii="微软雅黑" w:hAnsi="微软雅黑" w:eastAsia="微软雅黑" w:cs="宋体"/>
                <w:color w:val="000000"/>
                <w:sz w:val="20"/>
                <w:szCs w:val="20"/>
              </w:rPr>
            </w:pPr>
          </w:p>
        </w:tc>
        <w:tc>
          <w:tcPr>
            <w:tcW w:w="1560" w:type="dxa"/>
            <w:vMerge w:val="continue"/>
            <w:shd w:val="clear" w:color="auto" w:fill="auto"/>
            <w:vAlign w:val="center"/>
          </w:tcPr>
          <w:p>
            <w:pPr>
              <w:rPr>
                <w:rFonts w:eastAsia="宋体"/>
                <w:color w:val="000000"/>
              </w:rPr>
            </w:pPr>
          </w:p>
        </w:tc>
        <w:tc>
          <w:tcPr>
            <w:tcW w:w="992" w:type="dxa"/>
            <w:vMerge w:val="continue"/>
            <w:shd w:val="clear" w:color="auto" w:fill="auto"/>
            <w:vAlign w:val="center"/>
          </w:tcPr>
          <w:p>
            <w:pPr>
              <w:rPr>
                <w:rFonts w:eastAsia="宋体"/>
                <w:color w:val="000000"/>
                <w:sz w:val="22"/>
                <w:szCs w:val="22"/>
              </w:rPr>
            </w:pPr>
          </w:p>
        </w:tc>
        <w:tc>
          <w:tcPr>
            <w:tcW w:w="567" w:type="dxa"/>
            <w:vMerge w:val="continue"/>
            <w:shd w:val="clear" w:color="auto" w:fill="auto"/>
            <w:vAlign w:val="center"/>
          </w:tcPr>
          <w:p>
            <w:pPr>
              <w:rPr>
                <w:rFonts w:eastAsia="宋体"/>
                <w:color w:val="000000"/>
                <w:sz w:val="22"/>
                <w:szCs w:val="22"/>
              </w:rPr>
            </w:pPr>
          </w:p>
        </w:tc>
        <w:tc>
          <w:tcPr>
            <w:tcW w:w="709" w:type="dxa"/>
            <w:vMerge w:val="continue"/>
            <w:shd w:val="clear" w:color="auto" w:fill="auto"/>
            <w:vAlign w:val="center"/>
          </w:tcPr>
          <w:p>
            <w:pPr>
              <w:rPr>
                <w:rFonts w:eastAsia="宋体"/>
                <w:color w:val="000000"/>
                <w:sz w:val="22"/>
                <w:szCs w:val="22"/>
              </w:rPr>
            </w:pPr>
          </w:p>
        </w:tc>
        <w:tc>
          <w:tcPr>
            <w:tcW w:w="1348" w:type="dxa"/>
            <w:vMerge w:val="continue"/>
            <w:shd w:val="clear" w:color="auto" w:fill="auto"/>
            <w:vAlign w:val="center"/>
          </w:tcPr>
          <w:p>
            <w:pPr>
              <w:rPr>
                <w:rFonts w:eastAsia="宋体"/>
                <w:color w:val="000000"/>
                <w:sz w:val="22"/>
                <w:szCs w:val="22"/>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vMerge w:val="continue"/>
            <w:shd w:val="clear" w:color="auto" w:fill="auto"/>
            <w:vAlign w:val="center"/>
          </w:tcPr>
          <w:p>
            <w:pPr>
              <w:rPr>
                <w:rFonts w:ascii="方正书宋_GBK" w:hAnsi="宋体" w:eastAsia="方正书宋_GBK" w:cs="宋体"/>
                <w:color w:val="000000"/>
              </w:rPr>
            </w:pPr>
          </w:p>
        </w:tc>
        <w:tc>
          <w:tcPr>
            <w:tcW w:w="2268" w:type="dxa"/>
            <w:vMerge w:val="continue"/>
            <w:shd w:val="clear" w:color="auto" w:fill="auto"/>
            <w:vAlign w:val="center"/>
          </w:tcPr>
          <w:p>
            <w:pPr>
              <w:rPr>
                <w:rFonts w:eastAsia="宋体"/>
                <w:color w:val="000000"/>
              </w:rPr>
            </w:pPr>
          </w:p>
        </w:tc>
        <w:tc>
          <w:tcPr>
            <w:tcW w:w="5953" w:type="dxa"/>
            <w:vMerge w:val="continue"/>
            <w:shd w:val="clear" w:color="auto" w:fill="auto"/>
            <w:vAlign w:val="center"/>
          </w:tcPr>
          <w:p>
            <w:pPr>
              <w:rPr>
                <w:rFonts w:ascii="微软雅黑" w:hAnsi="微软雅黑" w:eastAsia="微软雅黑" w:cs="宋体"/>
                <w:color w:val="000000"/>
                <w:sz w:val="20"/>
                <w:szCs w:val="20"/>
              </w:rPr>
            </w:pPr>
          </w:p>
        </w:tc>
        <w:tc>
          <w:tcPr>
            <w:tcW w:w="1560" w:type="dxa"/>
            <w:vMerge w:val="continue"/>
            <w:shd w:val="clear" w:color="auto" w:fill="auto"/>
            <w:vAlign w:val="center"/>
          </w:tcPr>
          <w:p>
            <w:pPr>
              <w:rPr>
                <w:rFonts w:eastAsia="宋体"/>
                <w:color w:val="000000"/>
              </w:rPr>
            </w:pPr>
          </w:p>
        </w:tc>
        <w:tc>
          <w:tcPr>
            <w:tcW w:w="992" w:type="dxa"/>
            <w:vMerge w:val="continue"/>
            <w:shd w:val="clear" w:color="auto" w:fill="auto"/>
            <w:vAlign w:val="center"/>
          </w:tcPr>
          <w:p>
            <w:pPr>
              <w:rPr>
                <w:rFonts w:eastAsia="宋体"/>
                <w:color w:val="000000"/>
                <w:sz w:val="22"/>
                <w:szCs w:val="22"/>
              </w:rPr>
            </w:pPr>
          </w:p>
        </w:tc>
        <w:tc>
          <w:tcPr>
            <w:tcW w:w="567" w:type="dxa"/>
            <w:vMerge w:val="continue"/>
            <w:shd w:val="clear" w:color="auto" w:fill="auto"/>
            <w:vAlign w:val="center"/>
          </w:tcPr>
          <w:p>
            <w:pPr>
              <w:rPr>
                <w:rFonts w:eastAsia="宋体"/>
                <w:color w:val="000000"/>
                <w:sz w:val="22"/>
                <w:szCs w:val="22"/>
              </w:rPr>
            </w:pPr>
          </w:p>
        </w:tc>
        <w:tc>
          <w:tcPr>
            <w:tcW w:w="709" w:type="dxa"/>
            <w:vMerge w:val="continue"/>
            <w:shd w:val="clear" w:color="auto" w:fill="auto"/>
            <w:vAlign w:val="center"/>
          </w:tcPr>
          <w:p>
            <w:pPr>
              <w:rPr>
                <w:rFonts w:eastAsia="宋体"/>
                <w:color w:val="000000"/>
                <w:sz w:val="22"/>
                <w:szCs w:val="22"/>
              </w:rPr>
            </w:pPr>
          </w:p>
        </w:tc>
        <w:tc>
          <w:tcPr>
            <w:tcW w:w="1348" w:type="dxa"/>
            <w:vMerge w:val="continue"/>
            <w:shd w:val="clear" w:color="auto" w:fill="auto"/>
            <w:vAlign w:val="center"/>
          </w:tcPr>
          <w:p>
            <w:pPr>
              <w:rPr>
                <w:rFonts w:eastAsia="宋体"/>
                <w:color w:val="000000"/>
                <w:sz w:val="22"/>
                <w:szCs w:val="22"/>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86"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时效</w:t>
            </w:r>
          </w:p>
        </w:tc>
        <w:tc>
          <w:tcPr>
            <w:tcW w:w="2268" w:type="dxa"/>
            <w:shd w:val="clear" w:color="auto" w:fill="auto"/>
            <w:tcMar>
              <w:top w:w="15" w:type="dxa"/>
              <w:left w:w="15" w:type="dxa"/>
              <w:bottom w:w="0" w:type="dxa"/>
              <w:right w:w="15" w:type="dxa"/>
            </w:tcMar>
          </w:tcPr>
          <w:p>
            <w:pPr>
              <w:rPr>
                <w:rFonts w:ascii="方正书宋_GBK" w:eastAsia="方正书宋_GBK"/>
                <w:color w:val="000000"/>
              </w:rPr>
            </w:pPr>
            <w:r>
              <w:rPr>
                <w:rFonts w:hint="eastAsia" w:ascii="宋体" w:hAnsi="宋体" w:eastAsia="宋体" w:cs="宋体"/>
                <w:color w:val="000000"/>
              </w:rPr>
              <w:t>资金拨付及时性</w:t>
            </w:r>
          </w:p>
        </w:tc>
        <w:tc>
          <w:tcPr>
            <w:tcW w:w="5953" w:type="dxa"/>
            <w:shd w:val="clear" w:color="auto" w:fill="auto"/>
            <w:tcMar>
              <w:top w:w="15" w:type="dxa"/>
              <w:left w:w="15" w:type="dxa"/>
              <w:bottom w:w="0" w:type="dxa"/>
              <w:right w:w="15" w:type="dxa"/>
            </w:tcMar>
          </w:tcPr>
          <w:p>
            <w:pPr>
              <w:jc w:val="both"/>
              <w:rPr>
                <w:rFonts w:ascii="微软雅黑" w:hAnsi="微软雅黑" w:eastAsia="微软雅黑" w:cs="宋体"/>
                <w:color w:val="000000"/>
                <w:sz w:val="20"/>
                <w:szCs w:val="20"/>
              </w:rPr>
            </w:pPr>
            <w:r>
              <w:rPr>
                <w:rFonts w:hint="eastAsia" w:ascii="微软雅黑" w:hAnsi="微软雅黑" w:eastAsia="微软雅黑"/>
                <w:color w:val="000000"/>
                <w:sz w:val="20"/>
                <w:szCs w:val="20"/>
              </w:rPr>
              <w:t>完成指标值，满分； 完成指标设定值 80%， 得分 80%，完成指标设 定值 60%，得分 60%， 完成指标设定值 60%以 下，不得分。</w:t>
            </w:r>
          </w:p>
        </w:tc>
        <w:tc>
          <w:tcPr>
            <w:tcW w:w="1560" w:type="dxa"/>
            <w:shd w:val="clear" w:color="auto" w:fill="auto"/>
            <w:tcMar>
              <w:top w:w="15" w:type="dxa"/>
              <w:left w:w="15" w:type="dxa"/>
              <w:bottom w:w="0" w:type="dxa"/>
              <w:right w:w="15" w:type="dxa"/>
            </w:tcMar>
          </w:tcPr>
          <w:p>
            <w:pPr>
              <w:rPr>
                <w:rFonts w:ascii="微软雅黑" w:hAnsi="微软雅黑" w:eastAsia="微软雅黑"/>
                <w:color w:val="000000"/>
                <w:sz w:val="20"/>
                <w:szCs w:val="20"/>
              </w:rPr>
            </w:pPr>
            <w:r>
              <w:rPr>
                <w:rFonts w:hint="eastAsia" w:ascii="宋体" w:hAnsi="宋体" w:eastAsia="宋体" w:cs="宋体"/>
                <w:color w:val="000000"/>
              </w:rPr>
              <w:t>资金拨付及时性</w:t>
            </w:r>
          </w:p>
        </w:tc>
        <w:tc>
          <w:tcPr>
            <w:tcW w:w="992" w:type="dxa"/>
            <w:shd w:val="clear" w:color="auto" w:fill="auto"/>
            <w:tcMar>
              <w:top w:w="15" w:type="dxa"/>
              <w:left w:w="15" w:type="dxa"/>
              <w:bottom w:w="0" w:type="dxa"/>
              <w:right w:w="15" w:type="dxa"/>
            </w:tcMar>
          </w:tcPr>
          <w:p>
            <w:pPr>
              <w:rPr>
                <w:sz w:val="20"/>
                <w:szCs w:val="20"/>
              </w:rPr>
            </w:pPr>
            <w:r>
              <w:rPr>
                <w:color w:val="000000"/>
                <w:sz w:val="22"/>
                <w:szCs w:val="22"/>
              </w:rPr>
              <w:t>=</w:t>
            </w:r>
          </w:p>
        </w:tc>
        <w:tc>
          <w:tcPr>
            <w:tcW w:w="567" w:type="dxa"/>
            <w:shd w:val="clear" w:color="auto" w:fill="auto"/>
            <w:tcMar>
              <w:top w:w="15" w:type="dxa"/>
              <w:left w:w="15" w:type="dxa"/>
              <w:bottom w:w="0" w:type="dxa"/>
              <w:right w:w="15" w:type="dxa"/>
            </w:tcMar>
          </w:tcPr>
          <w:p>
            <w:pPr>
              <w:jc w:val="right"/>
              <w:rPr>
                <w:rFonts w:eastAsia="宋体"/>
                <w:color w:val="000000"/>
                <w:sz w:val="22"/>
                <w:szCs w:val="22"/>
              </w:rPr>
            </w:pPr>
            <w:r>
              <w:rPr>
                <w:color w:val="000000"/>
                <w:sz w:val="22"/>
                <w:szCs w:val="22"/>
              </w:rPr>
              <w:t>100</w:t>
            </w:r>
          </w:p>
        </w:tc>
        <w:tc>
          <w:tcPr>
            <w:tcW w:w="709" w:type="dxa"/>
            <w:shd w:val="clear" w:color="auto" w:fill="auto"/>
            <w:tcMar>
              <w:top w:w="15" w:type="dxa"/>
              <w:left w:w="15" w:type="dxa"/>
              <w:bottom w:w="0" w:type="dxa"/>
              <w:right w:w="15" w:type="dxa"/>
            </w:tcMar>
          </w:tcPr>
          <w:p>
            <w:pPr>
              <w:rPr>
                <w:color w:val="000000"/>
                <w:sz w:val="22"/>
                <w:szCs w:val="22"/>
              </w:rPr>
            </w:pPr>
            <w:r>
              <w:rPr>
                <w:color w:val="000000"/>
                <w:sz w:val="22"/>
                <w:szCs w:val="22"/>
              </w:rPr>
              <w:t>%</w:t>
            </w:r>
          </w:p>
        </w:tc>
        <w:tc>
          <w:tcPr>
            <w:tcW w:w="1348"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入账凭证</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vMerge w:val="restar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成本</w:t>
            </w:r>
          </w:p>
        </w:tc>
        <w:tc>
          <w:tcPr>
            <w:tcW w:w="2268" w:type="dxa"/>
            <w:vMerge w:val="restart"/>
            <w:shd w:val="clear" w:color="auto" w:fill="auto"/>
            <w:tcMar>
              <w:top w:w="15" w:type="dxa"/>
              <w:left w:w="15" w:type="dxa"/>
              <w:bottom w:w="0" w:type="dxa"/>
              <w:right w:w="15" w:type="dxa"/>
            </w:tcMar>
          </w:tcPr>
          <w:p>
            <w:pPr>
              <w:rPr>
                <w:rFonts w:eastAsia="宋体"/>
                <w:color w:val="000000"/>
              </w:rPr>
            </w:pPr>
            <w:r>
              <w:rPr>
                <w:rFonts w:hint="eastAsia" w:ascii="宋体" w:hAnsi="宋体" w:eastAsia="宋体" w:cs="宋体"/>
                <w:color w:val="000000"/>
              </w:rPr>
              <w:t>预算执行率</w:t>
            </w:r>
          </w:p>
        </w:tc>
        <w:tc>
          <w:tcPr>
            <w:tcW w:w="5953" w:type="dxa"/>
            <w:vMerge w:val="restart"/>
            <w:shd w:val="clear" w:color="auto" w:fill="auto"/>
            <w:tcMar>
              <w:top w:w="15" w:type="dxa"/>
              <w:left w:w="15" w:type="dxa"/>
              <w:bottom w:w="0" w:type="dxa"/>
              <w:right w:w="15" w:type="dxa"/>
            </w:tcMar>
          </w:tcPr>
          <w:p>
            <w:pPr>
              <w:jc w:val="both"/>
              <w:rPr>
                <w:rFonts w:ascii="微软雅黑" w:hAnsi="微软雅黑" w:eastAsia="微软雅黑" w:cs="宋体"/>
                <w:color w:val="000000"/>
                <w:sz w:val="20"/>
                <w:szCs w:val="20"/>
              </w:rPr>
            </w:pPr>
            <w:r>
              <w:rPr>
                <w:rFonts w:hint="eastAsia" w:ascii="微软雅黑" w:hAnsi="微软雅黑" w:eastAsia="微软雅黑"/>
                <w:color w:val="000000"/>
                <w:sz w:val="20"/>
                <w:szCs w:val="20"/>
              </w:rPr>
              <w:t>完成指标值，满分； 完成指标设定值 80%， 得分 80%，完成指标设 定值 60%，得分 60%， 完成指标设定值 60%以 下，不得分。</w:t>
            </w:r>
          </w:p>
        </w:tc>
        <w:tc>
          <w:tcPr>
            <w:tcW w:w="1560" w:type="dxa"/>
            <w:vMerge w:val="restart"/>
            <w:shd w:val="clear" w:color="auto" w:fill="auto"/>
            <w:tcMar>
              <w:top w:w="15" w:type="dxa"/>
              <w:left w:w="15" w:type="dxa"/>
              <w:bottom w:w="0" w:type="dxa"/>
              <w:right w:w="15" w:type="dxa"/>
            </w:tcMar>
          </w:tcPr>
          <w:p>
            <w:pPr>
              <w:rPr>
                <w:rFonts w:eastAsia="宋体"/>
                <w:color w:val="000000"/>
              </w:rPr>
            </w:pPr>
            <w:r>
              <w:rPr>
                <w:rFonts w:hint="eastAsia" w:ascii="宋体" w:hAnsi="宋体" w:eastAsia="宋体" w:cs="宋体"/>
                <w:color w:val="000000"/>
              </w:rPr>
              <w:t>预算执行率</w:t>
            </w:r>
          </w:p>
        </w:tc>
        <w:tc>
          <w:tcPr>
            <w:tcW w:w="992" w:type="dxa"/>
            <w:vMerge w:val="restart"/>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567" w:type="dxa"/>
            <w:vMerge w:val="restart"/>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100</w:t>
            </w:r>
          </w:p>
        </w:tc>
        <w:tc>
          <w:tcPr>
            <w:tcW w:w="709" w:type="dxa"/>
            <w:vMerge w:val="restart"/>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1348" w:type="dxa"/>
            <w:vMerge w:val="restart"/>
            <w:shd w:val="clear" w:color="auto" w:fill="auto"/>
            <w:tcMar>
              <w:top w:w="15" w:type="dxa"/>
              <w:left w:w="15" w:type="dxa"/>
              <w:bottom w:w="0" w:type="dxa"/>
              <w:right w:w="15" w:type="dxa"/>
            </w:tcMar>
            <w:vAlign w:val="center"/>
          </w:tcPr>
          <w:p>
            <w:pPr>
              <w:jc w:val="center"/>
              <w:rPr>
                <w:color w:val="000000"/>
              </w:rPr>
            </w:pPr>
            <w:r>
              <w:rPr>
                <w:rFonts w:hint="eastAsia" w:ascii="宋体" w:hAnsi="宋体" w:eastAsia="宋体" w:cs="宋体"/>
                <w:color w:val="000000"/>
              </w:rPr>
              <w:t>廊财教【</w:t>
            </w:r>
            <w:r>
              <w:rPr>
                <w:color w:val="000000"/>
              </w:rPr>
              <w:t>2022</w:t>
            </w:r>
            <w:r>
              <w:rPr>
                <w:rFonts w:hint="eastAsia" w:ascii="宋体" w:hAnsi="宋体" w:eastAsia="宋体" w:cs="宋体"/>
                <w:color w:val="000000"/>
              </w:rPr>
              <w:t>】</w:t>
            </w:r>
            <w:r>
              <w:rPr>
                <w:color w:val="000000"/>
              </w:rPr>
              <w:t>55</w:t>
            </w:r>
            <w:r>
              <w:rPr>
                <w:rFonts w:hint="eastAsia" w:ascii="宋体" w:hAnsi="宋体" w:eastAsia="宋体" w:cs="宋体"/>
                <w:color w:val="000000"/>
              </w:rPr>
              <w:t>号文</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vMerge w:val="continue"/>
            <w:shd w:val="clear" w:color="auto" w:fill="auto"/>
            <w:vAlign w:val="center"/>
          </w:tcPr>
          <w:p>
            <w:pPr>
              <w:rPr>
                <w:rFonts w:ascii="方正书宋_GBK" w:hAnsi="宋体" w:eastAsia="方正书宋_GBK" w:cs="宋体"/>
                <w:color w:val="000000"/>
              </w:rPr>
            </w:pPr>
          </w:p>
        </w:tc>
        <w:tc>
          <w:tcPr>
            <w:tcW w:w="2268" w:type="dxa"/>
            <w:vMerge w:val="continue"/>
            <w:shd w:val="clear" w:color="auto" w:fill="auto"/>
            <w:vAlign w:val="center"/>
          </w:tcPr>
          <w:p>
            <w:pPr>
              <w:rPr>
                <w:rFonts w:eastAsia="宋体"/>
                <w:color w:val="000000"/>
              </w:rPr>
            </w:pPr>
          </w:p>
        </w:tc>
        <w:tc>
          <w:tcPr>
            <w:tcW w:w="5953" w:type="dxa"/>
            <w:vMerge w:val="continue"/>
            <w:shd w:val="clear" w:color="auto" w:fill="auto"/>
            <w:vAlign w:val="center"/>
          </w:tcPr>
          <w:p>
            <w:pPr>
              <w:rPr>
                <w:rFonts w:ascii="微软雅黑" w:hAnsi="微软雅黑" w:eastAsia="微软雅黑" w:cs="宋体"/>
                <w:color w:val="000000"/>
                <w:sz w:val="20"/>
                <w:szCs w:val="20"/>
              </w:rPr>
            </w:pPr>
          </w:p>
        </w:tc>
        <w:tc>
          <w:tcPr>
            <w:tcW w:w="1560" w:type="dxa"/>
            <w:vMerge w:val="continue"/>
            <w:shd w:val="clear" w:color="auto" w:fill="auto"/>
            <w:vAlign w:val="center"/>
          </w:tcPr>
          <w:p>
            <w:pPr>
              <w:rPr>
                <w:rFonts w:eastAsia="宋体"/>
                <w:color w:val="000000"/>
              </w:rPr>
            </w:pPr>
          </w:p>
        </w:tc>
        <w:tc>
          <w:tcPr>
            <w:tcW w:w="992" w:type="dxa"/>
            <w:vMerge w:val="continue"/>
            <w:shd w:val="clear" w:color="auto" w:fill="auto"/>
            <w:vAlign w:val="center"/>
          </w:tcPr>
          <w:p>
            <w:pPr>
              <w:rPr>
                <w:rFonts w:eastAsia="宋体"/>
                <w:color w:val="000000"/>
                <w:sz w:val="22"/>
                <w:szCs w:val="22"/>
              </w:rPr>
            </w:pPr>
          </w:p>
        </w:tc>
        <w:tc>
          <w:tcPr>
            <w:tcW w:w="567" w:type="dxa"/>
            <w:vMerge w:val="continue"/>
            <w:shd w:val="clear" w:color="auto" w:fill="auto"/>
            <w:vAlign w:val="center"/>
          </w:tcPr>
          <w:p>
            <w:pPr>
              <w:rPr>
                <w:rFonts w:eastAsia="宋体"/>
                <w:color w:val="000000"/>
                <w:sz w:val="22"/>
                <w:szCs w:val="22"/>
              </w:rPr>
            </w:pPr>
          </w:p>
        </w:tc>
        <w:tc>
          <w:tcPr>
            <w:tcW w:w="709" w:type="dxa"/>
            <w:vMerge w:val="continue"/>
            <w:shd w:val="clear" w:color="auto" w:fill="auto"/>
            <w:vAlign w:val="center"/>
          </w:tcPr>
          <w:p>
            <w:pPr>
              <w:rPr>
                <w:rFonts w:eastAsia="宋体"/>
                <w:color w:val="000000"/>
                <w:sz w:val="22"/>
                <w:szCs w:val="22"/>
              </w:rPr>
            </w:pPr>
          </w:p>
        </w:tc>
        <w:tc>
          <w:tcPr>
            <w:tcW w:w="1348" w:type="dxa"/>
            <w:vMerge w:val="continue"/>
            <w:shd w:val="clear" w:color="auto" w:fill="auto"/>
            <w:vAlign w:val="center"/>
          </w:tcPr>
          <w:p>
            <w:pPr>
              <w:rPr>
                <w:rFonts w:eastAsia="宋体"/>
                <w:color w:val="000000"/>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86" w:hRule="atLeast"/>
          <w:jc w:val="center"/>
        </w:trPr>
        <w:tc>
          <w:tcPr>
            <w:tcW w:w="724" w:type="dxa"/>
            <w:vMerge w:val="restar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lang w:eastAsia="zh-CN"/>
              </w:rPr>
              <w:t>单位</w:t>
            </w:r>
            <w:r>
              <w:rPr>
                <w:rFonts w:hint="eastAsia" w:ascii="方正书宋_GBK" w:eastAsia="方正书宋_GBK"/>
                <w:color w:val="000000"/>
              </w:rPr>
              <w:t>效果</w:t>
            </w: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2268" w:type="dxa"/>
            <w:shd w:val="clear" w:color="auto" w:fill="auto"/>
            <w:tcMar>
              <w:top w:w="15" w:type="dxa"/>
              <w:left w:w="15" w:type="dxa"/>
              <w:bottom w:w="0" w:type="dxa"/>
              <w:right w:w="15" w:type="dxa"/>
            </w:tcMar>
            <w:vAlign w:val="center"/>
          </w:tcPr>
          <w:p>
            <w:pPr>
              <w:rPr>
                <w:rFonts w:eastAsia="宋体"/>
                <w:color w:val="000000"/>
              </w:rPr>
            </w:pPr>
            <w:r>
              <w:rPr>
                <w:rFonts w:hint="eastAsia" w:ascii="宋体" w:hAnsi="宋体" w:eastAsia="宋体" w:cs="宋体"/>
                <w:color w:val="000000"/>
              </w:rPr>
              <w:t>政策推广</w:t>
            </w:r>
          </w:p>
        </w:tc>
        <w:tc>
          <w:tcPr>
            <w:tcW w:w="5953" w:type="dxa"/>
            <w:shd w:val="clear" w:color="auto" w:fill="auto"/>
            <w:tcMar>
              <w:top w:w="15" w:type="dxa"/>
              <w:left w:w="15" w:type="dxa"/>
              <w:bottom w:w="0" w:type="dxa"/>
              <w:right w:w="15" w:type="dxa"/>
            </w:tcMar>
            <w:vAlign w:val="center"/>
          </w:tcPr>
          <w:p>
            <w:pPr>
              <w:jc w:val="both"/>
              <w:rPr>
                <w:rFonts w:ascii="微软雅黑" w:hAnsi="微软雅黑" w:eastAsia="微软雅黑" w:cs="宋体"/>
                <w:color w:val="000000"/>
                <w:sz w:val="20"/>
                <w:szCs w:val="20"/>
              </w:rPr>
            </w:pPr>
            <w:r>
              <w:rPr>
                <w:rFonts w:hint="eastAsia" w:ascii="微软雅黑" w:hAnsi="微软雅黑" w:eastAsia="微软雅黑"/>
                <w:color w:val="000000"/>
                <w:sz w:val="20"/>
                <w:szCs w:val="20"/>
              </w:rPr>
              <w:t>完成指标值，满分； 完成指标设定值 80%， 得分 80%，完成指标设 定值 60%，得分 60%， 完成指标设定值 60%以 下，不得分。</w:t>
            </w:r>
          </w:p>
        </w:tc>
        <w:tc>
          <w:tcPr>
            <w:tcW w:w="1560" w:type="dxa"/>
            <w:shd w:val="clear" w:color="auto" w:fill="auto"/>
            <w:tcMar>
              <w:top w:w="15" w:type="dxa"/>
              <w:left w:w="15" w:type="dxa"/>
              <w:bottom w:w="0" w:type="dxa"/>
              <w:right w:w="15" w:type="dxa"/>
            </w:tcMar>
            <w:vAlign w:val="center"/>
          </w:tcPr>
          <w:p>
            <w:pPr>
              <w:rPr>
                <w:rFonts w:eastAsia="宋体"/>
                <w:color w:val="000000"/>
              </w:rPr>
            </w:pPr>
            <w:r>
              <w:rPr>
                <w:rFonts w:hint="eastAsia" w:ascii="宋体" w:hAnsi="宋体" w:eastAsia="宋体" w:cs="宋体"/>
                <w:color w:val="000000"/>
              </w:rPr>
              <w:t>政策推广</w:t>
            </w:r>
          </w:p>
        </w:tc>
        <w:tc>
          <w:tcPr>
            <w:tcW w:w="992" w:type="dxa"/>
            <w:shd w:val="clear" w:color="auto" w:fill="auto"/>
            <w:tcMar>
              <w:top w:w="15" w:type="dxa"/>
              <w:left w:w="15" w:type="dxa"/>
              <w:bottom w:w="0" w:type="dxa"/>
              <w:right w:w="15" w:type="dxa"/>
            </w:tcMar>
            <w:vAlign w:val="center"/>
          </w:tcPr>
          <w:p>
            <w:pPr>
              <w:rPr>
                <w:rFonts w:ascii="宋体" w:hAnsi="宋体" w:cs="宋体"/>
                <w:color w:val="000000"/>
                <w:sz w:val="22"/>
                <w:szCs w:val="22"/>
              </w:rPr>
            </w:pPr>
            <w:r>
              <w:rPr>
                <w:rFonts w:hint="eastAsia" w:ascii="宋体" w:hAnsi="宋体" w:eastAsia="宋体" w:cs="宋体"/>
                <w:color w:val="000000"/>
                <w:sz w:val="22"/>
                <w:szCs w:val="22"/>
              </w:rPr>
              <w:t>文字描述</w:t>
            </w:r>
          </w:p>
        </w:tc>
        <w:tc>
          <w:tcPr>
            <w:tcW w:w="567" w:type="dxa"/>
            <w:shd w:val="clear" w:color="auto" w:fill="auto"/>
            <w:tcMar>
              <w:top w:w="15" w:type="dxa"/>
              <w:left w:w="15" w:type="dxa"/>
              <w:bottom w:w="0" w:type="dxa"/>
              <w:right w:w="15" w:type="dxa"/>
            </w:tcMar>
            <w:vAlign w:val="center"/>
          </w:tcPr>
          <w:p>
            <w:pPr>
              <w:rPr>
                <w:color w:val="000000"/>
                <w:sz w:val="22"/>
                <w:szCs w:val="22"/>
              </w:rPr>
            </w:pPr>
          </w:p>
        </w:tc>
        <w:tc>
          <w:tcPr>
            <w:tcW w:w="709"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推广</w:t>
            </w:r>
          </w:p>
        </w:tc>
        <w:tc>
          <w:tcPr>
            <w:tcW w:w="1348" w:type="dxa"/>
            <w:shd w:val="clear" w:color="auto" w:fill="auto"/>
            <w:tcMar>
              <w:top w:w="15" w:type="dxa"/>
              <w:left w:w="15" w:type="dxa"/>
              <w:bottom w:w="0" w:type="dxa"/>
              <w:right w:w="15" w:type="dxa"/>
            </w:tcMar>
            <w:vAlign w:val="center"/>
          </w:tcPr>
          <w:p>
            <w:pPr>
              <w:jc w:val="center"/>
              <w:rPr>
                <w:color w:val="000000"/>
              </w:rPr>
            </w:pPr>
            <w:r>
              <w:rPr>
                <w:rFonts w:hint="eastAsia" w:ascii="宋体" w:hAnsi="宋体" w:eastAsia="宋体" w:cs="宋体"/>
                <w:color w:val="000000"/>
              </w:rPr>
              <w:t>政策文件</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86"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经济</w:t>
            </w:r>
          </w:p>
          <w:p>
            <w:pPr>
              <w:jc w:val="center"/>
              <w:rPr>
                <w:rFonts w:ascii="方正书宋_GBK" w:eastAsia="方正书宋_GBK"/>
                <w:color w:val="000000"/>
              </w:rPr>
            </w:pPr>
            <w:r>
              <w:rPr>
                <w:rFonts w:hint="eastAsia" w:ascii="方正书宋_GBK" w:eastAsia="方正书宋_GBK"/>
                <w:color w:val="000000"/>
              </w:rPr>
              <w:t>效益</w:t>
            </w:r>
          </w:p>
        </w:tc>
        <w:tc>
          <w:tcPr>
            <w:tcW w:w="2268" w:type="dxa"/>
            <w:shd w:val="clear" w:color="auto" w:fill="auto"/>
            <w:tcMar>
              <w:top w:w="15" w:type="dxa"/>
              <w:left w:w="15" w:type="dxa"/>
              <w:bottom w:w="0" w:type="dxa"/>
              <w:right w:w="15" w:type="dxa"/>
            </w:tcMar>
            <w:vAlign w:val="center"/>
          </w:tcPr>
          <w:p>
            <w:pPr>
              <w:rPr>
                <w:rFonts w:eastAsia="宋体"/>
                <w:color w:val="000000"/>
              </w:rPr>
            </w:pPr>
            <w:r>
              <w:rPr>
                <w:rFonts w:hint="eastAsia" w:ascii="宋体" w:hAnsi="宋体" w:eastAsia="宋体" w:cs="宋体"/>
                <w:color w:val="000000"/>
              </w:rPr>
              <w:t>推动企业健康发展</w:t>
            </w:r>
          </w:p>
        </w:tc>
        <w:tc>
          <w:tcPr>
            <w:tcW w:w="5953" w:type="dxa"/>
            <w:shd w:val="clear" w:color="auto" w:fill="auto"/>
            <w:tcMar>
              <w:top w:w="15" w:type="dxa"/>
              <w:left w:w="15" w:type="dxa"/>
              <w:bottom w:w="0" w:type="dxa"/>
              <w:right w:w="15" w:type="dxa"/>
            </w:tcMar>
            <w:vAlign w:val="center"/>
          </w:tcPr>
          <w:p>
            <w:pPr>
              <w:jc w:val="both"/>
              <w:rPr>
                <w:rFonts w:ascii="微软雅黑" w:hAnsi="微软雅黑" w:eastAsia="微软雅黑" w:cs="宋体"/>
                <w:color w:val="000000"/>
                <w:sz w:val="20"/>
                <w:szCs w:val="20"/>
              </w:rPr>
            </w:pPr>
            <w:r>
              <w:rPr>
                <w:rFonts w:hint="eastAsia" w:ascii="微软雅黑" w:hAnsi="微软雅黑" w:eastAsia="微软雅黑"/>
                <w:color w:val="000000"/>
                <w:sz w:val="20"/>
                <w:szCs w:val="20"/>
              </w:rPr>
              <w:t>完成指标值，满分； 完成指标设定值 80%， 得分 80%，完成指标设 定值 60%，得分 60%， 完成指标设定值 60%以 下，不得分。</w:t>
            </w:r>
          </w:p>
        </w:tc>
        <w:tc>
          <w:tcPr>
            <w:tcW w:w="1560" w:type="dxa"/>
            <w:shd w:val="clear" w:color="auto" w:fill="auto"/>
            <w:tcMar>
              <w:top w:w="15" w:type="dxa"/>
              <w:left w:w="15" w:type="dxa"/>
              <w:bottom w:w="0" w:type="dxa"/>
              <w:right w:w="15" w:type="dxa"/>
            </w:tcMar>
            <w:vAlign w:val="center"/>
          </w:tcPr>
          <w:p>
            <w:pPr>
              <w:rPr>
                <w:rFonts w:eastAsia="宋体"/>
                <w:color w:val="000000"/>
              </w:rPr>
            </w:pPr>
            <w:r>
              <w:rPr>
                <w:rFonts w:hint="eastAsia" w:ascii="宋体" w:hAnsi="宋体" w:eastAsia="宋体" w:cs="宋体"/>
                <w:color w:val="000000"/>
              </w:rPr>
              <w:t>推动企业健康发展</w:t>
            </w:r>
          </w:p>
        </w:tc>
        <w:tc>
          <w:tcPr>
            <w:tcW w:w="992" w:type="dxa"/>
            <w:shd w:val="clear" w:color="auto" w:fill="auto"/>
            <w:tcMar>
              <w:top w:w="15" w:type="dxa"/>
              <w:left w:w="15" w:type="dxa"/>
              <w:bottom w:w="0" w:type="dxa"/>
              <w:right w:w="15" w:type="dxa"/>
            </w:tcMar>
            <w:vAlign w:val="center"/>
          </w:tcPr>
          <w:p>
            <w:pPr>
              <w:rPr>
                <w:rFonts w:ascii="宋体" w:hAnsi="宋体" w:cs="宋体"/>
                <w:color w:val="000000"/>
                <w:sz w:val="22"/>
                <w:szCs w:val="22"/>
              </w:rPr>
            </w:pPr>
            <w:r>
              <w:rPr>
                <w:rFonts w:hint="eastAsia" w:ascii="宋体" w:hAnsi="宋体" w:eastAsia="宋体" w:cs="宋体"/>
                <w:color w:val="000000"/>
                <w:sz w:val="22"/>
                <w:szCs w:val="22"/>
              </w:rPr>
              <w:t>文字描述</w:t>
            </w:r>
          </w:p>
        </w:tc>
        <w:tc>
          <w:tcPr>
            <w:tcW w:w="567" w:type="dxa"/>
            <w:shd w:val="clear" w:color="auto" w:fill="auto"/>
            <w:tcMar>
              <w:top w:w="15" w:type="dxa"/>
              <w:left w:w="15" w:type="dxa"/>
              <w:bottom w:w="0" w:type="dxa"/>
              <w:right w:w="15" w:type="dxa"/>
            </w:tcMar>
            <w:vAlign w:val="center"/>
          </w:tcPr>
          <w:p>
            <w:pPr>
              <w:rPr>
                <w:color w:val="000000"/>
                <w:sz w:val="22"/>
                <w:szCs w:val="22"/>
              </w:rPr>
            </w:pPr>
          </w:p>
        </w:tc>
        <w:tc>
          <w:tcPr>
            <w:tcW w:w="709" w:type="dxa"/>
            <w:shd w:val="clear" w:color="auto" w:fill="auto"/>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推动</w:t>
            </w:r>
          </w:p>
        </w:tc>
        <w:tc>
          <w:tcPr>
            <w:tcW w:w="1348" w:type="dxa"/>
            <w:shd w:val="clear" w:color="auto" w:fill="auto"/>
            <w:tcMar>
              <w:top w:w="15" w:type="dxa"/>
              <w:left w:w="15" w:type="dxa"/>
              <w:bottom w:w="0" w:type="dxa"/>
              <w:right w:w="15" w:type="dxa"/>
            </w:tcMar>
            <w:vAlign w:val="center"/>
          </w:tcPr>
          <w:p>
            <w:pPr>
              <w:jc w:val="center"/>
              <w:rPr>
                <w:color w:val="000000"/>
              </w:rPr>
            </w:pPr>
            <w:r>
              <w:rPr>
                <w:rFonts w:hint="eastAsia" w:ascii="宋体" w:hAnsi="宋体" w:eastAsia="宋体" w:cs="宋体"/>
                <w:color w:val="000000"/>
              </w:rPr>
              <w:t>政策文件</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69"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可持续</w:t>
            </w:r>
          </w:p>
          <w:p>
            <w:pPr>
              <w:jc w:val="center"/>
              <w:rPr>
                <w:rFonts w:ascii="方正书宋_GBK" w:eastAsia="方正书宋_GBK"/>
                <w:color w:val="000000"/>
              </w:rPr>
            </w:pPr>
            <w:r>
              <w:rPr>
                <w:rFonts w:hint="eastAsia" w:ascii="方正书宋_GBK" w:eastAsia="方正书宋_GBK"/>
                <w:color w:val="000000"/>
              </w:rPr>
              <w:t>影响</w:t>
            </w:r>
          </w:p>
        </w:tc>
        <w:tc>
          <w:tcPr>
            <w:tcW w:w="2268" w:type="dxa"/>
            <w:shd w:val="clear" w:color="auto" w:fill="auto"/>
            <w:tcMar>
              <w:top w:w="15" w:type="dxa"/>
              <w:left w:w="15" w:type="dxa"/>
              <w:bottom w:w="0" w:type="dxa"/>
              <w:right w:w="15" w:type="dxa"/>
            </w:tcMar>
            <w:vAlign w:val="center"/>
          </w:tcPr>
          <w:p>
            <w:pPr>
              <w:rPr>
                <w:rFonts w:eastAsia="宋体"/>
                <w:color w:val="000000"/>
              </w:rPr>
            </w:pPr>
            <w:r>
              <w:rPr>
                <w:rFonts w:hint="eastAsia" w:ascii="宋体" w:hAnsi="宋体" w:eastAsia="宋体" w:cs="宋体"/>
                <w:color w:val="000000"/>
              </w:rPr>
              <w:t>优化科技创新和科学普及新环境</w:t>
            </w:r>
          </w:p>
        </w:tc>
        <w:tc>
          <w:tcPr>
            <w:tcW w:w="5953" w:type="dxa"/>
            <w:shd w:val="clear" w:color="auto" w:fill="auto"/>
            <w:tcMar>
              <w:top w:w="15" w:type="dxa"/>
              <w:left w:w="15" w:type="dxa"/>
              <w:bottom w:w="0" w:type="dxa"/>
              <w:right w:w="15" w:type="dxa"/>
            </w:tcMar>
            <w:vAlign w:val="center"/>
          </w:tcPr>
          <w:p>
            <w:pPr>
              <w:jc w:val="both"/>
              <w:rPr>
                <w:rFonts w:ascii="微软雅黑" w:hAnsi="微软雅黑" w:eastAsia="微软雅黑" w:cs="宋体"/>
                <w:color w:val="000000"/>
                <w:sz w:val="20"/>
                <w:szCs w:val="20"/>
              </w:rPr>
            </w:pPr>
            <w:r>
              <w:rPr>
                <w:rFonts w:hint="eastAsia" w:ascii="微软雅黑" w:hAnsi="微软雅黑" w:eastAsia="微软雅黑"/>
                <w:color w:val="000000"/>
                <w:sz w:val="20"/>
                <w:szCs w:val="20"/>
              </w:rPr>
              <w:t>完成指标值，满分； 完成指标设定值 80%， 得分 80%，完成指标设 定值 60%，得分 60%， 完成指标设定值 60%以 下，不得分。</w:t>
            </w:r>
          </w:p>
        </w:tc>
        <w:tc>
          <w:tcPr>
            <w:tcW w:w="1560" w:type="dxa"/>
            <w:shd w:val="clear" w:color="auto" w:fill="auto"/>
            <w:tcMar>
              <w:top w:w="15" w:type="dxa"/>
              <w:left w:w="15" w:type="dxa"/>
              <w:bottom w:w="0" w:type="dxa"/>
              <w:right w:w="15" w:type="dxa"/>
            </w:tcMar>
            <w:vAlign w:val="center"/>
          </w:tcPr>
          <w:p>
            <w:pPr>
              <w:rPr>
                <w:rFonts w:eastAsia="宋体"/>
                <w:color w:val="000000"/>
              </w:rPr>
            </w:pPr>
            <w:r>
              <w:rPr>
                <w:rFonts w:hint="eastAsia" w:ascii="宋体" w:hAnsi="宋体" w:eastAsia="宋体" w:cs="宋体"/>
                <w:color w:val="000000"/>
              </w:rPr>
              <w:t>优化科技创新和科学普及新环境</w:t>
            </w:r>
          </w:p>
        </w:tc>
        <w:tc>
          <w:tcPr>
            <w:tcW w:w="992" w:type="dxa"/>
            <w:shd w:val="clear" w:color="auto" w:fill="auto"/>
            <w:tcMar>
              <w:top w:w="15" w:type="dxa"/>
              <w:left w:w="15" w:type="dxa"/>
              <w:bottom w:w="0" w:type="dxa"/>
              <w:right w:w="15" w:type="dxa"/>
            </w:tcMar>
            <w:vAlign w:val="center"/>
          </w:tcPr>
          <w:p>
            <w:pPr>
              <w:jc w:val="center"/>
              <w:rPr>
                <w:rFonts w:ascii="宋体" w:hAnsi="宋体" w:cs="宋体"/>
                <w:color w:val="000000"/>
                <w:sz w:val="22"/>
                <w:szCs w:val="22"/>
              </w:rPr>
            </w:pPr>
            <w:r>
              <w:rPr>
                <w:rFonts w:hint="eastAsia" w:ascii="宋体" w:hAnsi="宋体" w:eastAsia="宋体" w:cs="宋体"/>
                <w:color w:val="000000"/>
                <w:sz w:val="22"/>
                <w:szCs w:val="22"/>
              </w:rPr>
              <w:t>文字描述</w:t>
            </w:r>
          </w:p>
        </w:tc>
        <w:tc>
          <w:tcPr>
            <w:tcW w:w="567" w:type="dxa"/>
            <w:shd w:val="clear" w:color="auto" w:fill="auto"/>
            <w:tcMar>
              <w:top w:w="15" w:type="dxa"/>
              <w:left w:w="15" w:type="dxa"/>
              <w:bottom w:w="0" w:type="dxa"/>
              <w:right w:w="15" w:type="dxa"/>
            </w:tcMar>
            <w:vAlign w:val="center"/>
          </w:tcPr>
          <w:p>
            <w:pPr>
              <w:jc w:val="center"/>
              <w:rPr>
                <w:color w:val="000000"/>
                <w:sz w:val="22"/>
                <w:szCs w:val="22"/>
              </w:rPr>
            </w:pPr>
          </w:p>
        </w:tc>
        <w:tc>
          <w:tcPr>
            <w:tcW w:w="709" w:type="dxa"/>
            <w:shd w:val="clear" w:color="auto" w:fill="auto"/>
            <w:tcMar>
              <w:top w:w="15" w:type="dxa"/>
              <w:left w:w="15" w:type="dxa"/>
              <w:bottom w:w="0" w:type="dxa"/>
              <w:right w:w="15" w:type="dxa"/>
            </w:tcMar>
            <w:vAlign w:val="center"/>
          </w:tcPr>
          <w:p>
            <w:pPr>
              <w:jc w:val="center"/>
              <w:rPr>
                <w:rFonts w:eastAsia="宋体"/>
                <w:color w:val="000000"/>
                <w:sz w:val="22"/>
                <w:szCs w:val="22"/>
              </w:rPr>
            </w:pPr>
            <w:r>
              <w:rPr>
                <w:rFonts w:hint="eastAsia" w:ascii="宋体" w:hAnsi="宋体" w:eastAsia="宋体" w:cs="宋体"/>
                <w:color w:val="000000"/>
                <w:sz w:val="22"/>
                <w:szCs w:val="22"/>
              </w:rPr>
              <w:t>优化</w:t>
            </w:r>
          </w:p>
        </w:tc>
        <w:tc>
          <w:tcPr>
            <w:tcW w:w="1348" w:type="dxa"/>
            <w:shd w:val="clear" w:color="auto" w:fill="auto"/>
            <w:tcMar>
              <w:top w:w="15" w:type="dxa"/>
              <w:left w:w="15" w:type="dxa"/>
              <w:bottom w:w="0" w:type="dxa"/>
              <w:right w:w="15" w:type="dxa"/>
            </w:tcMar>
            <w:vAlign w:val="center"/>
          </w:tcPr>
          <w:p>
            <w:pPr>
              <w:jc w:val="center"/>
              <w:rPr>
                <w:color w:val="000000"/>
              </w:rPr>
            </w:pPr>
            <w:r>
              <w:rPr>
                <w:rFonts w:hint="eastAsia" w:ascii="宋体" w:hAnsi="宋体" w:eastAsia="宋体" w:cs="宋体"/>
                <w:color w:val="000000"/>
              </w:rPr>
              <w:t>政策文件</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满意度</w:t>
            </w:r>
          </w:p>
        </w:tc>
        <w:tc>
          <w:tcPr>
            <w:tcW w:w="2268" w:type="dxa"/>
            <w:vMerge w:val="restart"/>
            <w:shd w:val="clear" w:color="auto" w:fill="auto"/>
            <w:noWrap/>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企业满意度</w:t>
            </w:r>
          </w:p>
        </w:tc>
        <w:tc>
          <w:tcPr>
            <w:tcW w:w="5953" w:type="dxa"/>
            <w:vMerge w:val="restart"/>
            <w:shd w:val="clear" w:color="auto" w:fill="auto"/>
            <w:noWrap/>
            <w:tcMar>
              <w:top w:w="15" w:type="dxa"/>
              <w:left w:w="15" w:type="dxa"/>
              <w:bottom w:w="0" w:type="dxa"/>
              <w:right w:w="15" w:type="dxa"/>
            </w:tcMar>
            <w:vAlign w:val="center"/>
          </w:tcPr>
          <w:p>
            <w:pPr>
              <w:jc w:val="both"/>
              <w:rPr>
                <w:rFonts w:ascii="微软雅黑" w:hAnsi="微软雅黑" w:eastAsia="微软雅黑" w:cs="宋体"/>
                <w:color w:val="000000"/>
                <w:sz w:val="20"/>
                <w:szCs w:val="20"/>
              </w:rPr>
            </w:pPr>
            <w:r>
              <w:rPr>
                <w:rFonts w:hint="eastAsia" w:ascii="微软雅黑" w:hAnsi="微软雅黑" w:eastAsia="微软雅黑"/>
                <w:color w:val="000000"/>
                <w:sz w:val="20"/>
                <w:szCs w:val="20"/>
              </w:rPr>
              <w:t>完成指标值，满分； 完成指标设定值 80%， 得分 80%，完成指标设 定值 60%，得分 60%， 完成指标设定值 60%以 下，不得分。</w:t>
            </w:r>
          </w:p>
        </w:tc>
        <w:tc>
          <w:tcPr>
            <w:tcW w:w="1560" w:type="dxa"/>
            <w:vMerge w:val="restart"/>
            <w:shd w:val="clear" w:color="auto" w:fill="auto"/>
            <w:noWrap/>
            <w:tcMar>
              <w:top w:w="15" w:type="dxa"/>
              <w:left w:w="15" w:type="dxa"/>
              <w:bottom w:w="0" w:type="dxa"/>
              <w:right w:w="15" w:type="dxa"/>
            </w:tcMar>
            <w:vAlign w:val="center"/>
          </w:tcPr>
          <w:p>
            <w:pPr>
              <w:rPr>
                <w:rFonts w:eastAsia="宋体"/>
                <w:color w:val="000000"/>
                <w:sz w:val="22"/>
                <w:szCs w:val="22"/>
              </w:rPr>
            </w:pPr>
            <w:r>
              <w:rPr>
                <w:rFonts w:hint="eastAsia" w:ascii="宋体" w:hAnsi="宋体" w:eastAsia="宋体" w:cs="宋体"/>
                <w:color w:val="000000"/>
                <w:sz w:val="22"/>
                <w:szCs w:val="22"/>
              </w:rPr>
              <w:t>企业满意度</w:t>
            </w:r>
          </w:p>
        </w:tc>
        <w:tc>
          <w:tcPr>
            <w:tcW w:w="992" w:type="dxa"/>
            <w:vMerge w:val="restart"/>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567" w:type="dxa"/>
            <w:vMerge w:val="restart"/>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95</w:t>
            </w:r>
          </w:p>
        </w:tc>
        <w:tc>
          <w:tcPr>
            <w:tcW w:w="709" w:type="dxa"/>
            <w:vMerge w:val="restart"/>
            <w:shd w:val="clear" w:color="auto" w:fill="auto"/>
            <w:tcMar>
              <w:top w:w="15" w:type="dxa"/>
              <w:left w:w="15" w:type="dxa"/>
              <w:bottom w:w="0" w:type="dxa"/>
              <w:right w:w="15" w:type="dxa"/>
            </w:tcMar>
            <w:vAlign w:val="center"/>
          </w:tcPr>
          <w:p>
            <w:pPr>
              <w:jc w:val="center"/>
              <w:rPr>
                <w:color w:val="000000"/>
                <w:sz w:val="22"/>
                <w:szCs w:val="22"/>
              </w:rPr>
            </w:pPr>
            <w:r>
              <w:rPr>
                <w:color w:val="000000"/>
                <w:sz w:val="22"/>
                <w:szCs w:val="22"/>
              </w:rPr>
              <w:t>%</w:t>
            </w:r>
          </w:p>
        </w:tc>
        <w:tc>
          <w:tcPr>
            <w:tcW w:w="1348" w:type="dxa"/>
            <w:vMerge w:val="restart"/>
            <w:shd w:val="clear" w:color="auto" w:fill="auto"/>
            <w:tcMar>
              <w:top w:w="15" w:type="dxa"/>
              <w:left w:w="15" w:type="dxa"/>
              <w:bottom w:w="0" w:type="dxa"/>
              <w:right w:w="15" w:type="dxa"/>
            </w:tcMar>
            <w:vAlign w:val="center"/>
          </w:tcPr>
          <w:p>
            <w:pPr>
              <w:jc w:val="center"/>
              <w:rPr>
                <w:color w:val="000000"/>
                <w:sz w:val="22"/>
                <w:szCs w:val="22"/>
              </w:rPr>
            </w:pPr>
            <w:r>
              <w:rPr>
                <w:rFonts w:hint="eastAsia" w:ascii="宋体" w:hAnsi="宋体" w:eastAsia="宋体" w:cs="宋体"/>
                <w:color w:val="000000"/>
                <w:sz w:val="22"/>
                <w:szCs w:val="22"/>
              </w:rPr>
              <w:t>调查问卷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709" w:type="dxa"/>
            <w:vMerge w:val="continue"/>
            <w:shd w:val="clear" w:color="auto" w:fill="auto"/>
            <w:vAlign w:val="center"/>
          </w:tcPr>
          <w:p>
            <w:pPr>
              <w:rPr>
                <w:rFonts w:ascii="方正书宋_GBK" w:hAnsi="宋体" w:eastAsia="方正书宋_GBK" w:cs="宋体"/>
                <w:color w:val="000000"/>
              </w:rPr>
            </w:pPr>
          </w:p>
        </w:tc>
        <w:tc>
          <w:tcPr>
            <w:tcW w:w="2268" w:type="dxa"/>
            <w:vMerge w:val="continue"/>
            <w:shd w:val="clear" w:color="auto" w:fill="auto"/>
            <w:vAlign w:val="center"/>
          </w:tcPr>
          <w:p>
            <w:pPr>
              <w:rPr>
                <w:rFonts w:eastAsia="宋体"/>
                <w:color w:val="000000"/>
                <w:sz w:val="22"/>
                <w:szCs w:val="22"/>
              </w:rPr>
            </w:pPr>
          </w:p>
        </w:tc>
        <w:tc>
          <w:tcPr>
            <w:tcW w:w="5953" w:type="dxa"/>
            <w:vMerge w:val="continue"/>
            <w:shd w:val="clear" w:color="auto" w:fill="auto"/>
            <w:vAlign w:val="center"/>
          </w:tcPr>
          <w:p>
            <w:pPr>
              <w:rPr>
                <w:rFonts w:ascii="微软雅黑" w:hAnsi="微软雅黑" w:eastAsia="微软雅黑" w:cs="宋体"/>
                <w:color w:val="000000"/>
                <w:sz w:val="20"/>
                <w:szCs w:val="20"/>
              </w:rPr>
            </w:pPr>
          </w:p>
        </w:tc>
        <w:tc>
          <w:tcPr>
            <w:tcW w:w="1560" w:type="dxa"/>
            <w:vMerge w:val="continue"/>
            <w:shd w:val="clear" w:color="auto" w:fill="auto"/>
            <w:vAlign w:val="center"/>
          </w:tcPr>
          <w:p>
            <w:pPr>
              <w:rPr>
                <w:rFonts w:eastAsia="宋体"/>
                <w:color w:val="000000"/>
                <w:sz w:val="22"/>
                <w:szCs w:val="22"/>
              </w:rPr>
            </w:pPr>
          </w:p>
        </w:tc>
        <w:tc>
          <w:tcPr>
            <w:tcW w:w="992" w:type="dxa"/>
            <w:vMerge w:val="continue"/>
            <w:shd w:val="clear" w:color="auto" w:fill="auto"/>
            <w:vAlign w:val="center"/>
          </w:tcPr>
          <w:p>
            <w:pPr>
              <w:rPr>
                <w:rFonts w:eastAsia="宋体"/>
                <w:color w:val="000000"/>
                <w:sz w:val="22"/>
                <w:szCs w:val="22"/>
              </w:rPr>
            </w:pPr>
          </w:p>
        </w:tc>
        <w:tc>
          <w:tcPr>
            <w:tcW w:w="567" w:type="dxa"/>
            <w:vMerge w:val="continue"/>
            <w:shd w:val="clear" w:color="auto" w:fill="auto"/>
            <w:vAlign w:val="center"/>
          </w:tcPr>
          <w:p>
            <w:pPr>
              <w:rPr>
                <w:rFonts w:eastAsia="宋体"/>
                <w:color w:val="000000"/>
                <w:sz w:val="22"/>
                <w:szCs w:val="22"/>
              </w:rPr>
            </w:pPr>
          </w:p>
        </w:tc>
        <w:tc>
          <w:tcPr>
            <w:tcW w:w="709" w:type="dxa"/>
            <w:vMerge w:val="continue"/>
            <w:shd w:val="clear" w:color="auto" w:fill="auto"/>
            <w:vAlign w:val="center"/>
          </w:tcPr>
          <w:p>
            <w:pPr>
              <w:rPr>
                <w:rFonts w:eastAsia="宋体"/>
                <w:color w:val="000000"/>
                <w:sz w:val="22"/>
                <w:szCs w:val="22"/>
              </w:rPr>
            </w:pPr>
          </w:p>
        </w:tc>
        <w:tc>
          <w:tcPr>
            <w:tcW w:w="1348" w:type="dxa"/>
            <w:vMerge w:val="continue"/>
            <w:shd w:val="clear" w:color="auto" w:fill="auto"/>
            <w:vAlign w:val="center"/>
          </w:tcPr>
          <w:p>
            <w:pPr>
              <w:rPr>
                <w:rFonts w:eastAsia="宋体"/>
                <w:color w:val="000000"/>
                <w:sz w:val="22"/>
                <w:szCs w:val="22"/>
              </w:rPr>
            </w:pPr>
          </w:p>
        </w:tc>
      </w:tr>
    </w:tbl>
    <w:p>
      <w:pPr>
        <w:ind w:firstLine="640"/>
        <w:rPr>
          <w:rFonts w:ascii="方正楷体_GBK" w:hAnsi="方正楷体_GBK" w:eastAsia="方正楷体_GBK" w:cs="方正楷体_GBK"/>
          <w:b/>
          <w:color w:val="000000"/>
          <w:sz w:val="32"/>
        </w:rPr>
      </w:pPr>
    </w:p>
    <w:p>
      <w:pPr>
        <w:ind w:firstLine="640"/>
        <w:rPr>
          <w:rFonts w:ascii="方正楷体_GBK" w:hAnsi="方正楷体_GBK" w:eastAsia="方正楷体_GBK" w:cs="方正楷体_GBK"/>
          <w:b/>
          <w:color w:val="000000"/>
          <w:sz w:val="32"/>
          <w:lang w:eastAsia="zh-CN"/>
        </w:rPr>
      </w:pPr>
      <w:r>
        <w:rPr>
          <w:rFonts w:ascii="方正楷体_GBK" w:hAnsi="方正楷体_GBK" w:eastAsia="方正楷体_GBK" w:cs="方正楷体_GBK"/>
          <w:b/>
          <w:color w:val="000000"/>
          <w:sz w:val="32"/>
        </w:rPr>
        <w:t>第二部分  预算项目绩效目标</w:t>
      </w:r>
    </w:p>
    <w:p>
      <w:pPr>
        <w:ind w:firstLine="640"/>
        <w:rPr>
          <w:rFonts w:ascii="方正楷体_GBK" w:hAnsi="方正楷体_GBK" w:eastAsia="方正楷体_GBK" w:cs="方正楷体_GBK"/>
          <w:b/>
          <w:color w:val="000000"/>
          <w:sz w:val="32"/>
          <w:lang w:eastAsia="zh-CN"/>
        </w:rPr>
      </w:pPr>
    </w:p>
    <w:p>
      <w:pPr>
        <w:ind w:firstLine="640"/>
      </w:pPr>
      <w:r>
        <w:rPr>
          <w:rFonts w:ascii="方正仿宋_GBK" w:hAnsi="方正仿宋_GBK" w:eastAsia="方正仿宋_GBK" w:cs="方正仿宋_GBK"/>
          <w:b/>
          <w:color w:val="000000"/>
          <w:sz w:val="28"/>
        </w:rPr>
        <w:t>1、支持市县科技创新和科学普及专项资金[省级]绩效目标表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1.推动技术合同认定工作的开展，严格按照文件要求执行预算</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企业认定数量</w:t>
            </w:r>
          </w:p>
        </w:tc>
        <w:tc>
          <w:tcPr>
            <w:tcW w:w="2835" w:type="dxa"/>
            <w:vAlign w:val="center"/>
          </w:tcPr>
          <w:p>
            <w:pPr>
              <w:pStyle w:val="17"/>
            </w:pPr>
            <w:r>
              <w:t>企业认定数量</w:t>
            </w:r>
          </w:p>
        </w:tc>
        <w:tc>
          <w:tcPr>
            <w:tcW w:w="2551" w:type="dxa"/>
            <w:vAlign w:val="center"/>
          </w:tcPr>
          <w:p>
            <w:pPr>
              <w:pStyle w:val="17"/>
            </w:pPr>
            <w:r>
              <w:t>1家</w:t>
            </w:r>
          </w:p>
        </w:tc>
        <w:tc>
          <w:tcPr>
            <w:tcW w:w="2268" w:type="dxa"/>
            <w:vAlign w:val="center"/>
          </w:tcPr>
          <w:p>
            <w:pPr>
              <w:pStyle w:val="17"/>
            </w:pPr>
            <w:r>
              <w:t>文件依据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科技管理业务工作保障率(%）</w:t>
            </w:r>
          </w:p>
        </w:tc>
        <w:tc>
          <w:tcPr>
            <w:tcW w:w="2835" w:type="dxa"/>
            <w:vAlign w:val="center"/>
          </w:tcPr>
          <w:p>
            <w:pPr>
              <w:pStyle w:val="17"/>
            </w:pPr>
            <w:r>
              <w:t>科技管理业务工作保障率(%）</w:t>
            </w:r>
          </w:p>
        </w:tc>
        <w:tc>
          <w:tcPr>
            <w:tcW w:w="2551" w:type="dxa"/>
            <w:vAlign w:val="center"/>
          </w:tcPr>
          <w:p>
            <w:pPr>
              <w:pStyle w:val="17"/>
            </w:pPr>
            <w:r>
              <w:t>≥95%</w:t>
            </w:r>
          </w:p>
        </w:tc>
        <w:tc>
          <w:tcPr>
            <w:tcW w:w="2268" w:type="dxa"/>
            <w:vAlign w:val="center"/>
          </w:tcPr>
          <w:p>
            <w:pPr>
              <w:pStyle w:val="17"/>
            </w:pPr>
            <w:r>
              <w:t>廊财教【2022】55号文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资金拨付及时性</w:t>
            </w:r>
          </w:p>
        </w:tc>
        <w:tc>
          <w:tcPr>
            <w:tcW w:w="2835" w:type="dxa"/>
            <w:vAlign w:val="center"/>
          </w:tcPr>
          <w:p>
            <w:pPr>
              <w:pStyle w:val="17"/>
            </w:pPr>
            <w:r>
              <w:t>资金拨付及时性</w:t>
            </w:r>
          </w:p>
        </w:tc>
        <w:tc>
          <w:tcPr>
            <w:tcW w:w="2551" w:type="dxa"/>
            <w:vAlign w:val="center"/>
          </w:tcPr>
          <w:p>
            <w:pPr>
              <w:pStyle w:val="17"/>
            </w:pPr>
            <w:r>
              <w:t>及时</w:t>
            </w:r>
          </w:p>
        </w:tc>
        <w:tc>
          <w:tcPr>
            <w:tcW w:w="2268" w:type="dxa"/>
            <w:vAlign w:val="center"/>
          </w:tcPr>
          <w:p>
            <w:pPr>
              <w:pStyle w:val="17"/>
            </w:pPr>
            <w:r>
              <w:t>做账凭证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预算执行率</w:t>
            </w:r>
          </w:p>
        </w:tc>
        <w:tc>
          <w:tcPr>
            <w:tcW w:w="2835" w:type="dxa"/>
            <w:vAlign w:val="center"/>
          </w:tcPr>
          <w:p>
            <w:pPr>
              <w:pStyle w:val="17"/>
            </w:pPr>
            <w:r>
              <w:t>预算执行率</w:t>
            </w:r>
          </w:p>
        </w:tc>
        <w:tc>
          <w:tcPr>
            <w:tcW w:w="2551" w:type="dxa"/>
            <w:vAlign w:val="center"/>
          </w:tcPr>
          <w:p>
            <w:pPr>
              <w:pStyle w:val="17"/>
            </w:pPr>
            <w:r>
              <w:t>100%</w:t>
            </w:r>
          </w:p>
        </w:tc>
        <w:tc>
          <w:tcPr>
            <w:tcW w:w="2268" w:type="dxa"/>
            <w:vAlign w:val="center"/>
          </w:tcPr>
          <w:p>
            <w:pPr>
              <w:pStyle w:val="17"/>
            </w:pPr>
            <w:r>
              <w:t>廊财教【2022】55号文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促进科技成果转化</w:t>
            </w:r>
          </w:p>
        </w:tc>
        <w:tc>
          <w:tcPr>
            <w:tcW w:w="2835" w:type="dxa"/>
            <w:vAlign w:val="center"/>
          </w:tcPr>
          <w:p>
            <w:pPr>
              <w:pStyle w:val="17"/>
            </w:pPr>
            <w:r>
              <w:t>促进科技成果转化</w:t>
            </w:r>
          </w:p>
        </w:tc>
        <w:tc>
          <w:tcPr>
            <w:tcW w:w="2551" w:type="dxa"/>
            <w:vAlign w:val="center"/>
          </w:tcPr>
          <w:p>
            <w:pPr>
              <w:pStyle w:val="17"/>
            </w:pPr>
            <w:r>
              <w:t>促进</w:t>
            </w:r>
          </w:p>
        </w:tc>
        <w:tc>
          <w:tcPr>
            <w:tcW w:w="2268" w:type="dxa"/>
            <w:vAlign w:val="center"/>
          </w:tcPr>
          <w:p>
            <w:pPr>
              <w:pStyle w:val="17"/>
            </w:pPr>
            <w:r>
              <w:t>文件标准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提供优质服务</w:t>
            </w:r>
          </w:p>
        </w:tc>
        <w:tc>
          <w:tcPr>
            <w:tcW w:w="2835" w:type="dxa"/>
            <w:vAlign w:val="center"/>
          </w:tcPr>
          <w:p>
            <w:pPr>
              <w:pStyle w:val="17"/>
            </w:pPr>
            <w:r>
              <w:t>提供优质服务</w:t>
            </w:r>
          </w:p>
        </w:tc>
        <w:tc>
          <w:tcPr>
            <w:tcW w:w="2551" w:type="dxa"/>
            <w:vAlign w:val="center"/>
          </w:tcPr>
          <w:p>
            <w:pPr>
              <w:pStyle w:val="17"/>
            </w:pPr>
            <w:r>
              <w:t>优化</w:t>
            </w:r>
          </w:p>
        </w:tc>
        <w:tc>
          <w:tcPr>
            <w:tcW w:w="2268" w:type="dxa"/>
            <w:vAlign w:val="center"/>
          </w:tcPr>
          <w:p>
            <w:pPr>
              <w:pStyle w:val="17"/>
            </w:pPr>
            <w:r>
              <w:t>文件标准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企业满意度</w:t>
            </w:r>
          </w:p>
        </w:tc>
        <w:tc>
          <w:tcPr>
            <w:tcW w:w="2835" w:type="dxa"/>
            <w:vAlign w:val="center"/>
          </w:tcPr>
          <w:p>
            <w:pPr>
              <w:pStyle w:val="17"/>
            </w:pPr>
            <w:r>
              <w:t>企业满意度</w:t>
            </w:r>
          </w:p>
        </w:tc>
        <w:tc>
          <w:tcPr>
            <w:tcW w:w="2551" w:type="dxa"/>
            <w:vAlign w:val="center"/>
          </w:tcPr>
          <w:p>
            <w:pPr>
              <w:pStyle w:val="17"/>
            </w:pPr>
            <w:r>
              <w:t>≥95%</w:t>
            </w:r>
          </w:p>
        </w:tc>
        <w:tc>
          <w:tcPr>
            <w:tcW w:w="2268" w:type="dxa"/>
            <w:vAlign w:val="center"/>
          </w:tcPr>
          <w:p>
            <w:pPr>
              <w:pStyle w:val="17"/>
            </w:pPr>
            <w:r>
              <w:t>问询结果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2、支持市县科技创新和科学普及专项资金[省级]绩效目标表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1.科技特派团‘一对一’服务‘小巨人’企业，企业提供精准服务</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特派团人员数量</w:t>
            </w:r>
          </w:p>
        </w:tc>
        <w:tc>
          <w:tcPr>
            <w:tcW w:w="2835" w:type="dxa"/>
            <w:vAlign w:val="center"/>
          </w:tcPr>
          <w:p>
            <w:pPr>
              <w:pStyle w:val="17"/>
            </w:pPr>
            <w:r>
              <w:t>特派团人员数量</w:t>
            </w:r>
          </w:p>
        </w:tc>
        <w:tc>
          <w:tcPr>
            <w:tcW w:w="2551" w:type="dxa"/>
            <w:vAlign w:val="center"/>
          </w:tcPr>
          <w:p>
            <w:pPr>
              <w:pStyle w:val="17"/>
            </w:pPr>
            <w:r>
              <w:t>8人</w:t>
            </w:r>
          </w:p>
        </w:tc>
        <w:tc>
          <w:tcPr>
            <w:tcW w:w="2268" w:type="dxa"/>
            <w:vAlign w:val="center"/>
          </w:tcPr>
          <w:p>
            <w:pPr>
              <w:pStyle w:val="17"/>
            </w:pPr>
            <w:r>
              <w:t>企业特派团基本情况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一对一精准服务</w:t>
            </w:r>
          </w:p>
        </w:tc>
        <w:tc>
          <w:tcPr>
            <w:tcW w:w="2835" w:type="dxa"/>
            <w:vAlign w:val="center"/>
          </w:tcPr>
          <w:p>
            <w:pPr>
              <w:pStyle w:val="17"/>
            </w:pPr>
            <w:r>
              <w:t>一对一精准服务</w:t>
            </w:r>
          </w:p>
        </w:tc>
        <w:tc>
          <w:tcPr>
            <w:tcW w:w="2551" w:type="dxa"/>
            <w:vAlign w:val="center"/>
          </w:tcPr>
          <w:p>
            <w:pPr>
              <w:pStyle w:val="17"/>
            </w:pPr>
            <w:r>
              <w:t>100%</w:t>
            </w:r>
          </w:p>
        </w:tc>
        <w:tc>
          <w:tcPr>
            <w:tcW w:w="2268" w:type="dxa"/>
            <w:vAlign w:val="center"/>
          </w:tcPr>
          <w:p>
            <w:pPr>
              <w:pStyle w:val="17"/>
            </w:pPr>
            <w:r>
              <w:t>任务书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资金拨付及时性</w:t>
            </w:r>
          </w:p>
        </w:tc>
        <w:tc>
          <w:tcPr>
            <w:tcW w:w="2835" w:type="dxa"/>
            <w:vAlign w:val="center"/>
          </w:tcPr>
          <w:p>
            <w:pPr>
              <w:pStyle w:val="17"/>
            </w:pPr>
            <w:r>
              <w:t>资金拨付及时性</w:t>
            </w:r>
          </w:p>
        </w:tc>
        <w:tc>
          <w:tcPr>
            <w:tcW w:w="2551" w:type="dxa"/>
            <w:vAlign w:val="center"/>
          </w:tcPr>
          <w:p>
            <w:pPr>
              <w:pStyle w:val="17"/>
            </w:pPr>
            <w:r>
              <w:t>2023年9月前完成</w:t>
            </w:r>
          </w:p>
        </w:tc>
        <w:tc>
          <w:tcPr>
            <w:tcW w:w="2268" w:type="dxa"/>
            <w:vAlign w:val="center"/>
          </w:tcPr>
          <w:p>
            <w:pPr>
              <w:pStyle w:val="17"/>
            </w:pPr>
            <w:r>
              <w:t>做账凭证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预算执行率</w:t>
            </w:r>
          </w:p>
        </w:tc>
        <w:tc>
          <w:tcPr>
            <w:tcW w:w="2835" w:type="dxa"/>
            <w:vAlign w:val="center"/>
          </w:tcPr>
          <w:p>
            <w:pPr>
              <w:pStyle w:val="17"/>
            </w:pPr>
            <w:r>
              <w:t>预算执行率</w:t>
            </w:r>
          </w:p>
        </w:tc>
        <w:tc>
          <w:tcPr>
            <w:tcW w:w="2551" w:type="dxa"/>
            <w:vAlign w:val="center"/>
          </w:tcPr>
          <w:p>
            <w:pPr>
              <w:pStyle w:val="17"/>
            </w:pPr>
            <w:r>
              <w:t>100%</w:t>
            </w:r>
          </w:p>
        </w:tc>
        <w:tc>
          <w:tcPr>
            <w:tcW w:w="2268" w:type="dxa"/>
            <w:vAlign w:val="center"/>
          </w:tcPr>
          <w:p>
            <w:pPr>
              <w:pStyle w:val="17"/>
            </w:pPr>
            <w:r>
              <w:t>廊财教[2022]55号文件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政策推广</w:t>
            </w:r>
          </w:p>
        </w:tc>
        <w:tc>
          <w:tcPr>
            <w:tcW w:w="2835" w:type="dxa"/>
            <w:vAlign w:val="center"/>
          </w:tcPr>
          <w:p>
            <w:pPr>
              <w:pStyle w:val="17"/>
            </w:pPr>
            <w:r>
              <w:t>政策推广</w:t>
            </w:r>
          </w:p>
        </w:tc>
        <w:tc>
          <w:tcPr>
            <w:tcW w:w="2551" w:type="dxa"/>
            <w:vAlign w:val="center"/>
          </w:tcPr>
          <w:p>
            <w:pPr>
              <w:pStyle w:val="17"/>
            </w:pPr>
            <w:r>
              <w:t>推广</w:t>
            </w:r>
          </w:p>
        </w:tc>
        <w:tc>
          <w:tcPr>
            <w:tcW w:w="2268" w:type="dxa"/>
            <w:vAlign w:val="center"/>
          </w:tcPr>
          <w:p>
            <w:pPr>
              <w:pStyle w:val="17"/>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推动企业健康发展</w:t>
            </w:r>
          </w:p>
        </w:tc>
        <w:tc>
          <w:tcPr>
            <w:tcW w:w="2835" w:type="dxa"/>
            <w:vAlign w:val="center"/>
          </w:tcPr>
          <w:p>
            <w:pPr>
              <w:pStyle w:val="17"/>
            </w:pPr>
            <w:r>
              <w:t>推动企业健康发展</w:t>
            </w:r>
          </w:p>
        </w:tc>
        <w:tc>
          <w:tcPr>
            <w:tcW w:w="2551" w:type="dxa"/>
            <w:vAlign w:val="center"/>
          </w:tcPr>
          <w:p>
            <w:pPr>
              <w:pStyle w:val="17"/>
            </w:pPr>
            <w:r>
              <w:t>推动</w:t>
            </w:r>
          </w:p>
        </w:tc>
        <w:tc>
          <w:tcPr>
            <w:tcW w:w="2268" w:type="dxa"/>
            <w:vAlign w:val="center"/>
          </w:tcPr>
          <w:p>
            <w:pPr>
              <w:pStyle w:val="17"/>
            </w:pPr>
            <w:r>
              <w:t>政策文件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优化科技创新和科学普及新环境</w:t>
            </w:r>
          </w:p>
        </w:tc>
        <w:tc>
          <w:tcPr>
            <w:tcW w:w="2835" w:type="dxa"/>
            <w:vAlign w:val="center"/>
          </w:tcPr>
          <w:p>
            <w:pPr>
              <w:pStyle w:val="17"/>
            </w:pPr>
            <w:r>
              <w:t>优化科技创新和科学普及新环境</w:t>
            </w:r>
          </w:p>
        </w:tc>
        <w:tc>
          <w:tcPr>
            <w:tcW w:w="2551" w:type="dxa"/>
            <w:vAlign w:val="center"/>
          </w:tcPr>
          <w:p>
            <w:pPr>
              <w:pStyle w:val="17"/>
            </w:pPr>
            <w:r>
              <w:t>优化</w:t>
            </w:r>
          </w:p>
        </w:tc>
        <w:tc>
          <w:tcPr>
            <w:tcW w:w="2268" w:type="dxa"/>
            <w:vAlign w:val="center"/>
          </w:tcPr>
          <w:p>
            <w:pPr>
              <w:pStyle w:val="17"/>
            </w:pPr>
            <w:r>
              <w:t>政策文件</w:t>
            </w:r>
          </w:p>
        </w:tc>
      </w:tr>
    </w:tbl>
    <w:p>
      <w:pPr>
        <w:sectPr>
          <w:pgSz w:w="16840" w:h="11900" w:orient="landscape"/>
          <w:pgMar w:top="1361" w:right="1020" w:bottom="1134" w:left="1020" w:header="720" w:footer="720" w:gutter="0"/>
          <w:cols w:space="720" w:num="1"/>
        </w:sectPr>
      </w:pPr>
    </w:p>
    <w:p>
      <w:pPr>
        <w:spacing w:before="10" w:after="10"/>
        <w:ind w:firstLine="640"/>
        <w:outlineLvl w:val="5"/>
      </w:pPr>
      <w:bookmarkStart w:id="15" w:name="tz_0002_0006"/>
      <w:bookmarkEnd w:id="15"/>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2023年，廊坊市广阳区科学技术局本级安排政府采购预算0.00万元。具体内容见下表。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1512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850"/>
        <w:gridCol w:w="780"/>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6449" w:type="dxa"/>
            <w:gridSpan w:val="7"/>
            <w:tcBorders>
              <w:top w:val="single" w:color="FFFFFF" w:sz="6" w:space="0"/>
              <w:left w:val="single" w:color="FFFFFF" w:sz="6" w:space="0"/>
              <w:right w:val="single" w:color="FFFFFF" w:sz="6" w:space="0"/>
            </w:tcBorders>
            <w:vAlign w:val="center"/>
          </w:tcPr>
          <w:p>
            <w:pPr>
              <w:pStyle w:val="14"/>
            </w:pPr>
            <w:r>
              <w:t>481001廊坊市广阳区科学技术局本级</w:t>
            </w:r>
          </w:p>
        </w:tc>
        <w:tc>
          <w:tcPr>
            <w:tcW w:w="8676"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126" w:type="dxa"/>
            <w:gridSpan w:val="2"/>
            <w:vAlign w:val="center"/>
          </w:tcPr>
          <w:p>
            <w:pPr>
              <w:pStyle w:val="15"/>
            </w:pPr>
            <w:r>
              <w:t>政府采购项目来源</w:t>
            </w:r>
          </w:p>
        </w:tc>
        <w:tc>
          <w:tcPr>
            <w:tcW w:w="780"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2"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276" w:type="dxa"/>
            <w:vAlign w:val="center"/>
          </w:tcPr>
          <w:p>
            <w:pPr>
              <w:pStyle w:val="15"/>
            </w:pPr>
            <w:r>
              <w:t>项目名称</w:t>
            </w:r>
          </w:p>
        </w:tc>
        <w:tc>
          <w:tcPr>
            <w:tcW w:w="850" w:type="dxa"/>
            <w:vAlign w:val="center"/>
          </w:tcPr>
          <w:p>
            <w:pPr>
              <w:pStyle w:val="15"/>
            </w:pPr>
            <w:r>
              <w:t>预算    资金</w:t>
            </w:r>
          </w:p>
        </w:tc>
        <w:tc>
          <w:tcPr>
            <w:tcW w:w="780"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276" w:type="dxa"/>
            <w:vAlign w:val="center"/>
          </w:tcPr>
          <w:p>
            <w:pPr>
              <w:pStyle w:val="17"/>
            </w:pPr>
          </w:p>
        </w:tc>
        <w:tc>
          <w:tcPr>
            <w:tcW w:w="850" w:type="dxa"/>
            <w:vAlign w:val="center"/>
          </w:tcPr>
          <w:p>
            <w:pPr>
              <w:pStyle w:val="16"/>
            </w:pPr>
          </w:p>
        </w:tc>
        <w:tc>
          <w:tcPr>
            <w:tcW w:w="780"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5"/>
      </w:pPr>
      <w:bookmarkStart w:id="16" w:name="tz_0002_0007"/>
      <w:bookmarkEnd w:id="16"/>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廊坊市广阳区科学技术局本级上年末固定资产金额为942800.00万元（详见下表）。本年度拟购置固定资产总额为0.00万元，已按要求列入政府采购预算，详见政府采购预算表。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481001廊坊市广阳区科学技术局本级</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942800.00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r>
              <w:t>1320</w:t>
            </w:r>
          </w:p>
        </w:tc>
        <w:tc>
          <w:tcPr>
            <w:tcW w:w="2835" w:type="dxa"/>
            <w:vAlign w:val="center"/>
          </w:tcPr>
          <w:p>
            <w:pPr>
              <w:pStyle w:val="16"/>
            </w:pPr>
            <w:r>
              <w:t>750000.00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r>
              <w:t>1</w:t>
            </w:r>
          </w:p>
        </w:tc>
        <w:tc>
          <w:tcPr>
            <w:tcW w:w="2835" w:type="dxa"/>
            <w:vAlign w:val="center"/>
          </w:tcPr>
          <w:p>
            <w:pPr>
              <w:pStyle w:val="16"/>
            </w:pPr>
            <w:r>
              <w:t>192800.00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p>
        </w:tc>
        <w:tc>
          <w:tcPr>
            <w:tcW w:w="2835" w:type="dxa"/>
            <w:vAlign w:val="center"/>
          </w:tcPr>
          <w:p>
            <w:pPr>
              <w:pStyle w:val="16"/>
            </w:pPr>
          </w:p>
        </w:tc>
      </w:tr>
    </w:tbl>
    <w:p>
      <w:pPr>
        <w:ind w:firstLine="640"/>
      </w:pPr>
    </w:p>
    <w:p>
      <w:pPr>
        <w:spacing w:before="10" w:after="10"/>
        <w:ind w:firstLine="640"/>
        <w:outlineLvl w:val="5"/>
      </w:pPr>
      <w:bookmarkStart w:id="17" w:name="tz_0002_0008"/>
      <w:bookmarkEnd w:id="17"/>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指省级财政当年拨付的资金。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bookmarkStart w:id="18" w:name="tz_0002_0009"/>
      <w:bookmarkEnd w:id="18"/>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jAyZGRkNDdjMmMxYWE0NTgzMjkzMTYyYjkzYmY5MzIifQ=="/>
  </w:docVars>
  <w:rsids>
    <w:rsidRoot w:val="00F3134C"/>
    <w:rsid w:val="00121E3A"/>
    <w:rsid w:val="00976B99"/>
    <w:rsid w:val="00DF6E8F"/>
    <w:rsid w:val="00F3134C"/>
    <w:rsid w:val="42B64DBB"/>
    <w:rsid w:val="76001D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semiHidden/>
    <w:unhideWhenUsed/>
    <w:uiPriority w:val="99"/>
    <w:pPr>
      <w:tabs>
        <w:tab w:val="center" w:pos="4153"/>
        <w:tab w:val="right" w:pos="8306"/>
      </w:tabs>
      <w:snapToGrid w:val="0"/>
    </w:pPr>
    <w:rPr>
      <w:sz w:val="18"/>
      <w:szCs w:val="18"/>
    </w:rPr>
  </w:style>
  <w:style w:type="paragraph" w:styleId="4">
    <w:name w:val="header"/>
    <w:basedOn w:val="1"/>
    <w:link w:val="34"/>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uiPriority w:val="99"/>
    <w:rPr>
      <w:color w:val="0563C1" w:themeColor="hyperlink"/>
      <w:u w:val="single"/>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6">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4">
    <w:name w:val="页眉 Char"/>
    <w:basedOn w:val="10"/>
    <w:link w:val="4"/>
    <w:semiHidden/>
    <w:uiPriority w:val="99"/>
    <w:rPr>
      <w:rFonts w:ascii="Times New Roman" w:hAnsi="Times New Roman" w:eastAsia="Times New Roman"/>
      <w:sz w:val="18"/>
      <w:szCs w:val="18"/>
      <w:lang w:eastAsia="uk-UA"/>
    </w:rPr>
  </w:style>
  <w:style w:type="character" w:customStyle="1" w:styleId="35">
    <w:name w:val="页脚 Char"/>
    <w:basedOn w:val="10"/>
    <w:link w:val="3"/>
    <w:semiHidden/>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2023-03-13T11:08:40Z</dcterms:created>
  <dcterms:modified xsi:type="dcterms:W3CDTF">2023-03-13T03:08:40Z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2023-03-13T11:08:40Z</dcterms:created>
  <dcterms:modified xsi:type="dcterms:W3CDTF">2023-03-13T03:08:40Z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2023-03-13T11:08:39Z</dcterms:created>
  <dcterms:modified xsi:type="dcterms:W3CDTF">2023-03-13T03:08:39Z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2023-03-13T11:08:37Z</dcterms:created>
  <dcterms:modified xsi:type="dcterms:W3CDTF">2023-03-13T03:08:37Z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2023-03-13T11:08:37Z</dcterms:created>
  <dcterms:modified xsi:type="dcterms:W3CDTF">2023-03-13T03:08:37Z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2023-03-13T11:08:40Z</dcterms:created>
  <dcterms:modified xsi:type="dcterms:W3CDTF">2023-03-13T03:08:40Z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2023-03-13T11:08:37Z</dcterms:created>
  <dcterms:modified xsi:type="dcterms:W3CDTF">2023-03-13T03:08:37Z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2023-03-13T11:08:36Z</dcterms:created>
  <dcterms:modified xsi:type="dcterms:W3CDTF">2023-03-13T03:08:36Z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2023-03-13T11:08:37Z</dcterms:created>
  <dcterms:modified xsi:type="dcterms:W3CDTF">2023-03-13T03:08:37Z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D58E0DEE-5D83-4B5A-9F59-AB4EEAC0D401}">
  <ds:schemaRefs/>
</ds:datastoreItem>
</file>

<file path=customXml/itemProps10.xml><?xml version="1.0" encoding="utf-8"?>
<ds:datastoreItem xmlns:ds="http://schemas.openxmlformats.org/officeDocument/2006/customXml" ds:itemID="{8DAB8183-8271-427D-A090-9D7AAFDBD0E6}">
  <ds:schemaRefs/>
</ds:datastoreItem>
</file>

<file path=customXml/itemProps11.xml><?xml version="1.0" encoding="utf-8"?>
<ds:datastoreItem xmlns:ds="http://schemas.openxmlformats.org/officeDocument/2006/customXml" ds:itemID="{F04CC59C-7FF9-4367-ADE7-E3392E927EAF}">
  <ds:schemaRefs/>
</ds:datastoreItem>
</file>

<file path=customXml/itemProps12.xml><?xml version="1.0" encoding="utf-8"?>
<ds:datastoreItem xmlns:ds="http://schemas.openxmlformats.org/officeDocument/2006/customXml" ds:itemID="{8FF1AD8E-DFD2-411A-8E61-36B7398461DE}">
  <ds:schemaRefs/>
</ds:datastoreItem>
</file>

<file path=customXml/itemProps13.xml><?xml version="1.0" encoding="utf-8"?>
<ds:datastoreItem xmlns:ds="http://schemas.openxmlformats.org/officeDocument/2006/customXml" ds:itemID="{7C23CAEE-7536-4EE6-AB37-CB44D160D40E}">
  <ds:schemaRefs/>
</ds:datastoreItem>
</file>

<file path=customXml/itemProps14.xml><?xml version="1.0" encoding="utf-8"?>
<ds:datastoreItem xmlns:ds="http://schemas.openxmlformats.org/officeDocument/2006/customXml" ds:itemID="{0F5D38C7-A49A-4233-BEC3-FD52F085494D}">
  <ds:schemaRefs/>
</ds:datastoreItem>
</file>

<file path=customXml/itemProps15.xml><?xml version="1.0" encoding="utf-8"?>
<ds:datastoreItem xmlns:ds="http://schemas.openxmlformats.org/officeDocument/2006/customXml" ds:itemID="{EA9A5549-204F-4889-AD28-DF70F16E6D7E}">
  <ds:schemaRefs/>
</ds:datastoreItem>
</file>

<file path=customXml/itemProps16.xml><?xml version="1.0" encoding="utf-8"?>
<ds:datastoreItem xmlns:ds="http://schemas.openxmlformats.org/officeDocument/2006/customXml" ds:itemID="{2D447750-529D-4054-9342-96E47651044F}">
  <ds:schemaRefs/>
</ds:datastoreItem>
</file>

<file path=customXml/itemProps17.xml><?xml version="1.0" encoding="utf-8"?>
<ds:datastoreItem xmlns:ds="http://schemas.openxmlformats.org/officeDocument/2006/customXml" ds:itemID="{4EC01E5E-8055-4037-B6FD-42D634901788}">
  <ds:schemaRefs/>
</ds:datastoreItem>
</file>

<file path=customXml/itemProps18.xml><?xml version="1.0" encoding="utf-8"?>
<ds:datastoreItem xmlns:ds="http://schemas.openxmlformats.org/officeDocument/2006/customXml" ds:itemID="{E4B93F15-E5FA-406D-BFAB-E7FFC315FBB1}">
  <ds:schemaRefs/>
</ds:datastoreItem>
</file>

<file path=customXml/itemProps2.xml><?xml version="1.0" encoding="utf-8"?>
<ds:datastoreItem xmlns:ds="http://schemas.openxmlformats.org/officeDocument/2006/customXml" ds:itemID="{C805EBD7-A000-41E1-9C69-CC893D83412D}">
  <ds:schemaRefs/>
</ds:datastoreItem>
</file>

<file path=customXml/itemProps3.xml><?xml version="1.0" encoding="utf-8"?>
<ds:datastoreItem xmlns:ds="http://schemas.openxmlformats.org/officeDocument/2006/customXml" ds:itemID="{7EA4E13B-21C3-4EE0-8C60-0328C60E8CC4}">
  <ds:schemaRefs/>
</ds:datastoreItem>
</file>

<file path=customXml/itemProps4.xml><?xml version="1.0" encoding="utf-8"?>
<ds:datastoreItem xmlns:ds="http://schemas.openxmlformats.org/officeDocument/2006/customXml" ds:itemID="{46FDDF21-75CB-48A7-8ACA-E684CEB079B6}">
  <ds:schemaRefs/>
</ds:datastoreItem>
</file>

<file path=customXml/itemProps5.xml><?xml version="1.0" encoding="utf-8"?>
<ds:datastoreItem xmlns:ds="http://schemas.openxmlformats.org/officeDocument/2006/customXml" ds:itemID="{259BC8B4-E697-4857-A474-97EA2D2E2A93}">
  <ds:schemaRefs/>
</ds:datastoreItem>
</file>

<file path=customXml/itemProps6.xml><?xml version="1.0" encoding="utf-8"?>
<ds:datastoreItem xmlns:ds="http://schemas.openxmlformats.org/officeDocument/2006/customXml" ds:itemID="{6B600860-8C41-4DC8-A66E-E72F24E8B07A}">
  <ds:schemaRefs/>
</ds:datastoreItem>
</file>

<file path=customXml/itemProps7.xml><?xml version="1.0" encoding="utf-8"?>
<ds:datastoreItem xmlns:ds="http://schemas.openxmlformats.org/officeDocument/2006/customXml" ds:itemID="{32CDD223-C3B5-43A7-858C-8828053F5F62}">
  <ds:schemaRefs/>
</ds:datastoreItem>
</file>

<file path=customXml/itemProps8.xml><?xml version="1.0" encoding="utf-8"?>
<ds:datastoreItem xmlns:ds="http://schemas.openxmlformats.org/officeDocument/2006/customXml" ds:itemID="{2D740F39-C819-4CF3-86B0-440353D21B85}">
  <ds:schemaRefs/>
</ds:datastoreItem>
</file>

<file path=customXml/itemProps9.xml><?xml version="1.0" encoding="utf-8"?>
<ds:datastoreItem xmlns:ds="http://schemas.openxmlformats.org/officeDocument/2006/customXml" ds:itemID="{BCBD0C11-0BF6-4A3D-B820-DEC27BD6A96A}">
  <ds:schemaRefs/>
</ds:datastoreItem>
</file>

<file path=docProps/app.xml><?xml version="1.0" encoding="utf-8"?>
<Properties xmlns="http://schemas.openxmlformats.org/officeDocument/2006/extended-properties" xmlns:vt="http://schemas.openxmlformats.org/officeDocument/2006/docPropsVTypes">
  <Template>Normal</Template>
  <Pages>27</Pages>
  <Words>1734</Words>
  <Characters>9884</Characters>
  <Lines>82</Lines>
  <Paragraphs>23</Paragraphs>
  <TotalTime>2</TotalTime>
  <ScaleCrop>false</ScaleCrop>
  <LinksUpToDate>false</LinksUpToDate>
  <CharactersWithSpaces>11595</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2023-03-13T11:08:00Z</dcterms:created>
  <dc:creator>Administrator</dc:creator>
  <cp:lastModifiedBy>Administrator</cp:lastModifiedBy>
  <dcterms:modified xsi:type="dcterms:W3CDTF">2024-01-11T00:52:23Z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7E4A3C8604454C1387C4D08DACEEE640</vt:lpwstr>
  </property>
</Properties>
</file>