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335廊坊市广阳区消防救援大队</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445.78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r>
              <w:t>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445.78</w:t>
            </w:r>
          </w:p>
        </w:tc>
        <w:tc>
          <w:tcPr>
            <w:tcW w:w="4535" w:type="dxa"/>
            <w:vAlign w:val="center"/>
          </w:tcPr>
          <w:p>
            <w:pPr>
              <w:pStyle w:val="19"/>
            </w:pPr>
            <w:r>
              <w:t>本年支出合计</w:t>
            </w:r>
          </w:p>
        </w:tc>
        <w:tc>
          <w:tcPr>
            <w:tcW w:w="2126" w:type="dxa"/>
            <w:vAlign w:val="center"/>
          </w:tcPr>
          <w:p>
            <w:pPr>
              <w:pStyle w:val="20"/>
            </w:pPr>
            <w:r>
              <w:t>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445.78</w:t>
            </w:r>
          </w:p>
        </w:tc>
        <w:tc>
          <w:tcPr>
            <w:tcW w:w="4535" w:type="dxa"/>
            <w:vAlign w:val="center"/>
          </w:tcPr>
          <w:p>
            <w:pPr>
              <w:pStyle w:val="19"/>
            </w:pPr>
            <w:r>
              <w:t>支出总计</w:t>
            </w:r>
          </w:p>
        </w:tc>
        <w:tc>
          <w:tcPr>
            <w:tcW w:w="2126" w:type="dxa"/>
            <w:vAlign w:val="center"/>
          </w:tcPr>
          <w:p>
            <w:pPr>
              <w:pStyle w:val="20"/>
            </w:pPr>
            <w:r>
              <w:t>445.78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335廊坊市广阳区消防救援大队</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445.78</w:t>
            </w:r>
          </w:p>
        </w:tc>
        <w:tc>
          <w:tcPr>
            <w:tcW w:w="1134" w:type="dxa"/>
            <w:vAlign w:val="center"/>
          </w:tcPr>
          <w:p>
            <w:pPr>
              <w:pStyle w:val="20"/>
            </w:pPr>
            <w:r>
              <w:t>445.78</w:t>
            </w:r>
          </w:p>
        </w:tc>
        <w:tc>
          <w:tcPr>
            <w:tcW w:w="1134" w:type="dxa"/>
            <w:vAlign w:val="center"/>
          </w:tcPr>
          <w:p>
            <w:pPr>
              <w:pStyle w:val="20"/>
            </w:pPr>
            <w:r>
              <w:t>445.78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224</w:t>
            </w:r>
          </w:p>
        </w:tc>
        <w:tc>
          <w:tcPr>
            <w:tcW w:w="1559" w:type="dxa"/>
            <w:vAlign w:val="center"/>
          </w:tcPr>
          <w:p>
            <w:pPr>
              <w:pStyle w:val="17"/>
            </w:pPr>
            <w:r>
              <w:t>灾害防治及应急管理支出</w:t>
            </w:r>
          </w:p>
        </w:tc>
        <w:tc>
          <w:tcPr>
            <w:tcW w:w="1134" w:type="dxa"/>
            <w:vAlign w:val="center"/>
          </w:tcPr>
          <w:p>
            <w:pPr>
              <w:pStyle w:val="16"/>
            </w:pPr>
            <w:r>
              <w:t>445.78</w:t>
            </w:r>
          </w:p>
        </w:tc>
        <w:tc>
          <w:tcPr>
            <w:tcW w:w="1134" w:type="dxa"/>
            <w:vAlign w:val="center"/>
          </w:tcPr>
          <w:p>
            <w:pPr>
              <w:pStyle w:val="16"/>
            </w:pPr>
            <w:r>
              <w:t>445.78</w:t>
            </w:r>
          </w:p>
        </w:tc>
        <w:tc>
          <w:tcPr>
            <w:tcW w:w="1134" w:type="dxa"/>
            <w:vAlign w:val="center"/>
          </w:tcPr>
          <w:p>
            <w:pPr>
              <w:pStyle w:val="16"/>
            </w:pPr>
            <w:r>
              <w:t>445.78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22402</w:t>
            </w:r>
          </w:p>
        </w:tc>
        <w:tc>
          <w:tcPr>
            <w:tcW w:w="1559" w:type="dxa"/>
            <w:vAlign w:val="center"/>
          </w:tcPr>
          <w:p>
            <w:pPr>
              <w:pStyle w:val="17"/>
            </w:pPr>
            <w:r>
              <w:t>消防救援事务</w:t>
            </w:r>
          </w:p>
        </w:tc>
        <w:tc>
          <w:tcPr>
            <w:tcW w:w="1134" w:type="dxa"/>
            <w:vAlign w:val="center"/>
          </w:tcPr>
          <w:p>
            <w:pPr>
              <w:pStyle w:val="16"/>
            </w:pPr>
            <w:r>
              <w:t>445.78</w:t>
            </w:r>
          </w:p>
        </w:tc>
        <w:tc>
          <w:tcPr>
            <w:tcW w:w="1134" w:type="dxa"/>
            <w:vAlign w:val="center"/>
          </w:tcPr>
          <w:p>
            <w:pPr>
              <w:pStyle w:val="16"/>
            </w:pPr>
            <w:r>
              <w:t>445.78</w:t>
            </w:r>
          </w:p>
        </w:tc>
        <w:tc>
          <w:tcPr>
            <w:tcW w:w="1134" w:type="dxa"/>
            <w:vAlign w:val="center"/>
          </w:tcPr>
          <w:p>
            <w:pPr>
              <w:pStyle w:val="16"/>
            </w:pPr>
            <w:r>
              <w:t>445.78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2240201</w:t>
            </w:r>
          </w:p>
        </w:tc>
        <w:tc>
          <w:tcPr>
            <w:tcW w:w="1559" w:type="dxa"/>
            <w:vAlign w:val="center"/>
          </w:tcPr>
          <w:p>
            <w:pPr>
              <w:pStyle w:val="17"/>
            </w:pPr>
            <w:r>
              <w:t>行政运行</w:t>
            </w:r>
          </w:p>
        </w:tc>
        <w:tc>
          <w:tcPr>
            <w:tcW w:w="1134" w:type="dxa"/>
            <w:vAlign w:val="center"/>
          </w:tcPr>
          <w:p>
            <w:pPr>
              <w:pStyle w:val="16"/>
            </w:pPr>
            <w:r>
              <w:t>445.78</w:t>
            </w:r>
          </w:p>
        </w:tc>
        <w:tc>
          <w:tcPr>
            <w:tcW w:w="1134" w:type="dxa"/>
            <w:vAlign w:val="center"/>
          </w:tcPr>
          <w:p>
            <w:pPr>
              <w:pStyle w:val="16"/>
            </w:pPr>
            <w:r>
              <w:t>445.78</w:t>
            </w:r>
          </w:p>
        </w:tc>
        <w:tc>
          <w:tcPr>
            <w:tcW w:w="1134" w:type="dxa"/>
            <w:vAlign w:val="center"/>
          </w:tcPr>
          <w:p>
            <w:pPr>
              <w:pStyle w:val="16"/>
            </w:pPr>
            <w:r>
              <w:t>445.78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335廊坊市广阳区消防救援大队</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445.78</w:t>
            </w:r>
          </w:p>
        </w:tc>
        <w:tc>
          <w:tcPr>
            <w:tcW w:w="1361" w:type="dxa"/>
            <w:vAlign w:val="center"/>
          </w:tcPr>
          <w:p>
            <w:pPr>
              <w:pStyle w:val="20"/>
            </w:pPr>
          </w:p>
        </w:tc>
        <w:tc>
          <w:tcPr>
            <w:tcW w:w="1361" w:type="dxa"/>
            <w:vAlign w:val="center"/>
          </w:tcPr>
          <w:p>
            <w:pPr>
              <w:pStyle w:val="20"/>
            </w:pPr>
            <w:r>
              <w:t>445.78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224</w:t>
            </w:r>
          </w:p>
        </w:tc>
        <w:tc>
          <w:tcPr>
            <w:tcW w:w="4535" w:type="dxa"/>
            <w:vAlign w:val="center"/>
          </w:tcPr>
          <w:p>
            <w:pPr>
              <w:pStyle w:val="17"/>
            </w:pPr>
            <w:r>
              <w:t>灾害防治及应急管理支出</w:t>
            </w:r>
          </w:p>
        </w:tc>
        <w:tc>
          <w:tcPr>
            <w:tcW w:w="1361" w:type="dxa"/>
            <w:vAlign w:val="center"/>
          </w:tcPr>
          <w:p>
            <w:pPr>
              <w:pStyle w:val="16"/>
            </w:pPr>
            <w:r>
              <w:t>445.78</w:t>
            </w:r>
          </w:p>
        </w:tc>
        <w:tc>
          <w:tcPr>
            <w:tcW w:w="1361" w:type="dxa"/>
            <w:vAlign w:val="center"/>
          </w:tcPr>
          <w:p>
            <w:pPr>
              <w:pStyle w:val="16"/>
            </w:pPr>
          </w:p>
        </w:tc>
        <w:tc>
          <w:tcPr>
            <w:tcW w:w="1361" w:type="dxa"/>
            <w:vAlign w:val="center"/>
          </w:tcPr>
          <w:p>
            <w:pPr>
              <w:pStyle w:val="16"/>
            </w:pPr>
            <w:r>
              <w:t>445.78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22402</w:t>
            </w:r>
          </w:p>
        </w:tc>
        <w:tc>
          <w:tcPr>
            <w:tcW w:w="4535" w:type="dxa"/>
            <w:vAlign w:val="center"/>
          </w:tcPr>
          <w:p>
            <w:pPr>
              <w:pStyle w:val="17"/>
            </w:pPr>
            <w:r>
              <w:t>消防救援事务</w:t>
            </w:r>
          </w:p>
        </w:tc>
        <w:tc>
          <w:tcPr>
            <w:tcW w:w="1361" w:type="dxa"/>
            <w:vAlign w:val="center"/>
          </w:tcPr>
          <w:p>
            <w:pPr>
              <w:pStyle w:val="16"/>
            </w:pPr>
            <w:r>
              <w:t>445.78</w:t>
            </w:r>
          </w:p>
        </w:tc>
        <w:tc>
          <w:tcPr>
            <w:tcW w:w="1361" w:type="dxa"/>
            <w:vAlign w:val="center"/>
          </w:tcPr>
          <w:p>
            <w:pPr>
              <w:pStyle w:val="16"/>
            </w:pPr>
          </w:p>
        </w:tc>
        <w:tc>
          <w:tcPr>
            <w:tcW w:w="1361" w:type="dxa"/>
            <w:vAlign w:val="center"/>
          </w:tcPr>
          <w:p>
            <w:pPr>
              <w:pStyle w:val="16"/>
            </w:pPr>
            <w:r>
              <w:t>445.78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2240201</w:t>
            </w:r>
          </w:p>
        </w:tc>
        <w:tc>
          <w:tcPr>
            <w:tcW w:w="4535" w:type="dxa"/>
            <w:vAlign w:val="center"/>
          </w:tcPr>
          <w:p>
            <w:pPr>
              <w:pStyle w:val="17"/>
            </w:pPr>
            <w:r>
              <w:t>行政运行</w:t>
            </w:r>
          </w:p>
        </w:tc>
        <w:tc>
          <w:tcPr>
            <w:tcW w:w="1361" w:type="dxa"/>
            <w:vAlign w:val="center"/>
          </w:tcPr>
          <w:p>
            <w:pPr>
              <w:pStyle w:val="16"/>
            </w:pPr>
            <w:r>
              <w:t>445.78</w:t>
            </w:r>
          </w:p>
        </w:tc>
        <w:tc>
          <w:tcPr>
            <w:tcW w:w="1361" w:type="dxa"/>
            <w:vAlign w:val="center"/>
          </w:tcPr>
          <w:p>
            <w:pPr>
              <w:pStyle w:val="16"/>
            </w:pPr>
          </w:p>
        </w:tc>
        <w:tc>
          <w:tcPr>
            <w:tcW w:w="1361" w:type="dxa"/>
            <w:vAlign w:val="center"/>
          </w:tcPr>
          <w:p>
            <w:pPr>
              <w:pStyle w:val="16"/>
            </w:pPr>
            <w:r>
              <w:t>445.78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335廊坊市广阳区消防救援大队</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445.78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r>
              <w:t>445.78</w:t>
            </w:r>
          </w:p>
        </w:tc>
        <w:tc>
          <w:tcPr>
            <w:tcW w:w="1474" w:type="dxa"/>
            <w:vAlign w:val="center"/>
          </w:tcPr>
          <w:p>
            <w:pPr>
              <w:pStyle w:val="16"/>
            </w:pPr>
            <w:r>
              <w:t>445.78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445.78</w:t>
            </w:r>
          </w:p>
        </w:tc>
        <w:tc>
          <w:tcPr>
            <w:tcW w:w="3402" w:type="dxa"/>
            <w:vAlign w:val="center"/>
          </w:tcPr>
          <w:p>
            <w:pPr>
              <w:pStyle w:val="19"/>
            </w:pPr>
            <w:r>
              <w:t>本年支出合计</w:t>
            </w:r>
          </w:p>
        </w:tc>
        <w:tc>
          <w:tcPr>
            <w:tcW w:w="1474" w:type="dxa"/>
            <w:vAlign w:val="center"/>
          </w:tcPr>
          <w:p>
            <w:pPr>
              <w:pStyle w:val="20"/>
            </w:pPr>
            <w:r>
              <w:t>445.78</w:t>
            </w:r>
          </w:p>
        </w:tc>
        <w:tc>
          <w:tcPr>
            <w:tcW w:w="1474" w:type="dxa"/>
            <w:vAlign w:val="center"/>
          </w:tcPr>
          <w:p>
            <w:pPr>
              <w:pStyle w:val="20"/>
            </w:pPr>
            <w:r>
              <w:t>445.78</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445.78</w:t>
            </w:r>
          </w:p>
        </w:tc>
        <w:tc>
          <w:tcPr>
            <w:tcW w:w="3402" w:type="dxa"/>
            <w:vAlign w:val="center"/>
          </w:tcPr>
          <w:p>
            <w:pPr>
              <w:pStyle w:val="19"/>
            </w:pPr>
            <w:r>
              <w:t>支出总计</w:t>
            </w:r>
          </w:p>
        </w:tc>
        <w:tc>
          <w:tcPr>
            <w:tcW w:w="1474" w:type="dxa"/>
            <w:vAlign w:val="center"/>
          </w:tcPr>
          <w:p>
            <w:pPr>
              <w:pStyle w:val="20"/>
            </w:pPr>
            <w:r>
              <w:t>445.78</w:t>
            </w:r>
          </w:p>
        </w:tc>
        <w:tc>
          <w:tcPr>
            <w:tcW w:w="1474" w:type="dxa"/>
            <w:vAlign w:val="center"/>
          </w:tcPr>
          <w:p>
            <w:pPr>
              <w:pStyle w:val="20"/>
            </w:pPr>
            <w:r>
              <w:t>445.78</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335廊坊市广阳区消防救援大队</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445.78</w:t>
            </w:r>
          </w:p>
        </w:tc>
        <w:tc>
          <w:tcPr>
            <w:tcW w:w="2551" w:type="dxa"/>
            <w:vAlign w:val="center"/>
          </w:tcPr>
          <w:p>
            <w:pPr>
              <w:pStyle w:val="20"/>
            </w:pPr>
          </w:p>
        </w:tc>
        <w:tc>
          <w:tcPr>
            <w:tcW w:w="2551" w:type="dxa"/>
            <w:vAlign w:val="center"/>
          </w:tcPr>
          <w:p>
            <w:pPr>
              <w:pStyle w:val="20"/>
            </w:pPr>
            <w:r>
              <w:t>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224</w:t>
            </w:r>
          </w:p>
        </w:tc>
        <w:tc>
          <w:tcPr>
            <w:tcW w:w="4535" w:type="dxa"/>
            <w:vAlign w:val="center"/>
          </w:tcPr>
          <w:p>
            <w:pPr>
              <w:pStyle w:val="17"/>
            </w:pPr>
            <w:r>
              <w:t>灾害防治及应急管理支出</w:t>
            </w:r>
          </w:p>
        </w:tc>
        <w:tc>
          <w:tcPr>
            <w:tcW w:w="2551" w:type="dxa"/>
            <w:vAlign w:val="center"/>
          </w:tcPr>
          <w:p>
            <w:pPr>
              <w:pStyle w:val="16"/>
            </w:pPr>
            <w:r>
              <w:t>445.78</w:t>
            </w:r>
          </w:p>
        </w:tc>
        <w:tc>
          <w:tcPr>
            <w:tcW w:w="2551" w:type="dxa"/>
            <w:vAlign w:val="center"/>
          </w:tcPr>
          <w:p>
            <w:pPr>
              <w:pStyle w:val="16"/>
            </w:pPr>
          </w:p>
        </w:tc>
        <w:tc>
          <w:tcPr>
            <w:tcW w:w="2551" w:type="dxa"/>
            <w:vAlign w:val="center"/>
          </w:tcPr>
          <w:p>
            <w:pPr>
              <w:pStyle w:val="16"/>
            </w:pPr>
            <w:r>
              <w:t>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22402</w:t>
            </w:r>
          </w:p>
        </w:tc>
        <w:tc>
          <w:tcPr>
            <w:tcW w:w="4535" w:type="dxa"/>
            <w:vAlign w:val="center"/>
          </w:tcPr>
          <w:p>
            <w:pPr>
              <w:pStyle w:val="17"/>
            </w:pPr>
            <w:r>
              <w:t>消防救援事务</w:t>
            </w:r>
          </w:p>
        </w:tc>
        <w:tc>
          <w:tcPr>
            <w:tcW w:w="2551" w:type="dxa"/>
            <w:vAlign w:val="center"/>
          </w:tcPr>
          <w:p>
            <w:pPr>
              <w:pStyle w:val="16"/>
            </w:pPr>
            <w:r>
              <w:t>445.78</w:t>
            </w:r>
          </w:p>
        </w:tc>
        <w:tc>
          <w:tcPr>
            <w:tcW w:w="2551" w:type="dxa"/>
            <w:vAlign w:val="center"/>
          </w:tcPr>
          <w:p>
            <w:pPr>
              <w:pStyle w:val="16"/>
            </w:pPr>
          </w:p>
        </w:tc>
        <w:tc>
          <w:tcPr>
            <w:tcW w:w="2551" w:type="dxa"/>
            <w:vAlign w:val="center"/>
          </w:tcPr>
          <w:p>
            <w:pPr>
              <w:pStyle w:val="16"/>
            </w:pPr>
            <w:r>
              <w:t>445.78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2240201</w:t>
            </w:r>
          </w:p>
        </w:tc>
        <w:tc>
          <w:tcPr>
            <w:tcW w:w="4535" w:type="dxa"/>
            <w:vAlign w:val="center"/>
          </w:tcPr>
          <w:p>
            <w:pPr>
              <w:pStyle w:val="17"/>
            </w:pPr>
            <w:r>
              <w:t>行政运行</w:t>
            </w:r>
          </w:p>
        </w:tc>
        <w:tc>
          <w:tcPr>
            <w:tcW w:w="2551" w:type="dxa"/>
            <w:vAlign w:val="center"/>
          </w:tcPr>
          <w:p>
            <w:pPr>
              <w:pStyle w:val="16"/>
            </w:pPr>
            <w:r>
              <w:t>445.78</w:t>
            </w:r>
          </w:p>
        </w:tc>
        <w:tc>
          <w:tcPr>
            <w:tcW w:w="2551" w:type="dxa"/>
            <w:vAlign w:val="center"/>
          </w:tcPr>
          <w:p>
            <w:pPr>
              <w:pStyle w:val="16"/>
            </w:pPr>
          </w:p>
        </w:tc>
        <w:tc>
          <w:tcPr>
            <w:tcW w:w="2551" w:type="dxa"/>
            <w:vAlign w:val="center"/>
          </w:tcPr>
          <w:p>
            <w:pPr>
              <w:pStyle w:val="16"/>
            </w:pPr>
            <w:r>
              <w:t>445.78</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335廊坊市广阳区消防救援大队</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335廊坊市广阳区消防救援大队</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335廊坊市广阳区消防救援大队</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335廊坊市广阳区消防救援大队</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廊坊市广阳区消防救援大队2023年部门预算信息公开情况说明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廊坊市广阳区消防救援大队2023年部门预算信息公开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预算法》、《地方预决算公开操作规程》和《关于进一步推进预算公开工作的实施意见》规定，现将廊坊市广阳区消防救援大队2023年部门预算公开如下：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（一）承担城乡综合性消防救援工作，负责指挥调度相关灾害事故救援行动，承担重要会议、大型活动消防安全保卫工作。</w:t>
      </w:r>
    </w:p>
    <w:p>
      <w:pPr>
        <w:pStyle w:val="22"/>
      </w:pPr>
      <w:r>
        <w:t>（二）承担火灾预防、消防监督执法以及火灾事故调查处理相关工作，依法行使消防安全综合监管职能，推动落实消防安全责任制。</w:t>
      </w:r>
    </w:p>
    <w:p>
      <w:pPr>
        <w:pStyle w:val="22"/>
      </w:pPr>
      <w:r>
        <w:t>（三）参与拟订消防专项规划，参与起草地方性消防法规、规章草案并监督实施。</w:t>
      </w:r>
    </w:p>
    <w:p>
      <w:pPr>
        <w:pStyle w:val="22"/>
      </w:pPr>
      <w:r>
        <w:t>（四）负责消防救援队伍综合性消防救援预案编制、战术研究和执勤备战、训练演练等工作。</w:t>
      </w:r>
    </w:p>
    <w:p>
      <w:pPr>
        <w:pStyle w:val="22"/>
      </w:pPr>
      <w:r>
        <w:t>（五）负责消防救援信息化和应急通信建设，承担综合性消防救援行动应急通信保障工作。</w:t>
      </w:r>
    </w:p>
    <w:p>
      <w:pPr>
        <w:pStyle w:val="22"/>
      </w:pPr>
      <w:r>
        <w:t>（六）负责消防安全宣传教育，组织指导社会消防力量建设。</w:t>
      </w:r>
    </w:p>
    <w:p>
      <w:pPr>
        <w:pStyle w:val="22"/>
      </w:pPr>
      <w:r>
        <w:t>（七）负责消防应急救援专业队伍规划、建设与调度指挥，参与组织协调动员各类社会救援力量参加救援任务。</w:t>
      </w:r>
    </w:p>
    <w:p>
      <w:pPr>
        <w:pStyle w:val="22"/>
      </w:pPr>
      <w:r>
        <w:t>（八）负责消防救援队伍建设与管理。</w:t>
      </w:r>
    </w:p>
    <w:p>
      <w:pPr>
        <w:pStyle w:val="22"/>
      </w:pPr>
      <w:r>
        <w:t>（九）完成应急管理部和所在省（区、市）党委政府交办的相关任务。</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廊坊市广阳区消防救援大队本级</w:t>
            </w:r>
          </w:p>
        </w:tc>
        <w:tc>
          <w:tcPr>
            <w:tcW w:w="1843" w:type="dxa"/>
            <w:vAlign w:val="center"/>
          </w:tcPr>
          <w:p>
            <w:pPr>
              <w:pStyle w:val="18"/>
            </w:pPr>
            <w:r>
              <w:t>行政</w:t>
            </w:r>
          </w:p>
        </w:tc>
        <w:tc>
          <w:tcPr>
            <w:tcW w:w="2126" w:type="dxa"/>
            <w:vAlign w:val="center"/>
          </w:tcPr>
          <w:p>
            <w:pPr>
              <w:pStyle w:val="18"/>
            </w:pPr>
            <w:r>
              <w:t>副处（县）级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按照预算管理有关规定，目前我区部门预算的编制实行综合预算管理，即全部收入和支出都反映在预算中。廊坊市广阳区消防救援大队机关及所属事业单位的收支包含在部门预算中。</w:t>
      </w:r>
    </w:p>
    <w:p>
      <w:pPr>
        <w:pStyle w:val="23"/>
      </w:pPr>
      <w:r>
        <w:t>1、收入说明</w:t>
      </w:r>
    </w:p>
    <w:p>
      <w:pPr>
        <w:pStyle w:val="23"/>
      </w:pPr>
      <w:r>
        <w:t>反映本部门当年全部收入。2023年预算收入445.78万元，其中：一般公共预算收入445.78万元，基金预算收入0万元，财政专户核拨收入0万元，其他来源收入0万元，上年结转0万元。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消防救援大队2023年度部门预算中支出预算的总体情况。2023年支出预算445.784万元，其中：基本支出0万元，包括人员经费0万元和日常公用经费0万元；项目支出445.784万元，全部为本级支出，主要为消防业务经费、消防救援干部地方补贴资金、消防文员人员经费等项目。</w:t>
      </w:r>
    </w:p>
    <w:p>
      <w:pPr>
        <w:pStyle w:val="23"/>
      </w:pPr>
      <w:r>
        <w:t>3、比上年增减情况</w:t>
      </w:r>
    </w:p>
    <w:p>
      <w:pPr>
        <w:pStyle w:val="23"/>
      </w:pPr>
      <w:r>
        <w:t>2023年预算收支安排445.78万元，较2022年预算减少51.6万元，其中：基本支出增加（减少）0万元，增加（减少）原因主要为人员经费支出增加；项目支出减少51.6万元，减少原因主要为消防业务经费项目支出减少。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2023年，我部门运行经费共计安排0万元。</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2023年，区消防救援大队将以永不懈怠的精神状态、一往无前的奋斗姿态，聚焦居民住宅、大型商业综合体、劳动密集型企业等火灾防范重点，推进电动自行车、电气火灾等专项治理，打牢基层基础，推动属地、部门、企业落实“三方责任”，持续在纪律严明的执行中夯实作风，在赴汤蹈火的坚守中增强本领，在竭诚为民的奉献中回报期待。</w:t>
      </w:r>
    </w:p>
    <w:p>
      <w:pPr>
        <w:spacing w:line="500" w:lineRule="exact"/>
        <w:ind w:firstLine="560"/>
      </w:pPr>
      <w:r>
        <w:rPr>
          <w:rFonts w:eastAsia="方正仿宋_GBK"/>
          <w:color w:val="000000"/>
          <w:sz w:val="28"/>
        </w:rPr>
        <w:t>（二）分项绩效目标</w:t>
      </w:r>
    </w:p>
    <w:p>
      <w:pPr>
        <w:pStyle w:val="27"/>
      </w:pPr>
      <w:r>
        <w:t>1.人员经费支出绩效目标主要是用于本单位消防文员的工资待遇，满足正常工作需求，能够更好的完成工作任务。</w:t>
      </w:r>
    </w:p>
    <w:p>
      <w:pPr>
        <w:pStyle w:val="27"/>
      </w:pPr>
      <w:r>
        <w:t>数量指标 保障单位实有人数的各项工资、保险的发放缴纳</w:t>
      </w:r>
    </w:p>
    <w:p>
      <w:pPr>
        <w:pStyle w:val="27"/>
      </w:pPr>
      <w:r>
        <w:t>质量指标 社会保障准确缴纳</w:t>
      </w:r>
    </w:p>
    <w:p>
      <w:pPr>
        <w:pStyle w:val="27"/>
      </w:pPr>
      <w:r>
        <w:t>时效指标 社会保障及时性缴纳</w:t>
      </w:r>
    </w:p>
    <w:p>
      <w:pPr>
        <w:pStyle w:val="27"/>
      </w:pPr>
      <w:r>
        <w:t>成本指标 严格按照标准缴纳社会保障业务。</w:t>
      </w:r>
    </w:p>
    <w:p>
      <w:pPr>
        <w:pStyle w:val="27"/>
      </w:pPr>
      <w:r>
        <w:t>2.公用类支出绩效目标主要是通过项目的开展确保火灾预防、扑救和应急救援、日常工作等工作任务顺利完成。</w:t>
      </w:r>
    </w:p>
    <w:p>
      <w:pPr>
        <w:pStyle w:val="27"/>
      </w:pPr>
      <w:r>
        <w:t>数量指标 保障单位实有人数的办公。</w:t>
      </w:r>
    </w:p>
    <w:p>
      <w:pPr>
        <w:pStyle w:val="27"/>
      </w:pPr>
      <w:r>
        <w:t>质量指标 保障单位的运转保障次第</w:t>
      </w:r>
    </w:p>
    <w:p>
      <w:pPr>
        <w:pStyle w:val="27"/>
      </w:pPr>
      <w:r>
        <w:t>时效指标 及时保障日常工作经费的支出。</w:t>
      </w:r>
    </w:p>
    <w:p>
      <w:pPr>
        <w:pStyle w:val="27"/>
      </w:pPr>
      <w:r>
        <w:t>成本指标 严格按照标准保障单位日常公用经费开支。</w:t>
      </w:r>
    </w:p>
    <w:p>
      <w:pPr>
        <w:pStyle w:val="27"/>
      </w:pPr>
      <w:r>
        <w:t>3.消防救援人员地方补贴：支出绩效目标主要是通过两项补贴的发放，保持队伍高度稳定，提升队伍战斗力。</w:t>
      </w:r>
    </w:p>
    <w:p>
      <w:pPr>
        <w:pStyle w:val="27"/>
      </w:pPr>
      <w:r>
        <w:t>数量指标 障单位实有人数补助补贴的发放</w:t>
      </w:r>
    </w:p>
    <w:p>
      <w:pPr>
        <w:pStyle w:val="27"/>
      </w:pPr>
      <w:r>
        <w:t>质量指标 补助补贴发放覆盖率</w:t>
      </w:r>
    </w:p>
    <w:p>
      <w:pPr>
        <w:pStyle w:val="27"/>
      </w:pPr>
      <w:r>
        <w:t>时效指标 补助补贴发放及时率</w:t>
      </w:r>
    </w:p>
    <w:p>
      <w:pPr>
        <w:pStyle w:val="27"/>
        <w:rPr>
          <w:lang w:val="uk-UA" w:eastAsia="zh-CN"/>
        </w:rPr>
      </w:pPr>
      <w:r>
        <w:t>成本指标 严格按照标准缴纳社会保障业务。</w:t>
      </w:r>
    </w:p>
    <w:p>
      <w:pPr>
        <w:spacing w:line="500" w:lineRule="exact"/>
        <w:ind w:firstLine="560"/>
      </w:pPr>
      <w:r>
        <w:rPr>
          <w:rFonts w:eastAsia="方正仿宋_GBK"/>
          <w:color w:val="000000"/>
          <w:sz w:val="28"/>
        </w:rPr>
        <w:t>（三）工作保障措施</w:t>
      </w:r>
    </w:p>
    <w:p>
      <w:pPr>
        <w:pStyle w:val="28"/>
      </w:pPr>
      <w:r>
        <w:t>1.完善制度体系。建立健全预算管理工作制度，规范绩效目标、绩效跟踪、绩效评价、结果应用等各项工作流程，确保预算绩效管理与预算编制、执行、监督的有效衔接。建立科学规范的绩效指标和标准体系，推进预算绩效管理信息平台建设，为建设绩效管理提供制度和技术支撑。</w:t>
      </w:r>
    </w:p>
    <w:p>
      <w:pPr>
        <w:pStyle w:val="28"/>
      </w:pPr>
      <w:r>
        <w:t>2.建立事前绩效评估机制。对拟出合的重大政策和项目要开展事前绩效评估，必要时邀请第三方机构开展评估并出具绩效评估报告。</w:t>
      </w:r>
    </w:p>
    <w:p>
      <w:pPr>
        <w:pStyle w:val="28"/>
      </w:pPr>
      <w:r>
        <w:t>3.全面开展绩效评价。落实绩效目标编制要求，对照绩效目标，预算执行情况及政策、项目实施效果全面开展绩效自评，将自评结果报区财政局，实现绩效自评全覆盖。</w:t>
      </w:r>
    </w:p>
    <w:p>
      <w:pPr>
        <w:pStyle w:val="28"/>
        <w:rPr>
          <w:lang w:eastAsia="zh-CN"/>
        </w:rPr>
      </w:pPr>
      <w:r>
        <w:t>4.抓好培训宣传。各办公室要积极开展多种形式、不同层次的预算管理培训，提高预算绩效管理人员的业务素质和管理水平。</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08"/>
        <w:gridCol w:w="992"/>
        <w:gridCol w:w="1417"/>
        <w:gridCol w:w="3402"/>
        <w:gridCol w:w="3828"/>
        <w:gridCol w:w="850"/>
        <w:gridCol w:w="709"/>
        <w:gridCol w:w="992"/>
        <w:gridCol w:w="1632"/>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lang w:eastAsia="zh-CN"/>
              </w:rPr>
            </w:pPr>
            <w:r>
              <w:rPr>
                <w:rFonts w:hint="eastAsia" w:ascii="方正书宋_GBK" w:eastAsia="方正书宋_GBK"/>
                <w:b/>
                <w:bCs/>
                <w:color w:val="000000"/>
                <w:sz w:val="21"/>
                <w:szCs w:val="21"/>
              </w:rPr>
              <w:t>一级指标</w:t>
            </w:r>
          </w:p>
        </w:tc>
        <w:tc>
          <w:tcPr>
            <w:tcW w:w="99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二级</w:t>
            </w:r>
          </w:p>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w:t>
            </w:r>
          </w:p>
        </w:tc>
        <w:tc>
          <w:tcPr>
            <w:tcW w:w="141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三级指标</w:t>
            </w:r>
          </w:p>
        </w:tc>
        <w:tc>
          <w:tcPr>
            <w:tcW w:w="340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评（扣）分标准</w:t>
            </w:r>
          </w:p>
        </w:tc>
        <w:tc>
          <w:tcPr>
            <w:tcW w:w="382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绩效指标描述</w:t>
            </w:r>
          </w:p>
        </w:tc>
        <w:tc>
          <w:tcPr>
            <w:tcW w:w="2551"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指标值</w:t>
            </w:r>
          </w:p>
        </w:tc>
        <w:tc>
          <w:tcPr>
            <w:tcW w:w="163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指标值</w:t>
            </w:r>
          </w:p>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1008" w:type="dxa"/>
            <w:vMerge w:val="continue"/>
            <w:shd w:val="clear" w:color="auto" w:fill="auto"/>
            <w:vAlign w:val="center"/>
          </w:tcPr>
          <w:p>
            <w:pPr>
              <w:rPr>
                <w:rFonts w:ascii="方正书宋_GBK" w:hAnsi="宋体" w:eastAsia="方正书宋_GBK" w:cs="宋体"/>
                <w:b/>
                <w:bCs/>
                <w:color w:val="000000"/>
                <w:sz w:val="21"/>
                <w:szCs w:val="21"/>
              </w:rPr>
            </w:pPr>
          </w:p>
        </w:tc>
        <w:tc>
          <w:tcPr>
            <w:tcW w:w="99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p>
        </w:tc>
        <w:tc>
          <w:tcPr>
            <w:tcW w:w="1417" w:type="dxa"/>
            <w:vMerge w:val="continue"/>
            <w:shd w:val="clear" w:color="auto" w:fill="auto"/>
            <w:vAlign w:val="center"/>
          </w:tcPr>
          <w:p>
            <w:pPr>
              <w:rPr>
                <w:rFonts w:ascii="方正书宋_GBK" w:hAnsi="宋体" w:eastAsia="方正书宋_GBK" w:cs="宋体"/>
                <w:b/>
                <w:bCs/>
                <w:color w:val="000000"/>
                <w:sz w:val="21"/>
                <w:szCs w:val="21"/>
              </w:rPr>
            </w:pPr>
          </w:p>
        </w:tc>
        <w:tc>
          <w:tcPr>
            <w:tcW w:w="3402" w:type="dxa"/>
            <w:vMerge w:val="continue"/>
            <w:shd w:val="clear" w:color="auto" w:fill="auto"/>
            <w:vAlign w:val="center"/>
          </w:tcPr>
          <w:p>
            <w:pPr>
              <w:rPr>
                <w:rFonts w:ascii="方正书宋_GBK" w:hAnsi="宋体" w:eastAsia="方正书宋_GBK" w:cs="宋体"/>
                <w:b/>
                <w:bCs/>
                <w:color w:val="000000"/>
                <w:sz w:val="21"/>
                <w:szCs w:val="21"/>
              </w:rPr>
            </w:pPr>
          </w:p>
        </w:tc>
        <w:tc>
          <w:tcPr>
            <w:tcW w:w="3828" w:type="dxa"/>
            <w:vMerge w:val="continue"/>
            <w:shd w:val="clear" w:color="auto" w:fill="auto"/>
            <w:vAlign w:val="center"/>
          </w:tcPr>
          <w:p>
            <w:pPr>
              <w:rPr>
                <w:rFonts w:ascii="方正书宋_GBK" w:hAnsi="宋体" w:eastAsia="方正书宋_GBK" w:cs="宋体"/>
                <w:b/>
                <w:bCs/>
                <w:color w:val="000000"/>
                <w:sz w:val="21"/>
                <w:szCs w:val="21"/>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符号</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值</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r>
              <w:rPr>
                <w:rFonts w:hint="eastAsia" w:ascii="方正书宋_GBK" w:eastAsia="方正书宋_GBK"/>
                <w:b/>
                <w:bCs/>
                <w:color w:val="000000"/>
                <w:sz w:val="21"/>
                <w:szCs w:val="21"/>
              </w:rPr>
              <w:t>单位</w:t>
            </w:r>
          </w:p>
        </w:tc>
        <w:tc>
          <w:tcPr>
            <w:tcW w:w="1632"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部门产出</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41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保障人数</w:t>
            </w:r>
          </w:p>
        </w:tc>
        <w:tc>
          <w:tcPr>
            <w:tcW w:w="34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达到指标值得权重的满分，每超出指标值权重的1%，扣权重分值的1%。</w:t>
            </w:r>
          </w:p>
        </w:tc>
        <w:tc>
          <w:tcPr>
            <w:tcW w:w="382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消防文员保障人数情况</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39</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《廊坊市人民政府责任书》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417"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补贴、补助人数</w:t>
            </w:r>
          </w:p>
        </w:tc>
        <w:tc>
          <w:tcPr>
            <w:tcW w:w="3402"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完成绩效目标得权重的满分，每超出1人扣权重分值的1%。</w:t>
            </w:r>
          </w:p>
        </w:tc>
        <w:tc>
          <w:tcPr>
            <w:tcW w:w="382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反映发放补贴、补助人数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8</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按当年实际在位人数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1417"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保障办公人数</w:t>
            </w:r>
          </w:p>
        </w:tc>
        <w:tc>
          <w:tcPr>
            <w:tcW w:w="3402"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达到指标值得权重的满分，每超出指标值权重的1%，扣权重分值的1%。</w:t>
            </w:r>
          </w:p>
        </w:tc>
        <w:tc>
          <w:tcPr>
            <w:tcW w:w="382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反映保障办公人数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107</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人</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41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工资发放精准性</w:t>
            </w:r>
          </w:p>
        </w:tc>
        <w:tc>
          <w:tcPr>
            <w:tcW w:w="34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项目产出质量达到绩效目标得权重满分，未完成的按权重分值1%同比例扣减。</w:t>
            </w:r>
          </w:p>
        </w:tc>
        <w:tc>
          <w:tcPr>
            <w:tcW w:w="382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工资发放人员范围和数据的精准性</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《廊坊市人民政府关于印发廊坊市专职消防队伍建设管理办法的通知》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41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补助补贴发放覆盖率</w:t>
            </w:r>
          </w:p>
        </w:tc>
        <w:tc>
          <w:tcPr>
            <w:tcW w:w="34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项目产出质量达到绩效目标得权重满分，覆盖率未达到按权重分值1%同比例扣减。</w:t>
            </w:r>
          </w:p>
        </w:tc>
        <w:tc>
          <w:tcPr>
            <w:tcW w:w="382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补助补贴发放覆盖率</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补助补贴实际发放金额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141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运转保障率</w:t>
            </w:r>
          </w:p>
        </w:tc>
        <w:tc>
          <w:tcPr>
            <w:tcW w:w="34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达到指标值得权重的满分，每降低指标值权重的1%，扣权重分值的1%。</w:t>
            </w:r>
          </w:p>
        </w:tc>
        <w:tc>
          <w:tcPr>
            <w:tcW w:w="382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反映各项日常工作保障率</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1417"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工资发放及时性</w:t>
            </w:r>
          </w:p>
        </w:tc>
        <w:tc>
          <w:tcPr>
            <w:tcW w:w="3402"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按规定时间发放得权重满分，未如期完成的按权重分值1%同比例扣减。</w:t>
            </w:r>
          </w:p>
        </w:tc>
        <w:tc>
          <w:tcPr>
            <w:tcW w:w="3828"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工资发放的时效情况</w:t>
            </w:r>
          </w:p>
        </w:tc>
        <w:tc>
          <w:tcPr>
            <w:tcW w:w="850"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9"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按规定时间发放</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按规定时间发放</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1417"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补贴、补助发放时间</w:t>
            </w:r>
          </w:p>
        </w:tc>
        <w:tc>
          <w:tcPr>
            <w:tcW w:w="3402"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项目产出时效达到绩效目标得权重满分，未如期达到按权重分值1%同比例扣减。</w:t>
            </w:r>
          </w:p>
        </w:tc>
        <w:tc>
          <w:tcPr>
            <w:tcW w:w="3828"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反应补贴、补助发放时间</w:t>
            </w:r>
          </w:p>
        </w:tc>
        <w:tc>
          <w:tcPr>
            <w:tcW w:w="850"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9"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12月31日之前</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补贴、补助实际发放时间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1417"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3402"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达到指标值得权重的满分，未及时完成的不得分。</w:t>
            </w:r>
          </w:p>
        </w:tc>
        <w:tc>
          <w:tcPr>
            <w:tcW w:w="3828"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反映及时保障各项日常办公需要</w:t>
            </w:r>
          </w:p>
        </w:tc>
        <w:tc>
          <w:tcPr>
            <w:tcW w:w="850"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9"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文字描述</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经费及时到账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417"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工资（福利）、社会保障（公积金）等发放（缴纳）标准</w:t>
            </w:r>
          </w:p>
        </w:tc>
        <w:tc>
          <w:tcPr>
            <w:tcW w:w="3402"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项目产出成本按绩效目标控制得权重满分，未完成的按权重分值1%同比例扣减。</w:t>
            </w:r>
          </w:p>
        </w:tc>
        <w:tc>
          <w:tcPr>
            <w:tcW w:w="3828"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工资、保险等发放（缴纳）标准情况</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按规定执行</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按规定执行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417"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人均补贴、补助标准</w:t>
            </w:r>
          </w:p>
        </w:tc>
        <w:tc>
          <w:tcPr>
            <w:tcW w:w="3402"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项目产出成本按绩效控制得权重满分，未完成的，按权重分值1%同比例扣减。</w:t>
            </w:r>
          </w:p>
        </w:tc>
        <w:tc>
          <w:tcPr>
            <w:tcW w:w="3828"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反映人均补贴、补助发放标准</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5.73</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万元</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补贴补助测算总额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1417"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日常公用经费开支标准</w:t>
            </w:r>
          </w:p>
        </w:tc>
        <w:tc>
          <w:tcPr>
            <w:tcW w:w="3402"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达到指标值得权重的满分，每超出指标值权重的1%，扣权重分值的1%。</w:t>
            </w:r>
          </w:p>
        </w:tc>
        <w:tc>
          <w:tcPr>
            <w:tcW w:w="3828" w:type="dxa"/>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反映办公费、水电费、取暖费及其他公用经费的开支标准</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文字描述</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按统一规定执行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1008"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部门效果</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41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保持队伍稳定</w:t>
            </w:r>
          </w:p>
        </w:tc>
        <w:tc>
          <w:tcPr>
            <w:tcW w:w="34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完成绩效目标设定的社会效益得权重满分，未完成的指标的按偏离度适度扣减。</w:t>
            </w:r>
          </w:p>
        </w:tc>
        <w:tc>
          <w:tcPr>
            <w:tcW w:w="382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保持队伍稳定，保证办公正常运转。</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保持队伍相对稳定</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《廊坊市人民政府责任状》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53"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141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保障日常办公需要，维持单位正常运转</w:t>
            </w:r>
          </w:p>
        </w:tc>
        <w:tc>
          <w:tcPr>
            <w:tcW w:w="34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完成绩效目标设定的经济效益得权重满分，未完成指标值的按偏离度适度扣减。</w:t>
            </w:r>
          </w:p>
        </w:tc>
        <w:tc>
          <w:tcPr>
            <w:tcW w:w="382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反映保障日常办公需要，维持单位正常运转</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文字描述</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支队、总队下发的检查任务</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经济效益</w:t>
            </w:r>
          </w:p>
        </w:tc>
        <w:tc>
          <w:tcPr>
            <w:tcW w:w="141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火灾防控</w:t>
            </w:r>
          </w:p>
        </w:tc>
        <w:tc>
          <w:tcPr>
            <w:tcW w:w="34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完成绩效目标设定的经济效益得权重满分，未完成指标值的按偏离度适度扣减。</w:t>
            </w:r>
          </w:p>
        </w:tc>
        <w:tc>
          <w:tcPr>
            <w:tcW w:w="382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调查引发火灾的原因</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监管社会单位</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实际工作效果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经济效益</w:t>
            </w:r>
          </w:p>
        </w:tc>
        <w:tc>
          <w:tcPr>
            <w:tcW w:w="141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保障完成执法执勤率</w:t>
            </w:r>
          </w:p>
        </w:tc>
        <w:tc>
          <w:tcPr>
            <w:tcW w:w="34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达到指标值得权重的满分，达不到指标效果不得分</w:t>
            </w:r>
          </w:p>
        </w:tc>
        <w:tc>
          <w:tcPr>
            <w:tcW w:w="382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反映保障完成执法执勤率情况</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支队、总队下发的检查任务</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2"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可持续</w:t>
            </w:r>
          </w:p>
          <w:p>
            <w:pPr>
              <w:jc w:val="center"/>
              <w:rPr>
                <w:rFonts w:ascii="方正书宋_GBK" w:eastAsia="方正书宋_GBK"/>
                <w:color w:val="000000"/>
                <w:sz w:val="21"/>
                <w:szCs w:val="21"/>
              </w:rPr>
            </w:pPr>
            <w:r>
              <w:rPr>
                <w:rFonts w:hint="eastAsia" w:ascii="方正书宋_GBK" w:eastAsia="方正书宋_GBK"/>
                <w:color w:val="000000"/>
                <w:sz w:val="21"/>
                <w:szCs w:val="21"/>
              </w:rPr>
              <w:t>影响</w:t>
            </w:r>
          </w:p>
        </w:tc>
        <w:tc>
          <w:tcPr>
            <w:tcW w:w="141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宣传率</w:t>
            </w:r>
          </w:p>
        </w:tc>
        <w:tc>
          <w:tcPr>
            <w:tcW w:w="340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达到指标值得权重的满分，每降低指标值权重的1%，扣权重分值的1%。</w:t>
            </w:r>
          </w:p>
        </w:tc>
        <w:tc>
          <w:tcPr>
            <w:tcW w:w="3828"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计划宣传次数占实际宣传次数</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宣传计划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1417"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单位人员满意度</w:t>
            </w:r>
          </w:p>
        </w:tc>
        <w:tc>
          <w:tcPr>
            <w:tcW w:w="3402"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达到指标值得权重的满分，每降低指标值权重的1%，扣权重分值的1%。</w:t>
            </w:r>
          </w:p>
        </w:tc>
        <w:tc>
          <w:tcPr>
            <w:tcW w:w="3828"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消防文员对工资福利等发放工作的满意程度</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走访调查</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008" w:type="dxa"/>
            <w:vMerge w:val="continue"/>
            <w:shd w:val="clear" w:color="auto" w:fill="auto"/>
            <w:vAlign w:val="center"/>
          </w:tcPr>
          <w:p>
            <w:pPr>
              <w:rPr>
                <w:rFonts w:ascii="方正书宋_GBK" w:hAnsi="宋体" w:eastAsia="方正书宋_GBK" w:cs="宋体"/>
                <w:color w:val="000000"/>
                <w:sz w:val="21"/>
                <w:szCs w:val="21"/>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1417"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受补助、补贴人员满意度</w:t>
            </w:r>
          </w:p>
        </w:tc>
        <w:tc>
          <w:tcPr>
            <w:tcW w:w="3402"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达到指标值得权重的满分，每降低指标值权重的1%，扣权重分值的1%。</w:t>
            </w:r>
          </w:p>
        </w:tc>
        <w:tc>
          <w:tcPr>
            <w:tcW w:w="3828" w:type="dxa"/>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受补助、补贴人员满意程度</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163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走访调查</w:t>
            </w:r>
          </w:p>
        </w:tc>
      </w:tr>
    </w:tbl>
    <w:p>
      <w:pPr>
        <w:ind w:firstLine="640" w:firstLineChars="20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1、消防业务经费绩效目标表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1.做好保障工作，完成上级下达任务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保障办公人数</w:t>
            </w:r>
          </w:p>
        </w:tc>
        <w:tc>
          <w:tcPr>
            <w:tcW w:w="2835" w:type="dxa"/>
            <w:vAlign w:val="center"/>
          </w:tcPr>
          <w:p>
            <w:pPr>
              <w:pStyle w:val="17"/>
            </w:pPr>
            <w:r>
              <w:t>反映保障办公人数</w:t>
            </w:r>
          </w:p>
        </w:tc>
        <w:tc>
          <w:tcPr>
            <w:tcW w:w="2551" w:type="dxa"/>
            <w:vAlign w:val="center"/>
          </w:tcPr>
          <w:p>
            <w:pPr>
              <w:pStyle w:val="17"/>
            </w:pPr>
            <w:r>
              <w:t>107人</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反映各项日常工作保障率</w:t>
            </w:r>
          </w:p>
        </w:tc>
        <w:tc>
          <w:tcPr>
            <w:tcW w:w="2551" w:type="dxa"/>
            <w:vAlign w:val="center"/>
          </w:tcPr>
          <w:p>
            <w:pPr>
              <w:pStyle w:val="17"/>
            </w:pPr>
            <w:r>
              <w:t>100%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经费保障及时性</w:t>
            </w:r>
          </w:p>
        </w:tc>
        <w:tc>
          <w:tcPr>
            <w:tcW w:w="2835" w:type="dxa"/>
            <w:vAlign w:val="center"/>
          </w:tcPr>
          <w:p>
            <w:pPr>
              <w:pStyle w:val="17"/>
            </w:pPr>
            <w:r>
              <w:t>反映及时保障各项日常办公需要</w:t>
            </w:r>
          </w:p>
        </w:tc>
        <w:tc>
          <w:tcPr>
            <w:tcW w:w="2551" w:type="dxa"/>
            <w:vAlign w:val="center"/>
          </w:tcPr>
          <w:p>
            <w:pPr>
              <w:pStyle w:val="17"/>
            </w:pPr>
            <w:r>
              <w:t>文字描述</w:t>
            </w:r>
          </w:p>
        </w:tc>
        <w:tc>
          <w:tcPr>
            <w:tcW w:w="2268" w:type="dxa"/>
            <w:vAlign w:val="center"/>
          </w:tcPr>
          <w:p>
            <w:pPr>
              <w:pStyle w:val="17"/>
            </w:pPr>
            <w:r>
              <w:t>经费及时到账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日常公用经费开支标准</w:t>
            </w:r>
          </w:p>
        </w:tc>
        <w:tc>
          <w:tcPr>
            <w:tcW w:w="2835" w:type="dxa"/>
            <w:vAlign w:val="center"/>
          </w:tcPr>
          <w:p>
            <w:pPr>
              <w:pStyle w:val="17"/>
            </w:pPr>
            <w:r>
              <w:t>反映办公费、水电费、取暖费及其他公用经费的开支标准</w:t>
            </w:r>
          </w:p>
        </w:tc>
        <w:tc>
          <w:tcPr>
            <w:tcW w:w="2551" w:type="dxa"/>
            <w:vAlign w:val="center"/>
          </w:tcPr>
          <w:p>
            <w:pPr>
              <w:pStyle w:val="17"/>
            </w:pPr>
            <w:r>
              <w:t>文字描述</w:t>
            </w:r>
          </w:p>
        </w:tc>
        <w:tc>
          <w:tcPr>
            <w:tcW w:w="2268" w:type="dxa"/>
            <w:vAlign w:val="center"/>
          </w:tcPr>
          <w:p>
            <w:pPr>
              <w:pStyle w:val="17"/>
            </w:pPr>
            <w:r>
              <w:t>按统一规定执行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保障完成执法执勤率</w:t>
            </w:r>
          </w:p>
        </w:tc>
        <w:tc>
          <w:tcPr>
            <w:tcW w:w="2835" w:type="dxa"/>
            <w:vAlign w:val="center"/>
          </w:tcPr>
          <w:p>
            <w:pPr>
              <w:pStyle w:val="17"/>
            </w:pPr>
            <w:r>
              <w:t>反映保障完成执法执勤率情况</w:t>
            </w:r>
          </w:p>
        </w:tc>
        <w:tc>
          <w:tcPr>
            <w:tcW w:w="2551" w:type="dxa"/>
            <w:vAlign w:val="center"/>
          </w:tcPr>
          <w:p>
            <w:pPr>
              <w:pStyle w:val="17"/>
            </w:pPr>
            <w:r>
              <w:t>≥100%</w:t>
            </w:r>
          </w:p>
        </w:tc>
        <w:tc>
          <w:tcPr>
            <w:tcW w:w="2268" w:type="dxa"/>
            <w:vAlign w:val="center"/>
          </w:tcPr>
          <w:p>
            <w:pPr>
              <w:pStyle w:val="17"/>
            </w:pPr>
            <w:r>
              <w:t>支队、总队下发的检查任务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保障日常办公需要，维持单位正常运转</w:t>
            </w:r>
          </w:p>
        </w:tc>
        <w:tc>
          <w:tcPr>
            <w:tcW w:w="2835" w:type="dxa"/>
            <w:vAlign w:val="center"/>
          </w:tcPr>
          <w:p>
            <w:pPr>
              <w:pStyle w:val="17"/>
            </w:pPr>
            <w:r>
              <w:t>反映保障日常办公需要，维持单位正常运转</w:t>
            </w:r>
          </w:p>
        </w:tc>
        <w:tc>
          <w:tcPr>
            <w:tcW w:w="2551" w:type="dxa"/>
            <w:vAlign w:val="center"/>
          </w:tcPr>
          <w:p>
            <w:pPr>
              <w:pStyle w:val="17"/>
            </w:pPr>
            <w:r>
              <w:t>文字描述</w:t>
            </w:r>
          </w:p>
        </w:tc>
        <w:tc>
          <w:tcPr>
            <w:tcW w:w="2268" w:type="dxa"/>
            <w:vAlign w:val="center"/>
          </w:tcPr>
          <w:p>
            <w:pPr>
              <w:pStyle w:val="17"/>
            </w:pPr>
            <w:r>
              <w:t>支队、总队下发的检查任务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社会群众满意度　</w:t>
            </w:r>
          </w:p>
        </w:tc>
        <w:tc>
          <w:tcPr>
            <w:tcW w:w="2835" w:type="dxa"/>
            <w:vAlign w:val="center"/>
          </w:tcPr>
          <w:p>
            <w:pPr>
              <w:pStyle w:val="17"/>
            </w:pPr>
            <w:r>
              <w:t>调查对象满意人数占全部调查对象比例</w:t>
            </w:r>
          </w:p>
        </w:tc>
        <w:tc>
          <w:tcPr>
            <w:tcW w:w="2551" w:type="dxa"/>
            <w:vAlign w:val="center"/>
          </w:tcPr>
          <w:p>
            <w:pPr>
              <w:pStyle w:val="17"/>
            </w:pPr>
            <w:r>
              <w:t>≥80%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2、消防救援干部地方补贴资金绩效目标表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1.目标内容1按时足额发放消防救援干部改革性奖励性补贴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补贴、补助人数</w:t>
            </w:r>
          </w:p>
        </w:tc>
        <w:tc>
          <w:tcPr>
            <w:tcW w:w="2835" w:type="dxa"/>
            <w:vAlign w:val="center"/>
          </w:tcPr>
          <w:p>
            <w:pPr>
              <w:pStyle w:val="17"/>
            </w:pPr>
            <w:r>
              <w:t>反映发放补贴、补助人数</w:t>
            </w:r>
          </w:p>
        </w:tc>
        <w:tc>
          <w:tcPr>
            <w:tcW w:w="2551" w:type="dxa"/>
            <w:vAlign w:val="center"/>
          </w:tcPr>
          <w:p>
            <w:pPr>
              <w:pStyle w:val="17"/>
            </w:pPr>
            <w:r>
              <w:t>8人</w:t>
            </w:r>
          </w:p>
        </w:tc>
        <w:tc>
          <w:tcPr>
            <w:tcW w:w="2268" w:type="dxa"/>
            <w:vAlign w:val="center"/>
          </w:tcPr>
          <w:p>
            <w:pPr>
              <w:pStyle w:val="17"/>
            </w:pPr>
            <w:r>
              <w:t>按当年实际在位人数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补贴、补助发放覆盖率</w:t>
            </w:r>
          </w:p>
        </w:tc>
        <w:tc>
          <w:tcPr>
            <w:tcW w:w="2835" w:type="dxa"/>
            <w:vAlign w:val="center"/>
          </w:tcPr>
          <w:p>
            <w:pPr>
              <w:pStyle w:val="17"/>
            </w:pPr>
            <w:r>
              <w:t>补贴、补助发放覆盖率</w:t>
            </w:r>
          </w:p>
        </w:tc>
        <w:tc>
          <w:tcPr>
            <w:tcW w:w="2551" w:type="dxa"/>
            <w:vAlign w:val="center"/>
          </w:tcPr>
          <w:p>
            <w:pPr>
              <w:pStyle w:val="17"/>
            </w:pPr>
            <w:r>
              <w:t>100百分比</w:t>
            </w:r>
          </w:p>
        </w:tc>
        <w:tc>
          <w:tcPr>
            <w:tcW w:w="2268" w:type="dxa"/>
            <w:vAlign w:val="center"/>
          </w:tcPr>
          <w:p>
            <w:pPr>
              <w:pStyle w:val="17"/>
            </w:pPr>
            <w:r>
              <w:t>补贴、补助实际发放金额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补贴、补助发放时间</w:t>
            </w:r>
          </w:p>
        </w:tc>
        <w:tc>
          <w:tcPr>
            <w:tcW w:w="2835" w:type="dxa"/>
            <w:vAlign w:val="center"/>
          </w:tcPr>
          <w:p>
            <w:pPr>
              <w:pStyle w:val="17"/>
            </w:pPr>
            <w:r>
              <w:t>反应补贴、补助发放时间</w:t>
            </w:r>
          </w:p>
        </w:tc>
        <w:tc>
          <w:tcPr>
            <w:tcW w:w="2551" w:type="dxa"/>
            <w:vAlign w:val="center"/>
          </w:tcPr>
          <w:p>
            <w:pPr>
              <w:pStyle w:val="17"/>
            </w:pPr>
            <w:r>
              <w:t>12月31日之前</w:t>
            </w:r>
          </w:p>
        </w:tc>
        <w:tc>
          <w:tcPr>
            <w:tcW w:w="2268" w:type="dxa"/>
            <w:vAlign w:val="center"/>
          </w:tcPr>
          <w:p>
            <w:pPr>
              <w:pStyle w:val="17"/>
            </w:pPr>
            <w:r>
              <w:t>补贴、补助实际发放时间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人均补贴、补助标准</w:t>
            </w:r>
          </w:p>
        </w:tc>
        <w:tc>
          <w:tcPr>
            <w:tcW w:w="2835" w:type="dxa"/>
            <w:vAlign w:val="center"/>
          </w:tcPr>
          <w:p>
            <w:pPr>
              <w:pStyle w:val="17"/>
            </w:pPr>
            <w:r>
              <w:t>反映人均补贴、补助发放标准</w:t>
            </w:r>
          </w:p>
        </w:tc>
        <w:tc>
          <w:tcPr>
            <w:tcW w:w="2551" w:type="dxa"/>
            <w:vAlign w:val="center"/>
          </w:tcPr>
          <w:p>
            <w:pPr>
              <w:pStyle w:val="17"/>
            </w:pPr>
            <w:r>
              <w:t>5.73万元</w:t>
            </w:r>
          </w:p>
        </w:tc>
        <w:tc>
          <w:tcPr>
            <w:tcW w:w="2268" w:type="dxa"/>
            <w:vAlign w:val="center"/>
          </w:tcPr>
          <w:p>
            <w:pPr>
              <w:pStyle w:val="17"/>
            </w:pPr>
            <w:r>
              <w:t>补贴补助测算总额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火灾防控</w:t>
            </w:r>
          </w:p>
        </w:tc>
        <w:tc>
          <w:tcPr>
            <w:tcW w:w="2835" w:type="dxa"/>
            <w:vAlign w:val="center"/>
          </w:tcPr>
          <w:p>
            <w:pPr>
              <w:pStyle w:val="17"/>
            </w:pPr>
            <w:r>
              <w:t>调查引发火灾的原因</w:t>
            </w:r>
          </w:p>
        </w:tc>
        <w:tc>
          <w:tcPr>
            <w:tcW w:w="2551" w:type="dxa"/>
            <w:vAlign w:val="center"/>
          </w:tcPr>
          <w:p>
            <w:pPr>
              <w:pStyle w:val="17"/>
            </w:pPr>
            <w:r>
              <w:t>监管社会单位</w:t>
            </w:r>
          </w:p>
        </w:tc>
        <w:tc>
          <w:tcPr>
            <w:tcW w:w="2268" w:type="dxa"/>
            <w:vAlign w:val="center"/>
          </w:tcPr>
          <w:p>
            <w:pPr>
              <w:pStyle w:val="17"/>
            </w:pPr>
            <w:r>
              <w:t>实际工作效果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受补助人群生活水平提高</w:t>
            </w:r>
          </w:p>
        </w:tc>
        <w:tc>
          <w:tcPr>
            <w:tcW w:w="2835" w:type="dxa"/>
            <w:vAlign w:val="center"/>
          </w:tcPr>
          <w:p>
            <w:pPr>
              <w:pStyle w:val="17"/>
            </w:pPr>
            <w:r>
              <w:t>反映受补助人群生活水平提高程度</w:t>
            </w:r>
          </w:p>
        </w:tc>
        <w:tc>
          <w:tcPr>
            <w:tcW w:w="2551" w:type="dxa"/>
            <w:vAlign w:val="center"/>
          </w:tcPr>
          <w:p>
            <w:pPr>
              <w:pStyle w:val="17"/>
            </w:pPr>
            <w:r>
              <w:t>生活水平提高</w:t>
            </w:r>
          </w:p>
        </w:tc>
        <w:tc>
          <w:tcPr>
            <w:tcW w:w="2268" w:type="dxa"/>
            <w:vAlign w:val="center"/>
          </w:tcPr>
          <w:p>
            <w:pPr>
              <w:pStyle w:val="17"/>
            </w:pPr>
            <w:r>
              <w:t>受补助人群幸福感增加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受补贴补助人员满意度</w:t>
            </w:r>
          </w:p>
        </w:tc>
        <w:tc>
          <w:tcPr>
            <w:tcW w:w="2835" w:type="dxa"/>
            <w:vAlign w:val="center"/>
          </w:tcPr>
          <w:p>
            <w:pPr>
              <w:pStyle w:val="17"/>
            </w:pPr>
            <w:r>
              <w:t>受补贴补助人员对补贴发放的满意程度</w:t>
            </w:r>
          </w:p>
        </w:tc>
        <w:tc>
          <w:tcPr>
            <w:tcW w:w="2551" w:type="dxa"/>
            <w:vAlign w:val="center"/>
          </w:tcPr>
          <w:p>
            <w:pPr>
              <w:pStyle w:val="17"/>
            </w:pPr>
            <w:r>
              <w:t>≥90百分比</w:t>
            </w:r>
          </w:p>
        </w:tc>
        <w:tc>
          <w:tcPr>
            <w:tcW w:w="2268" w:type="dxa"/>
            <w:vAlign w:val="center"/>
          </w:tcPr>
          <w:p>
            <w:pPr>
              <w:pStyle w:val="17"/>
            </w:pPr>
            <w:r>
              <w:t>满意调查问卷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3、消防文员人员经费绩效目标表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1.目标内容1按时足额发放消防文员工资、及时缴纳各项保险等</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消防文员保障人数情况</w:t>
            </w:r>
          </w:p>
        </w:tc>
        <w:tc>
          <w:tcPr>
            <w:tcW w:w="2551" w:type="dxa"/>
            <w:vAlign w:val="center"/>
          </w:tcPr>
          <w:p>
            <w:pPr>
              <w:pStyle w:val="17"/>
            </w:pPr>
            <w:r>
              <w:t>39人</w:t>
            </w:r>
          </w:p>
        </w:tc>
        <w:tc>
          <w:tcPr>
            <w:tcW w:w="2268" w:type="dxa"/>
            <w:vAlign w:val="center"/>
          </w:tcPr>
          <w:p>
            <w:pPr>
              <w:pStyle w:val="17"/>
            </w:pPr>
            <w:r>
              <w:t>《廊坊市人民政府责任状》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工资发放精准性</w:t>
            </w:r>
          </w:p>
        </w:tc>
        <w:tc>
          <w:tcPr>
            <w:tcW w:w="2835" w:type="dxa"/>
            <w:vAlign w:val="center"/>
          </w:tcPr>
          <w:p>
            <w:pPr>
              <w:pStyle w:val="17"/>
            </w:pPr>
            <w:r>
              <w:t>工资发放人员范围和数据的精准性</w:t>
            </w:r>
          </w:p>
        </w:tc>
        <w:tc>
          <w:tcPr>
            <w:tcW w:w="2551" w:type="dxa"/>
            <w:vAlign w:val="center"/>
          </w:tcPr>
          <w:p>
            <w:pPr>
              <w:pStyle w:val="17"/>
            </w:pPr>
            <w:r>
              <w:t>100百分比</w:t>
            </w:r>
          </w:p>
        </w:tc>
        <w:tc>
          <w:tcPr>
            <w:tcW w:w="2268" w:type="dxa"/>
            <w:vAlign w:val="center"/>
          </w:tcPr>
          <w:p>
            <w:pPr>
              <w:pStyle w:val="17"/>
            </w:pPr>
            <w:r>
              <w:t>《廊坊市专职消防队伍建设管理办法》【2017】22号文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工资发放及时性</w:t>
            </w:r>
          </w:p>
        </w:tc>
        <w:tc>
          <w:tcPr>
            <w:tcW w:w="2835" w:type="dxa"/>
            <w:vAlign w:val="center"/>
          </w:tcPr>
          <w:p>
            <w:pPr>
              <w:pStyle w:val="17"/>
            </w:pPr>
            <w:r>
              <w:t>工资发放的时效情况</w:t>
            </w:r>
          </w:p>
        </w:tc>
        <w:tc>
          <w:tcPr>
            <w:tcW w:w="2551" w:type="dxa"/>
            <w:vAlign w:val="center"/>
          </w:tcPr>
          <w:p>
            <w:pPr>
              <w:pStyle w:val="17"/>
            </w:pPr>
            <w:r>
              <w:t>按规定时间发放</w:t>
            </w:r>
          </w:p>
        </w:tc>
        <w:tc>
          <w:tcPr>
            <w:tcW w:w="2268" w:type="dxa"/>
            <w:vAlign w:val="center"/>
          </w:tcPr>
          <w:p>
            <w:pPr>
              <w:pStyle w:val="17"/>
            </w:pPr>
            <w:r>
              <w:t>按规定时间发放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工资、保险等发放（缴纳）标准</w:t>
            </w:r>
          </w:p>
        </w:tc>
        <w:tc>
          <w:tcPr>
            <w:tcW w:w="2835" w:type="dxa"/>
            <w:vAlign w:val="center"/>
          </w:tcPr>
          <w:p>
            <w:pPr>
              <w:pStyle w:val="17"/>
            </w:pPr>
            <w:r>
              <w:t>工资、保险等发放（缴纳）标准情况</w:t>
            </w:r>
          </w:p>
        </w:tc>
        <w:tc>
          <w:tcPr>
            <w:tcW w:w="2551" w:type="dxa"/>
            <w:vAlign w:val="center"/>
          </w:tcPr>
          <w:p>
            <w:pPr>
              <w:pStyle w:val="17"/>
            </w:pPr>
            <w:r>
              <w:t>按规定执行</w:t>
            </w:r>
          </w:p>
        </w:tc>
        <w:tc>
          <w:tcPr>
            <w:tcW w:w="2268" w:type="dxa"/>
            <w:vAlign w:val="center"/>
          </w:tcPr>
          <w:p>
            <w:pPr>
              <w:pStyle w:val="17"/>
            </w:pPr>
            <w:r>
              <w:t>按规定执行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保持队伍稳定</w:t>
            </w:r>
          </w:p>
        </w:tc>
        <w:tc>
          <w:tcPr>
            <w:tcW w:w="2835" w:type="dxa"/>
            <w:vAlign w:val="center"/>
          </w:tcPr>
          <w:p>
            <w:pPr>
              <w:pStyle w:val="17"/>
            </w:pPr>
            <w:r>
              <w:t>保持队伍稳定，保证办公正常运转。</w:t>
            </w:r>
          </w:p>
        </w:tc>
        <w:tc>
          <w:tcPr>
            <w:tcW w:w="2551" w:type="dxa"/>
            <w:vAlign w:val="center"/>
          </w:tcPr>
          <w:p>
            <w:pPr>
              <w:pStyle w:val="17"/>
            </w:pPr>
            <w:r>
              <w:t>保持队伍相对稳定</w:t>
            </w:r>
          </w:p>
        </w:tc>
        <w:tc>
          <w:tcPr>
            <w:tcW w:w="2268" w:type="dxa"/>
            <w:vAlign w:val="center"/>
          </w:tcPr>
          <w:p>
            <w:pPr>
              <w:pStyle w:val="17"/>
            </w:pPr>
            <w:r>
              <w:t>《廊坊市人民政府责任状》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火灾防控</w:t>
            </w:r>
          </w:p>
        </w:tc>
        <w:tc>
          <w:tcPr>
            <w:tcW w:w="2835" w:type="dxa"/>
            <w:vAlign w:val="center"/>
          </w:tcPr>
          <w:p>
            <w:pPr>
              <w:pStyle w:val="17"/>
            </w:pPr>
            <w:r>
              <w:t>调查引发火灾的原因</w:t>
            </w:r>
          </w:p>
        </w:tc>
        <w:tc>
          <w:tcPr>
            <w:tcW w:w="2551" w:type="dxa"/>
            <w:vAlign w:val="center"/>
          </w:tcPr>
          <w:p>
            <w:pPr>
              <w:pStyle w:val="17"/>
            </w:pPr>
            <w:r>
              <w:t>监管社会单位</w:t>
            </w:r>
          </w:p>
        </w:tc>
        <w:tc>
          <w:tcPr>
            <w:tcW w:w="2268" w:type="dxa"/>
            <w:vAlign w:val="center"/>
          </w:tcPr>
          <w:p>
            <w:pPr>
              <w:pStyle w:val="17"/>
            </w:pPr>
            <w:r>
              <w:t>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单位消防文员满意度</w:t>
            </w:r>
          </w:p>
        </w:tc>
        <w:tc>
          <w:tcPr>
            <w:tcW w:w="2835" w:type="dxa"/>
            <w:vAlign w:val="center"/>
          </w:tcPr>
          <w:p>
            <w:pPr>
              <w:pStyle w:val="17"/>
            </w:pPr>
            <w:r>
              <w:t>单位消防文员满意度情况</w:t>
            </w:r>
          </w:p>
        </w:tc>
        <w:tc>
          <w:tcPr>
            <w:tcW w:w="2551" w:type="dxa"/>
            <w:vAlign w:val="center"/>
          </w:tcPr>
          <w:p>
            <w:pPr>
              <w:pStyle w:val="17"/>
            </w:pPr>
            <w:r>
              <w:t>≥95百分比</w:t>
            </w:r>
          </w:p>
        </w:tc>
        <w:tc>
          <w:tcPr>
            <w:tcW w:w="2268" w:type="dxa"/>
            <w:vAlign w:val="center"/>
          </w:tcPr>
          <w:p>
            <w:pPr>
              <w:pStyle w:val="17"/>
            </w:pPr>
            <w:r>
              <w:t>走访调查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2023年，廊坊市广阳区消防救援大队安排政府采购预算0.00万元。具体内容见下表。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335廊坊市广阳区消防救援大队</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廊坊市广阳区消防救援大队（含所属单位）上年末固定资产金额为0.00万元（详见下表）。本年度拟购置固定资产总额为0.00万元，已按要求列入政府采购预算，详见政府采购预算表。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335廊坊市广阳区消防救援大队</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F4"/>
    <w:rsid w:val="003B5228"/>
    <w:rsid w:val="00451E38"/>
    <w:rsid w:val="0064763D"/>
    <w:rsid w:val="006C63C4"/>
    <w:rsid w:val="00987FF4"/>
    <w:rsid w:val="00A81DF1"/>
    <w:rsid w:val="00AD6F15"/>
    <w:rsid w:val="00E52566"/>
    <w:rsid w:val="36E97500"/>
    <w:rsid w:val="5C9D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2023-03-13T11:05:49Z</dcterms:created>
  <dcterms:modified xsi:type="dcterms:W3CDTF">2023-03-13T03:05:49Z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2023-03-13T11:05:53Z</dcterms:created>
  <dcterms:modified xsi:type="dcterms:W3CDTF">2023-03-13T03:05:53Z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2023-03-13T11:05:54Z</dcterms:created>
  <dcterms:modified xsi:type="dcterms:W3CDTF">2023-03-13T03:05:54Z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2023-03-13T11:05:50Z</dcterms:created>
  <dcterms:modified xsi:type="dcterms:W3CDTF">2023-03-13T03:05:50Z</dcterms:modified>
</cp:coreProperties>
</file>

<file path=customXml/itemProps1.xml><?xml version="1.0" encoding="utf-8"?>
<ds:datastoreItem xmlns:ds="http://schemas.openxmlformats.org/officeDocument/2006/customXml" ds:itemID="{706BF1D3-2373-4A60-900E-57AC3AFABA4A}">
  <ds:schemaRefs/>
</ds:datastoreItem>
</file>

<file path=customXml/itemProps10.xml><?xml version="1.0" encoding="utf-8"?>
<ds:datastoreItem xmlns:ds="http://schemas.openxmlformats.org/officeDocument/2006/customXml" ds:itemID="{5E40E12C-8379-4668-A217-D6E6B07AA9C0}">
  <ds:schemaRefs/>
</ds:datastoreItem>
</file>

<file path=customXml/itemProps11.xml><?xml version="1.0" encoding="utf-8"?>
<ds:datastoreItem xmlns:ds="http://schemas.openxmlformats.org/officeDocument/2006/customXml" ds:itemID="{7872D6AC-594B-4546-9164-19A76410C4E5}">
  <ds:schemaRefs/>
</ds:datastoreItem>
</file>

<file path=customXml/itemProps12.xml><?xml version="1.0" encoding="utf-8"?>
<ds:datastoreItem xmlns:ds="http://schemas.openxmlformats.org/officeDocument/2006/customXml" ds:itemID="{AA0E616B-F7A5-4F34-8460-9FC4F17C3588}">
  <ds:schemaRefs/>
</ds:datastoreItem>
</file>

<file path=customXml/itemProps13.xml><?xml version="1.0" encoding="utf-8"?>
<ds:datastoreItem xmlns:ds="http://schemas.openxmlformats.org/officeDocument/2006/customXml" ds:itemID="{C6F8FCCB-46D5-481D-B5BE-F05F3B022C60}">
  <ds:schemaRefs/>
</ds:datastoreItem>
</file>

<file path=customXml/itemProps14.xml><?xml version="1.0" encoding="utf-8"?>
<ds:datastoreItem xmlns:ds="http://schemas.openxmlformats.org/officeDocument/2006/customXml" ds:itemID="{89E0B704-8E42-4A02-81BF-FFAE5A40AA43}">
  <ds:schemaRefs/>
</ds:datastoreItem>
</file>

<file path=customXml/itemProps15.xml><?xml version="1.0" encoding="utf-8"?>
<ds:datastoreItem xmlns:ds="http://schemas.openxmlformats.org/officeDocument/2006/customXml" ds:itemID="{B5565FA7-AB29-4A19-863A-CC35A2D21C99}">
  <ds:schemaRefs/>
</ds:datastoreItem>
</file>

<file path=customXml/itemProps16.xml><?xml version="1.0" encoding="utf-8"?>
<ds:datastoreItem xmlns:ds="http://schemas.openxmlformats.org/officeDocument/2006/customXml" ds:itemID="{4EA195F9-296A-4C06-8E45-E645E0CB74D5}">
  <ds:schemaRefs/>
</ds:datastoreItem>
</file>

<file path=customXml/itemProps17.xml><?xml version="1.0" encoding="utf-8"?>
<ds:datastoreItem xmlns:ds="http://schemas.openxmlformats.org/officeDocument/2006/customXml" ds:itemID="{3A7DE4A1-CD4D-4C4F-B6C4-1F528B31318B}">
  <ds:schemaRefs/>
</ds:datastoreItem>
</file>

<file path=customXml/itemProps18.xml><?xml version="1.0" encoding="utf-8"?>
<ds:datastoreItem xmlns:ds="http://schemas.openxmlformats.org/officeDocument/2006/customXml" ds:itemID="{D0D4FEA4-FDBE-4F4B-BE4F-1861F15F092B}">
  <ds:schemaRefs/>
</ds:datastoreItem>
</file>

<file path=customXml/itemProps19.xml><?xml version="1.0" encoding="utf-8"?>
<ds:datastoreItem xmlns:ds="http://schemas.openxmlformats.org/officeDocument/2006/customXml" ds:itemID="{E4A4E746-3F84-4835-A416-BE58701FD908}">
  <ds:schemaRefs/>
</ds:datastoreItem>
</file>

<file path=customXml/itemProps2.xml><?xml version="1.0" encoding="utf-8"?>
<ds:datastoreItem xmlns:ds="http://schemas.openxmlformats.org/officeDocument/2006/customXml" ds:itemID="{5D6B9817-6C9E-4A1D-81F3-AF104F7EF8A7}">
  <ds:schemaRefs/>
</ds:datastoreItem>
</file>

<file path=customXml/itemProps20.xml><?xml version="1.0" encoding="utf-8"?>
<ds:datastoreItem xmlns:ds="http://schemas.openxmlformats.org/officeDocument/2006/customXml" ds:itemID="{933F5E99-11C2-4403-9F03-0C3E07E56F99}">
  <ds:schemaRefs/>
</ds:datastoreItem>
</file>

<file path=customXml/itemProps21.xml><?xml version="1.0" encoding="utf-8"?>
<ds:datastoreItem xmlns:ds="http://schemas.openxmlformats.org/officeDocument/2006/customXml" ds:itemID="{87CE0386-4156-49BB-9AEE-A3381AAFEA3D}">
  <ds:schemaRefs/>
</ds:datastoreItem>
</file>

<file path=customXml/itemProps22.xml><?xml version="1.0" encoding="utf-8"?>
<ds:datastoreItem xmlns:ds="http://schemas.openxmlformats.org/officeDocument/2006/customXml" ds:itemID="{042B0198-5961-4ACE-8575-C7C180CC9E0B}">
  <ds:schemaRefs/>
</ds:datastoreItem>
</file>

<file path=customXml/itemProps3.xml><?xml version="1.0" encoding="utf-8"?>
<ds:datastoreItem xmlns:ds="http://schemas.openxmlformats.org/officeDocument/2006/customXml" ds:itemID="{3B8493F2-4E38-4F4D-AF0D-F370766FA08A}">
  <ds:schemaRefs/>
</ds:datastoreItem>
</file>

<file path=customXml/itemProps4.xml><?xml version="1.0" encoding="utf-8"?>
<ds:datastoreItem xmlns:ds="http://schemas.openxmlformats.org/officeDocument/2006/customXml" ds:itemID="{3A6619E7-E408-4EB2-8B1F-297AA65E6BAA}">
  <ds:schemaRefs/>
</ds:datastoreItem>
</file>

<file path=customXml/itemProps5.xml><?xml version="1.0" encoding="utf-8"?>
<ds:datastoreItem xmlns:ds="http://schemas.openxmlformats.org/officeDocument/2006/customXml" ds:itemID="{18C42C6A-6AA4-4E40-A36D-BCFC464FF69F}">
  <ds:schemaRefs/>
</ds:datastoreItem>
</file>

<file path=customXml/itemProps6.xml><?xml version="1.0" encoding="utf-8"?>
<ds:datastoreItem xmlns:ds="http://schemas.openxmlformats.org/officeDocument/2006/customXml" ds:itemID="{0DAE96C8-5DB3-4959-87E7-D477A30F4200}">
  <ds:schemaRefs/>
</ds:datastoreItem>
</file>

<file path=customXml/itemProps7.xml><?xml version="1.0" encoding="utf-8"?>
<ds:datastoreItem xmlns:ds="http://schemas.openxmlformats.org/officeDocument/2006/customXml" ds:itemID="{DC0AA8D4-62B2-4305-9144-14B12D4798BF}">
  <ds:schemaRefs/>
</ds:datastoreItem>
</file>

<file path=customXml/itemProps8.xml><?xml version="1.0" encoding="utf-8"?>
<ds:datastoreItem xmlns:ds="http://schemas.openxmlformats.org/officeDocument/2006/customXml" ds:itemID="{31BB588F-4540-4172-865E-EE57A8DF4D81}">
  <ds:schemaRefs/>
</ds:datastoreItem>
</file>

<file path=customXml/itemProps9.xml><?xml version="1.0" encoding="utf-8"?>
<ds:datastoreItem xmlns:ds="http://schemas.openxmlformats.org/officeDocument/2006/customXml" ds:itemID="{FC227522-6278-49EB-B37B-92AAFE53F529}">
  <ds:schemaRefs/>
</ds:datastoreItem>
</file>

<file path=docProps/app.xml><?xml version="1.0" encoding="utf-8"?>
<Properties xmlns="http://schemas.openxmlformats.org/officeDocument/2006/extended-properties" xmlns:vt="http://schemas.openxmlformats.org/officeDocument/2006/docPropsVTypes">
  <Template>Normal</Template>
  <Pages>28</Pages>
  <Words>1594</Words>
  <Characters>9086</Characters>
  <Lines>75</Lines>
  <Paragraphs>21</Paragraphs>
  <TotalTime>7</TotalTime>
  <ScaleCrop>false</ScaleCrop>
  <LinksUpToDate>false</LinksUpToDate>
  <CharactersWithSpaces>10659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2023-03-13T11:05:00Z</dcterms:created>
  <dc:creator>111</dc:creator>
  <cp:lastModifiedBy>111</cp:lastModifiedBy>
  <dcterms:modified xsi:type="dcterms:W3CDTF">2024-07-22T07:27:30Z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331AC9B4C1DC4B5F8650F5410CBD77B5</vt:lpwstr>
  </property>
</Properties>
</file>