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9</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17</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27</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27</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28</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29</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287廊坊市广阳区信访局</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395.24</w:t>
            </w:r>
          </w:p>
        </w:tc>
        <w:tc>
          <w:tcPr>
            <w:tcW w:w="4535" w:type="dxa"/>
            <w:vAlign w:val="center"/>
          </w:tcPr>
          <w:p>
            <w:pPr>
              <w:pStyle w:val="17"/>
            </w:pPr>
            <w:r>
              <w:t>一、一般公共服务支出</w:t>
            </w:r>
          </w:p>
        </w:tc>
        <w:tc>
          <w:tcPr>
            <w:tcW w:w="2126" w:type="dxa"/>
            <w:vAlign w:val="center"/>
          </w:tcPr>
          <w:p>
            <w:pPr>
              <w:pStyle w:val="16"/>
            </w:pPr>
            <w:r>
              <w:t>334.07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40.45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395.24</w:t>
            </w:r>
          </w:p>
        </w:tc>
        <w:tc>
          <w:tcPr>
            <w:tcW w:w="4535" w:type="dxa"/>
            <w:vAlign w:val="center"/>
          </w:tcPr>
          <w:p>
            <w:pPr>
              <w:pStyle w:val="19"/>
            </w:pPr>
            <w:r>
              <w:t>本年支出合计</w:t>
            </w:r>
          </w:p>
        </w:tc>
        <w:tc>
          <w:tcPr>
            <w:tcW w:w="2126" w:type="dxa"/>
            <w:vAlign w:val="center"/>
          </w:tcPr>
          <w:p>
            <w:pPr>
              <w:pStyle w:val="20"/>
            </w:pPr>
            <w:r>
              <w:t>395.24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395.24</w:t>
            </w:r>
          </w:p>
        </w:tc>
        <w:tc>
          <w:tcPr>
            <w:tcW w:w="4535" w:type="dxa"/>
            <w:vAlign w:val="center"/>
          </w:tcPr>
          <w:p>
            <w:pPr>
              <w:pStyle w:val="19"/>
            </w:pPr>
            <w:r>
              <w:t>支出总计</w:t>
            </w:r>
          </w:p>
        </w:tc>
        <w:tc>
          <w:tcPr>
            <w:tcW w:w="2126" w:type="dxa"/>
            <w:vAlign w:val="center"/>
          </w:tcPr>
          <w:p>
            <w:pPr>
              <w:pStyle w:val="20"/>
            </w:pPr>
            <w:r>
              <w:t>395.24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287廊坊市广阳区信访局</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395.24</w:t>
            </w:r>
          </w:p>
        </w:tc>
        <w:tc>
          <w:tcPr>
            <w:tcW w:w="1134" w:type="dxa"/>
            <w:vAlign w:val="center"/>
          </w:tcPr>
          <w:p>
            <w:pPr>
              <w:pStyle w:val="20"/>
            </w:pPr>
            <w:r>
              <w:t>395.24</w:t>
            </w:r>
          </w:p>
        </w:tc>
        <w:tc>
          <w:tcPr>
            <w:tcW w:w="1134" w:type="dxa"/>
            <w:vAlign w:val="center"/>
          </w:tcPr>
          <w:p>
            <w:pPr>
              <w:pStyle w:val="20"/>
            </w:pPr>
            <w:r>
              <w:t>395.24</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334.07</w:t>
            </w:r>
          </w:p>
        </w:tc>
        <w:tc>
          <w:tcPr>
            <w:tcW w:w="1134" w:type="dxa"/>
            <w:vAlign w:val="center"/>
          </w:tcPr>
          <w:p>
            <w:pPr>
              <w:pStyle w:val="16"/>
            </w:pPr>
            <w:r>
              <w:t>334.07</w:t>
            </w:r>
          </w:p>
        </w:tc>
        <w:tc>
          <w:tcPr>
            <w:tcW w:w="1134" w:type="dxa"/>
            <w:vAlign w:val="center"/>
          </w:tcPr>
          <w:p>
            <w:pPr>
              <w:pStyle w:val="16"/>
            </w:pPr>
            <w:r>
              <w:t>334.07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20103</w:t>
            </w:r>
          </w:p>
        </w:tc>
        <w:tc>
          <w:tcPr>
            <w:tcW w:w="1559" w:type="dxa"/>
            <w:vAlign w:val="center"/>
          </w:tcPr>
          <w:p>
            <w:pPr>
              <w:pStyle w:val="17"/>
            </w:pPr>
            <w:r>
              <w:t>政府办公厅（室）及相关机构事务</w:t>
            </w:r>
          </w:p>
        </w:tc>
        <w:tc>
          <w:tcPr>
            <w:tcW w:w="1134" w:type="dxa"/>
            <w:vAlign w:val="center"/>
          </w:tcPr>
          <w:p>
            <w:pPr>
              <w:pStyle w:val="16"/>
            </w:pPr>
            <w:r>
              <w:t>150.00</w:t>
            </w:r>
          </w:p>
        </w:tc>
        <w:tc>
          <w:tcPr>
            <w:tcW w:w="1134" w:type="dxa"/>
            <w:vAlign w:val="center"/>
          </w:tcPr>
          <w:p>
            <w:pPr>
              <w:pStyle w:val="16"/>
            </w:pPr>
            <w:r>
              <w:t>150.00</w:t>
            </w:r>
          </w:p>
        </w:tc>
        <w:tc>
          <w:tcPr>
            <w:tcW w:w="1134" w:type="dxa"/>
            <w:vAlign w:val="center"/>
          </w:tcPr>
          <w:p>
            <w:pPr>
              <w:pStyle w:val="16"/>
            </w:pPr>
            <w:r>
              <w:t>150.00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2010308</w:t>
            </w:r>
          </w:p>
        </w:tc>
        <w:tc>
          <w:tcPr>
            <w:tcW w:w="1559" w:type="dxa"/>
            <w:vAlign w:val="center"/>
          </w:tcPr>
          <w:p>
            <w:pPr>
              <w:pStyle w:val="17"/>
            </w:pPr>
            <w:r>
              <w:t>信访事务</w:t>
            </w:r>
          </w:p>
        </w:tc>
        <w:tc>
          <w:tcPr>
            <w:tcW w:w="1134" w:type="dxa"/>
            <w:vAlign w:val="center"/>
          </w:tcPr>
          <w:p>
            <w:pPr>
              <w:pStyle w:val="16"/>
            </w:pPr>
            <w:r>
              <w:t>150.00</w:t>
            </w:r>
          </w:p>
        </w:tc>
        <w:tc>
          <w:tcPr>
            <w:tcW w:w="1134" w:type="dxa"/>
            <w:vAlign w:val="center"/>
          </w:tcPr>
          <w:p>
            <w:pPr>
              <w:pStyle w:val="16"/>
            </w:pPr>
            <w:r>
              <w:t>150.00</w:t>
            </w:r>
          </w:p>
        </w:tc>
        <w:tc>
          <w:tcPr>
            <w:tcW w:w="1134" w:type="dxa"/>
            <w:vAlign w:val="center"/>
          </w:tcPr>
          <w:p>
            <w:pPr>
              <w:pStyle w:val="16"/>
            </w:pPr>
            <w:r>
              <w:t>150.00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20131</w:t>
            </w:r>
          </w:p>
        </w:tc>
        <w:tc>
          <w:tcPr>
            <w:tcW w:w="1559" w:type="dxa"/>
            <w:vAlign w:val="center"/>
          </w:tcPr>
          <w:p>
            <w:pPr>
              <w:pStyle w:val="17"/>
            </w:pPr>
            <w:r>
              <w:t>党委办公厅（室）及相关机构事务</w:t>
            </w:r>
          </w:p>
        </w:tc>
        <w:tc>
          <w:tcPr>
            <w:tcW w:w="1134" w:type="dxa"/>
            <w:vAlign w:val="center"/>
          </w:tcPr>
          <w:p>
            <w:pPr>
              <w:pStyle w:val="16"/>
            </w:pPr>
            <w:r>
              <w:t>184.07</w:t>
            </w:r>
          </w:p>
        </w:tc>
        <w:tc>
          <w:tcPr>
            <w:tcW w:w="1134" w:type="dxa"/>
            <w:vAlign w:val="center"/>
          </w:tcPr>
          <w:p>
            <w:pPr>
              <w:pStyle w:val="16"/>
            </w:pPr>
            <w:r>
              <w:t>184.07</w:t>
            </w:r>
          </w:p>
        </w:tc>
        <w:tc>
          <w:tcPr>
            <w:tcW w:w="1134" w:type="dxa"/>
            <w:vAlign w:val="center"/>
          </w:tcPr>
          <w:p>
            <w:pPr>
              <w:pStyle w:val="16"/>
            </w:pPr>
            <w:r>
              <w:t>184.07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2013101</w:t>
            </w:r>
          </w:p>
        </w:tc>
        <w:tc>
          <w:tcPr>
            <w:tcW w:w="1559" w:type="dxa"/>
            <w:vAlign w:val="center"/>
          </w:tcPr>
          <w:p>
            <w:pPr>
              <w:pStyle w:val="17"/>
            </w:pPr>
            <w:r>
              <w:t>行政运行</w:t>
            </w:r>
          </w:p>
        </w:tc>
        <w:tc>
          <w:tcPr>
            <w:tcW w:w="1134" w:type="dxa"/>
            <w:vAlign w:val="center"/>
          </w:tcPr>
          <w:p>
            <w:pPr>
              <w:pStyle w:val="16"/>
            </w:pPr>
            <w:r>
              <w:t>184.07</w:t>
            </w:r>
          </w:p>
        </w:tc>
        <w:tc>
          <w:tcPr>
            <w:tcW w:w="1134" w:type="dxa"/>
            <w:vAlign w:val="center"/>
          </w:tcPr>
          <w:p>
            <w:pPr>
              <w:pStyle w:val="16"/>
            </w:pPr>
            <w:r>
              <w:t>184.07</w:t>
            </w:r>
          </w:p>
        </w:tc>
        <w:tc>
          <w:tcPr>
            <w:tcW w:w="1134" w:type="dxa"/>
            <w:vAlign w:val="center"/>
          </w:tcPr>
          <w:p>
            <w:pPr>
              <w:pStyle w:val="16"/>
            </w:pPr>
            <w:r>
              <w:t>184.07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40.45</w:t>
            </w:r>
          </w:p>
        </w:tc>
        <w:tc>
          <w:tcPr>
            <w:tcW w:w="1134" w:type="dxa"/>
            <w:vAlign w:val="center"/>
          </w:tcPr>
          <w:p>
            <w:pPr>
              <w:pStyle w:val="16"/>
            </w:pPr>
            <w:r>
              <w:t>40.45</w:t>
            </w:r>
          </w:p>
        </w:tc>
        <w:tc>
          <w:tcPr>
            <w:tcW w:w="1134" w:type="dxa"/>
            <w:vAlign w:val="center"/>
          </w:tcPr>
          <w:p>
            <w:pPr>
              <w:pStyle w:val="16"/>
            </w:pPr>
            <w:r>
              <w:t>40.45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40.45</w:t>
            </w:r>
          </w:p>
        </w:tc>
        <w:tc>
          <w:tcPr>
            <w:tcW w:w="1134" w:type="dxa"/>
            <w:vAlign w:val="center"/>
          </w:tcPr>
          <w:p>
            <w:pPr>
              <w:pStyle w:val="16"/>
            </w:pPr>
            <w:r>
              <w:t>40.45</w:t>
            </w:r>
          </w:p>
        </w:tc>
        <w:tc>
          <w:tcPr>
            <w:tcW w:w="1134" w:type="dxa"/>
            <w:vAlign w:val="center"/>
          </w:tcPr>
          <w:p>
            <w:pPr>
              <w:pStyle w:val="16"/>
            </w:pPr>
            <w:r>
              <w:t>40.45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22.16</w:t>
            </w:r>
          </w:p>
        </w:tc>
        <w:tc>
          <w:tcPr>
            <w:tcW w:w="1134" w:type="dxa"/>
            <w:vAlign w:val="center"/>
          </w:tcPr>
          <w:p>
            <w:pPr>
              <w:pStyle w:val="16"/>
            </w:pPr>
            <w:r>
              <w:t>22.16</w:t>
            </w:r>
          </w:p>
        </w:tc>
        <w:tc>
          <w:tcPr>
            <w:tcW w:w="1134" w:type="dxa"/>
            <w:vAlign w:val="center"/>
          </w:tcPr>
          <w:p>
            <w:pPr>
              <w:pStyle w:val="16"/>
            </w:pPr>
            <w:r>
              <w:t>22.16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18.29</w:t>
            </w:r>
          </w:p>
        </w:tc>
        <w:tc>
          <w:tcPr>
            <w:tcW w:w="1134" w:type="dxa"/>
            <w:vAlign w:val="center"/>
          </w:tcPr>
          <w:p>
            <w:pPr>
              <w:pStyle w:val="16"/>
            </w:pPr>
            <w:r>
              <w:t>18.29</w:t>
            </w:r>
          </w:p>
        </w:tc>
        <w:tc>
          <w:tcPr>
            <w:tcW w:w="1134" w:type="dxa"/>
            <w:vAlign w:val="center"/>
          </w:tcPr>
          <w:p>
            <w:pPr>
              <w:pStyle w:val="16"/>
            </w:pPr>
            <w:r>
              <w:t>18.29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5.62</w:t>
            </w:r>
          </w:p>
        </w:tc>
        <w:tc>
          <w:tcPr>
            <w:tcW w:w="1134" w:type="dxa"/>
            <w:vAlign w:val="center"/>
          </w:tcPr>
          <w:p>
            <w:pPr>
              <w:pStyle w:val="16"/>
            </w:pPr>
            <w:r>
              <w:t>5.62</w:t>
            </w:r>
          </w:p>
        </w:tc>
        <w:tc>
          <w:tcPr>
            <w:tcW w:w="1134" w:type="dxa"/>
            <w:vAlign w:val="center"/>
          </w:tcPr>
          <w:p>
            <w:pPr>
              <w:pStyle w:val="16"/>
            </w:pPr>
            <w:r>
              <w:t>5.62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5.62</w:t>
            </w:r>
          </w:p>
        </w:tc>
        <w:tc>
          <w:tcPr>
            <w:tcW w:w="1134" w:type="dxa"/>
            <w:vAlign w:val="center"/>
          </w:tcPr>
          <w:p>
            <w:pPr>
              <w:pStyle w:val="16"/>
            </w:pPr>
            <w:r>
              <w:t>5.62</w:t>
            </w:r>
          </w:p>
        </w:tc>
        <w:tc>
          <w:tcPr>
            <w:tcW w:w="1134" w:type="dxa"/>
            <w:vAlign w:val="center"/>
          </w:tcPr>
          <w:p>
            <w:pPr>
              <w:pStyle w:val="16"/>
            </w:pPr>
            <w:r>
              <w:t>5.62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5.62</w:t>
            </w:r>
          </w:p>
        </w:tc>
        <w:tc>
          <w:tcPr>
            <w:tcW w:w="1134" w:type="dxa"/>
            <w:vAlign w:val="center"/>
          </w:tcPr>
          <w:p>
            <w:pPr>
              <w:pStyle w:val="16"/>
            </w:pPr>
            <w:r>
              <w:t>5.62</w:t>
            </w:r>
          </w:p>
        </w:tc>
        <w:tc>
          <w:tcPr>
            <w:tcW w:w="1134" w:type="dxa"/>
            <w:vAlign w:val="center"/>
          </w:tcPr>
          <w:p>
            <w:pPr>
              <w:pStyle w:val="16"/>
            </w:pPr>
            <w:r>
              <w:t>5.62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15.10</w:t>
            </w:r>
          </w:p>
        </w:tc>
        <w:tc>
          <w:tcPr>
            <w:tcW w:w="1134" w:type="dxa"/>
            <w:vAlign w:val="center"/>
          </w:tcPr>
          <w:p>
            <w:pPr>
              <w:pStyle w:val="16"/>
            </w:pPr>
            <w:r>
              <w:t>15.10</w:t>
            </w:r>
          </w:p>
        </w:tc>
        <w:tc>
          <w:tcPr>
            <w:tcW w:w="1134" w:type="dxa"/>
            <w:vAlign w:val="center"/>
          </w:tcPr>
          <w:p>
            <w:pPr>
              <w:pStyle w:val="16"/>
            </w:pPr>
            <w:r>
              <w:t>15.10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15.10</w:t>
            </w:r>
          </w:p>
        </w:tc>
        <w:tc>
          <w:tcPr>
            <w:tcW w:w="1134" w:type="dxa"/>
            <w:vAlign w:val="center"/>
          </w:tcPr>
          <w:p>
            <w:pPr>
              <w:pStyle w:val="16"/>
            </w:pPr>
            <w:r>
              <w:t>15.10</w:t>
            </w:r>
          </w:p>
        </w:tc>
        <w:tc>
          <w:tcPr>
            <w:tcW w:w="1134" w:type="dxa"/>
            <w:vAlign w:val="center"/>
          </w:tcPr>
          <w:p>
            <w:pPr>
              <w:pStyle w:val="16"/>
            </w:pPr>
            <w:r>
              <w:t>15.10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15.10</w:t>
            </w:r>
          </w:p>
        </w:tc>
        <w:tc>
          <w:tcPr>
            <w:tcW w:w="1134" w:type="dxa"/>
            <w:vAlign w:val="center"/>
          </w:tcPr>
          <w:p>
            <w:pPr>
              <w:pStyle w:val="16"/>
            </w:pPr>
            <w:r>
              <w:t>15.10</w:t>
            </w:r>
          </w:p>
        </w:tc>
        <w:tc>
          <w:tcPr>
            <w:tcW w:w="1134" w:type="dxa"/>
            <w:vAlign w:val="center"/>
          </w:tcPr>
          <w:p>
            <w:pPr>
              <w:pStyle w:val="16"/>
            </w:pPr>
            <w:r>
              <w:t>15.10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287廊坊市广阳区信访局</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395.24</w:t>
            </w:r>
          </w:p>
        </w:tc>
        <w:tc>
          <w:tcPr>
            <w:tcW w:w="1361" w:type="dxa"/>
            <w:vAlign w:val="center"/>
          </w:tcPr>
          <w:p>
            <w:pPr>
              <w:pStyle w:val="20"/>
            </w:pPr>
            <w:r>
              <w:t>245.24</w:t>
            </w:r>
          </w:p>
        </w:tc>
        <w:tc>
          <w:tcPr>
            <w:tcW w:w="1361" w:type="dxa"/>
            <w:vAlign w:val="center"/>
          </w:tcPr>
          <w:p>
            <w:pPr>
              <w:pStyle w:val="20"/>
            </w:pPr>
            <w:r>
              <w:t>150.00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334.07</w:t>
            </w:r>
          </w:p>
        </w:tc>
        <w:tc>
          <w:tcPr>
            <w:tcW w:w="1361" w:type="dxa"/>
            <w:vAlign w:val="center"/>
          </w:tcPr>
          <w:p>
            <w:pPr>
              <w:pStyle w:val="16"/>
            </w:pPr>
            <w:r>
              <w:t>184.07</w:t>
            </w:r>
          </w:p>
        </w:tc>
        <w:tc>
          <w:tcPr>
            <w:tcW w:w="1361" w:type="dxa"/>
            <w:vAlign w:val="center"/>
          </w:tcPr>
          <w:p>
            <w:pPr>
              <w:pStyle w:val="16"/>
            </w:pPr>
            <w:r>
              <w:t>150.00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20103</w:t>
            </w:r>
          </w:p>
        </w:tc>
        <w:tc>
          <w:tcPr>
            <w:tcW w:w="4535" w:type="dxa"/>
            <w:vAlign w:val="center"/>
          </w:tcPr>
          <w:p>
            <w:pPr>
              <w:pStyle w:val="17"/>
            </w:pPr>
            <w:r>
              <w:t>政府办公厅（室）及相关机构事务</w:t>
            </w:r>
          </w:p>
        </w:tc>
        <w:tc>
          <w:tcPr>
            <w:tcW w:w="1361" w:type="dxa"/>
            <w:vAlign w:val="center"/>
          </w:tcPr>
          <w:p>
            <w:pPr>
              <w:pStyle w:val="16"/>
            </w:pPr>
            <w:r>
              <w:t>150.00</w:t>
            </w:r>
          </w:p>
        </w:tc>
        <w:tc>
          <w:tcPr>
            <w:tcW w:w="1361" w:type="dxa"/>
            <w:vAlign w:val="center"/>
          </w:tcPr>
          <w:p>
            <w:pPr>
              <w:pStyle w:val="16"/>
            </w:pPr>
          </w:p>
        </w:tc>
        <w:tc>
          <w:tcPr>
            <w:tcW w:w="1361" w:type="dxa"/>
            <w:vAlign w:val="center"/>
          </w:tcPr>
          <w:p>
            <w:pPr>
              <w:pStyle w:val="16"/>
            </w:pPr>
            <w:r>
              <w:t>150.00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2010308</w:t>
            </w:r>
          </w:p>
        </w:tc>
        <w:tc>
          <w:tcPr>
            <w:tcW w:w="4535" w:type="dxa"/>
            <w:vAlign w:val="center"/>
          </w:tcPr>
          <w:p>
            <w:pPr>
              <w:pStyle w:val="17"/>
            </w:pPr>
            <w:r>
              <w:t>信访事务</w:t>
            </w:r>
          </w:p>
        </w:tc>
        <w:tc>
          <w:tcPr>
            <w:tcW w:w="1361" w:type="dxa"/>
            <w:vAlign w:val="center"/>
          </w:tcPr>
          <w:p>
            <w:pPr>
              <w:pStyle w:val="16"/>
            </w:pPr>
            <w:r>
              <w:t>150.00</w:t>
            </w:r>
          </w:p>
        </w:tc>
        <w:tc>
          <w:tcPr>
            <w:tcW w:w="1361" w:type="dxa"/>
            <w:vAlign w:val="center"/>
          </w:tcPr>
          <w:p>
            <w:pPr>
              <w:pStyle w:val="16"/>
            </w:pPr>
          </w:p>
        </w:tc>
        <w:tc>
          <w:tcPr>
            <w:tcW w:w="1361" w:type="dxa"/>
            <w:vAlign w:val="center"/>
          </w:tcPr>
          <w:p>
            <w:pPr>
              <w:pStyle w:val="16"/>
            </w:pPr>
            <w:r>
              <w:t>150.00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20131</w:t>
            </w:r>
          </w:p>
        </w:tc>
        <w:tc>
          <w:tcPr>
            <w:tcW w:w="4535" w:type="dxa"/>
            <w:vAlign w:val="center"/>
          </w:tcPr>
          <w:p>
            <w:pPr>
              <w:pStyle w:val="17"/>
            </w:pPr>
            <w:r>
              <w:t>党委办公厅（室）及相关机构事务</w:t>
            </w:r>
          </w:p>
        </w:tc>
        <w:tc>
          <w:tcPr>
            <w:tcW w:w="1361" w:type="dxa"/>
            <w:vAlign w:val="center"/>
          </w:tcPr>
          <w:p>
            <w:pPr>
              <w:pStyle w:val="16"/>
            </w:pPr>
            <w:r>
              <w:t>184.07</w:t>
            </w:r>
          </w:p>
        </w:tc>
        <w:tc>
          <w:tcPr>
            <w:tcW w:w="1361" w:type="dxa"/>
            <w:vAlign w:val="center"/>
          </w:tcPr>
          <w:p>
            <w:pPr>
              <w:pStyle w:val="16"/>
            </w:pPr>
            <w:r>
              <w:t>184.07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2013101</w:t>
            </w:r>
          </w:p>
        </w:tc>
        <w:tc>
          <w:tcPr>
            <w:tcW w:w="4535" w:type="dxa"/>
            <w:vAlign w:val="center"/>
          </w:tcPr>
          <w:p>
            <w:pPr>
              <w:pStyle w:val="17"/>
            </w:pPr>
            <w:r>
              <w:t>行政运行</w:t>
            </w:r>
          </w:p>
        </w:tc>
        <w:tc>
          <w:tcPr>
            <w:tcW w:w="1361" w:type="dxa"/>
            <w:vAlign w:val="center"/>
          </w:tcPr>
          <w:p>
            <w:pPr>
              <w:pStyle w:val="16"/>
            </w:pPr>
            <w:r>
              <w:t>184.07</w:t>
            </w:r>
          </w:p>
        </w:tc>
        <w:tc>
          <w:tcPr>
            <w:tcW w:w="1361" w:type="dxa"/>
            <w:vAlign w:val="center"/>
          </w:tcPr>
          <w:p>
            <w:pPr>
              <w:pStyle w:val="16"/>
            </w:pPr>
            <w:r>
              <w:t>184.07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40.45</w:t>
            </w:r>
          </w:p>
        </w:tc>
        <w:tc>
          <w:tcPr>
            <w:tcW w:w="1361" w:type="dxa"/>
            <w:vAlign w:val="center"/>
          </w:tcPr>
          <w:p>
            <w:pPr>
              <w:pStyle w:val="16"/>
            </w:pPr>
            <w:r>
              <w:t>40.45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40.45</w:t>
            </w:r>
          </w:p>
        </w:tc>
        <w:tc>
          <w:tcPr>
            <w:tcW w:w="1361" w:type="dxa"/>
            <w:vAlign w:val="center"/>
          </w:tcPr>
          <w:p>
            <w:pPr>
              <w:pStyle w:val="16"/>
            </w:pPr>
            <w:r>
              <w:t>40.45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22.16</w:t>
            </w:r>
          </w:p>
        </w:tc>
        <w:tc>
          <w:tcPr>
            <w:tcW w:w="1361" w:type="dxa"/>
            <w:vAlign w:val="center"/>
          </w:tcPr>
          <w:p>
            <w:pPr>
              <w:pStyle w:val="16"/>
            </w:pPr>
            <w:r>
              <w:t>22.16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18.29</w:t>
            </w:r>
          </w:p>
        </w:tc>
        <w:tc>
          <w:tcPr>
            <w:tcW w:w="1361" w:type="dxa"/>
            <w:vAlign w:val="center"/>
          </w:tcPr>
          <w:p>
            <w:pPr>
              <w:pStyle w:val="16"/>
            </w:pPr>
            <w:r>
              <w:t>18.29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5.62</w:t>
            </w:r>
          </w:p>
        </w:tc>
        <w:tc>
          <w:tcPr>
            <w:tcW w:w="1361" w:type="dxa"/>
            <w:vAlign w:val="center"/>
          </w:tcPr>
          <w:p>
            <w:pPr>
              <w:pStyle w:val="16"/>
            </w:pPr>
            <w:r>
              <w:t>5.62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5.62</w:t>
            </w:r>
          </w:p>
        </w:tc>
        <w:tc>
          <w:tcPr>
            <w:tcW w:w="1361" w:type="dxa"/>
            <w:vAlign w:val="center"/>
          </w:tcPr>
          <w:p>
            <w:pPr>
              <w:pStyle w:val="16"/>
            </w:pPr>
            <w:r>
              <w:t>5.62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5.62</w:t>
            </w:r>
          </w:p>
        </w:tc>
        <w:tc>
          <w:tcPr>
            <w:tcW w:w="1361" w:type="dxa"/>
            <w:vAlign w:val="center"/>
          </w:tcPr>
          <w:p>
            <w:pPr>
              <w:pStyle w:val="16"/>
            </w:pPr>
            <w:r>
              <w:t>5.62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15.10</w:t>
            </w:r>
          </w:p>
        </w:tc>
        <w:tc>
          <w:tcPr>
            <w:tcW w:w="1361" w:type="dxa"/>
            <w:vAlign w:val="center"/>
          </w:tcPr>
          <w:p>
            <w:pPr>
              <w:pStyle w:val="16"/>
            </w:pPr>
            <w:r>
              <w:t>15.10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15.10</w:t>
            </w:r>
          </w:p>
        </w:tc>
        <w:tc>
          <w:tcPr>
            <w:tcW w:w="1361" w:type="dxa"/>
            <w:vAlign w:val="center"/>
          </w:tcPr>
          <w:p>
            <w:pPr>
              <w:pStyle w:val="16"/>
            </w:pPr>
            <w:r>
              <w:t>15.10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15.10</w:t>
            </w:r>
          </w:p>
        </w:tc>
        <w:tc>
          <w:tcPr>
            <w:tcW w:w="1361" w:type="dxa"/>
            <w:vAlign w:val="center"/>
          </w:tcPr>
          <w:p>
            <w:pPr>
              <w:pStyle w:val="16"/>
            </w:pPr>
            <w:r>
              <w:t>15.10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287廊坊市广阳区信访局</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395.24</w:t>
            </w:r>
          </w:p>
        </w:tc>
        <w:tc>
          <w:tcPr>
            <w:tcW w:w="3402" w:type="dxa"/>
            <w:vAlign w:val="center"/>
          </w:tcPr>
          <w:p>
            <w:pPr>
              <w:pStyle w:val="17"/>
            </w:pPr>
            <w:r>
              <w:t>一、一般公共服务支出</w:t>
            </w:r>
          </w:p>
        </w:tc>
        <w:tc>
          <w:tcPr>
            <w:tcW w:w="1474" w:type="dxa"/>
            <w:vAlign w:val="center"/>
          </w:tcPr>
          <w:p>
            <w:pPr>
              <w:pStyle w:val="16"/>
            </w:pPr>
            <w:r>
              <w:t>334.07</w:t>
            </w:r>
          </w:p>
        </w:tc>
        <w:tc>
          <w:tcPr>
            <w:tcW w:w="1474" w:type="dxa"/>
            <w:vAlign w:val="center"/>
          </w:tcPr>
          <w:p>
            <w:pPr>
              <w:pStyle w:val="16"/>
            </w:pPr>
            <w:r>
              <w:t>334.07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40.45</w:t>
            </w:r>
          </w:p>
        </w:tc>
        <w:tc>
          <w:tcPr>
            <w:tcW w:w="1474" w:type="dxa"/>
            <w:vAlign w:val="center"/>
          </w:tcPr>
          <w:p>
            <w:pPr>
              <w:pStyle w:val="16"/>
            </w:pPr>
            <w:r>
              <w:t>40.45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5.62</w:t>
            </w:r>
          </w:p>
        </w:tc>
        <w:tc>
          <w:tcPr>
            <w:tcW w:w="1474" w:type="dxa"/>
            <w:vAlign w:val="center"/>
          </w:tcPr>
          <w:p>
            <w:pPr>
              <w:pStyle w:val="16"/>
            </w:pPr>
            <w:r>
              <w:t>5.62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15.10</w:t>
            </w:r>
          </w:p>
        </w:tc>
        <w:tc>
          <w:tcPr>
            <w:tcW w:w="1474" w:type="dxa"/>
            <w:vAlign w:val="center"/>
          </w:tcPr>
          <w:p>
            <w:pPr>
              <w:pStyle w:val="16"/>
            </w:pPr>
            <w:r>
              <w:t>15.10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395.24</w:t>
            </w:r>
          </w:p>
        </w:tc>
        <w:tc>
          <w:tcPr>
            <w:tcW w:w="3402" w:type="dxa"/>
            <w:vAlign w:val="center"/>
          </w:tcPr>
          <w:p>
            <w:pPr>
              <w:pStyle w:val="19"/>
            </w:pPr>
            <w:r>
              <w:t>本年支出合计</w:t>
            </w:r>
          </w:p>
        </w:tc>
        <w:tc>
          <w:tcPr>
            <w:tcW w:w="1474" w:type="dxa"/>
            <w:vAlign w:val="center"/>
          </w:tcPr>
          <w:p>
            <w:pPr>
              <w:pStyle w:val="20"/>
            </w:pPr>
            <w:r>
              <w:t>395.24</w:t>
            </w:r>
          </w:p>
        </w:tc>
        <w:tc>
          <w:tcPr>
            <w:tcW w:w="1474" w:type="dxa"/>
            <w:vAlign w:val="center"/>
          </w:tcPr>
          <w:p>
            <w:pPr>
              <w:pStyle w:val="20"/>
            </w:pPr>
            <w:r>
              <w:t>395.24</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395.24</w:t>
            </w:r>
          </w:p>
        </w:tc>
        <w:tc>
          <w:tcPr>
            <w:tcW w:w="3402" w:type="dxa"/>
            <w:vAlign w:val="center"/>
          </w:tcPr>
          <w:p>
            <w:pPr>
              <w:pStyle w:val="19"/>
            </w:pPr>
            <w:r>
              <w:t>支出总计</w:t>
            </w:r>
          </w:p>
        </w:tc>
        <w:tc>
          <w:tcPr>
            <w:tcW w:w="1474" w:type="dxa"/>
            <w:vAlign w:val="center"/>
          </w:tcPr>
          <w:p>
            <w:pPr>
              <w:pStyle w:val="20"/>
            </w:pPr>
            <w:r>
              <w:t>395.24</w:t>
            </w:r>
          </w:p>
        </w:tc>
        <w:tc>
          <w:tcPr>
            <w:tcW w:w="1474" w:type="dxa"/>
            <w:vAlign w:val="center"/>
          </w:tcPr>
          <w:p>
            <w:pPr>
              <w:pStyle w:val="20"/>
            </w:pPr>
            <w:r>
              <w:t>395.24</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287廊坊市广阳区信访局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395.24</w:t>
            </w:r>
          </w:p>
        </w:tc>
        <w:tc>
          <w:tcPr>
            <w:tcW w:w="2551" w:type="dxa"/>
            <w:vAlign w:val="center"/>
          </w:tcPr>
          <w:p>
            <w:pPr>
              <w:pStyle w:val="20"/>
            </w:pPr>
            <w:r>
              <w:t>245.24</w:t>
            </w:r>
          </w:p>
        </w:tc>
        <w:tc>
          <w:tcPr>
            <w:tcW w:w="2551" w:type="dxa"/>
            <w:vAlign w:val="center"/>
          </w:tcPr>
          <w:p>
            <w:pPr>
              <w:pStyle w:val="20"/>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334.07</w:t>
            </w:r>
          </w:p>
        </w:tc>
        <w:tc>
          <w:tcPr>
            <w:tcW w:w="2551" w:type="dxa"/>
            <w:vAlign w:val="center"/>
          </w:tcPr>
          <w:p>
            <w:pPr>
              <w:pStyle w:val="16"/>
            </w:pPr>
            <w:r>
              <w:t>184.07</w:t>
            </w:r>
          </w:p>
        </w:tc>
        <w:tc>
          <w:tcPr>
            <w:tcW w:w="2551" w:type="dxa"/>
            <w:vAlign w:val="center"/>
          </w:tcPr>
          <w:p>
            <w:pPr>
              <w:pStyle w:val="16"/>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20103</w:t>
            </w:r>
          </w:p>
        </w:tc>
        <w:tc>
          <w:tcPr>
            <w:tcW w:w="4535" w:type="dxa"/>
            <w:vAlign w:val="center"/>
          </w:tcPr>
          <w:p>
            <w:pPr>
              <w:pStyle w:val="17"/>
            </w:pPr>
            <w:r>
              <w:t>政府办公厅（室）及相关机构事务</w:t>
            </w:r>
          </w:p>
        </w:tc>
        <w:tc>
          <w:tcPr>
            <w:tcW w:w="2551" w:type="dxa"/>
            <w:vAlign w:val="center"/>
          </w:tcPr>
          <w:p>
            <w:pPr>
              <w:pStyle w:val="16"/>
            </w:pPr>
            <w:r>
              <w:t>150.00</w:t>
            </w:r>
          </w:p>
        </w:tc>
        <w:tc>
          <w:tcPr>
            <w:tcW w:w="2551" w:type="dxa"/>
            <w:vAlign w:val="center"/>
          </w:tcPr>
          <w:p>
            <w:pPr>
              <w:pStyle w:val="16"/>
            </w:pPr>
          </w:p>
        </w:tc>
        <w:tc>
          <w:tcPr>
            <w:tcW w:w="2551" w:type="dxa"/>
            <w:vAlign w:val="center"/>
          </w:tcPr>
          <w:p>
            <w:pPr>
              <w:pStyle w:val="16"/>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2010308</w:t>
            </w:r>
          </w:p>
        </w:tc>
        <w:tc>
          <w:tcPr>
            <w:tcW w:w="4535" w:type="dxa"/>
            <w:vAlign w:val="center"/>
          </w:tcPr>
          <w:p>
            <w:pPr>
              <w:pStyle w:val="17"/>
            </w:pPr>
            <w:r>
              <w:t>信访事务</w:t>
            </w:r>
          </w:p>
        </w:tc>
        <w:tc>
          <w:tcPr>
            <w:tcW w:w="2551" w:type="dxa"/>
            <w:vAlign w:val="center"/>
          </w:tcPr>
          <w:p>
            <w:pPr>
              <w:pStyle w:val="16"/>
            </w:pPr>
            <w:r>
              <w:t>150.00</w:t>
            </w:r>
          </w:p>
        </w:tc>
        <w:tc>
          <w:tcPr>
            <w:tcW w:w="2551" w:type="dxa"/>
            <w:vAlign w:val="center"/>
          </w:tcPr>
          <w:p>
            <w:pPr>
              <w:pStyle w:val="16"/>
            </w:pPr>
          </w:p>
        </w:tc>
        <w:tc>
          <w:tcPr>
            <w:tcW w:w="2551" w:type="dxa"/>
            <w:vAlign w:val="center"/>
          </w:tcPr>
          <w:p>
            <w:pPr>
              <w:pStyle w:val="16"/>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20131</w:t>
            </w:r>
          </w:p>
        </w:tc>
        <w:tc>
          <w:tcPr>
            <w:tcW w:w="4535" w:type="dxa"/>
            <w:vAlign w:val="center"/>
          </w:tcPr>
          <w:p>
            <w:pPr>
              <w:pStyle w:val="17"/>
            </w:pPr>
            <w:r>
              <w:t>党委办公厅（室）及相关机构事务</w:t>
            </w:r>
          </w:p>
        </w:tc>
        <w:tc>
          <w:tcPr>
            <w:tcW w:w="2551" w:type="dxa"/>
            <w:vAlign w:val="center"/>
          </w:tcPr>
          <w:p>
            <w:pPr>
              <w:pStyle w:val="16"/>
            </w:pPr>
            <w:r>
              <w:t>184.07</w:t>
            </w:r>
          </w:p>
        </w:tc>
        <w:tc>
          <w:tcPr>
            <w:tcW w:w="2551" w:type="dxa"/>
            <w:vAlign w:val="center"/>
          </w:tcPr>
          <w:p>
            <w:pPr>
              <w:pStyle w:val="16"/>
            </w:pPr>
            <w:r>
              <w:t>184.07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2013101</w:t>
            </w:r>
          </w:p>
        </w:tc>
        <w:tc>
          <w:tcPr>
            <w:tcW w:w="4535" w:type="dxa"/>
            <w:vAlign w:val="center"/>
          </w:tcPr>
          <w:p>
            <w:pPr>
              <w:pStyle w:val="17"/>
            </w:pPr>
            <w:r>
              <w:t>行政运行</w:t>
            </w:r>
          </w:p>
        </w:tc>
        <w:tc>
          <w:tcPr>
            <w:tcW w:w="2551" w:type="dxa"/>
            <w:vAlign w:val="center"/>
          </w:tcPr>
          <w:p>
            <w:pPr>
              <w:pStyle w:val="16"/>
            </w:pPr>
            <w:r>
              <w:t>184.07</w:t>
            </w:r>
          </w:p>
        </w:tc>
        <w:tc>
          <w:tcPr>
            <w:tcW w:w="2551" w:type="dxa"/>
            <w:vAlign w:val="center"/>
          </w:tcPr>
          <w:p>
            <w:pPr>
              <w:pStyle w:val="16"/>
            </w:pPr>
            <w:r>
              <w:t>184.07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40.45</w:t>
            </w:r>
          </w:p>
        </w:tc>
        <w:tc>
          <w:tcPr>
            <w:tcW w:w="2551" w:type="dxa"/>
            <w:vAlign w:val="center"/>
          </w:tcPr>
          <w:p>
            <w:pPr>
              <w:pStyle w:val="16"/>
            </w:pPr>
            <w:r>
              <w:t>40.45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40.45</w:t>
            </w:r>
          </w:p>
        </w:tc>
        <w:tc>
          <w:tcPr>
            <w:tcW w:w="2551" w:type="dxa"/>
            <w:vAlign w:val="center"/>
          </w:tcPr>
          <w:p>
            <w:pPr>
              <w:pStyle w:val="16"/>
            </w:pPr>
            <w:r>
              <w:t>40.45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22.16</w:t>
            </w:r>
          </w:p>
        </w:tc>
        <w:tc>
          <w:tcPr>
            <w:tcW w:w="2551" w:type="dxa"/>
            <w:vAlign w:val="center"/>
          </w:tcPr>
          <w:p>
            <w:pPr>
              <w:pStyle w:val="16"/>
            </w:pPr>
            <w:r>
              <w:t>22.16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18.29</w:t>
            </w:r>
          </w:p>
        </w:tc>
        <w:tc>
          <w:tcPr>
            <w:tcW w:w="2551" w:type="dxa"/>
            <w:vAlign w:val="center"/>
          </w:tcPr>
          <w:p>
            <w:pPr>
              <w:pStyle w:val="16"/>
            </w:pPr>
            <w:r>
              <w:t>18.29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5.62</w:t>
            </w:r>
          </w:p>
        </w:tc>
        <w:tc>
          <w:tcPr>
            <w:tcW w:w="2551" w:type="dxa"/>
            <w:vAlign w:val="center"/>
          </w:tcPr>
          <w:p>
            <w:pPr>
              <w:pStyle w:val="16"/>
            </w:pPr>
            <w:r>
              <w:t>5.62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5.62</w:t>
            </w:r>
          </w:p>
        </w:tc>
        <w:tc>
          <w:tcPr>
            <w:tcW w:w="2551" w:type="dxa"/>
            <w:vAlign w:val="center"/>
          </w:tcPr>
          <w:p>
            <w:pPr>
              <w:pStyle w:val="16"/>
            </w:pPr>
            <w:r>
              <w:t>5.62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5.62</w:t>
            </w:r>
          </w:p>
        </w:tc>
        <w:tc>
          <w:tcPr>
            <w:tcW w:w="2551" w:type="dxa"/>
            <w:vAlign w:val="center"/>
          </w:tcPr>
          <w:p>
            <w:pPr>
              <w:pStyle w:val="16"/>
            </w:pPr>
            <w:r>
              <w:t>5.62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15.10</w:t>
            </w:r>
          </w:p>
        </w:tc>
        <w:tc>
          <w:tcPr>
            <w:tcW w:w="2551" w:type="dxa"/>
            <w:vAlign w:val="center"/>
          </w:tcPr>
          <w:p>
            <w:pPr>
              <w:pStyle w:val="16"/>
            </w:pPr>
            <w:r>
              <w:t>15.10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15.10</w:t>
            </w:r>
          </w:p>
        </w:tc>
        <w:tc>
          <w:tcPr>
            <w:tcW w:w="2551" w:type="dxa"/>
            <w:vAlign w:val="center"/>
          </w:tcPr>
          <w:p>
            <w:pPr>
              <w:pStyle w:val="16"/>
            </w:pPr>
            <w:r>
              <w:t>15.10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15.10</w:t>
            </w:r>
          </w:p>
        </w:tc>
        <w:tc>
          <w:tcPr>
            <w:tcW w:w="2551" w:type="dxa"/>
            <w:vAlign w:val="center"/>
          </w:tcPr>
          <w:p>
            <w:pPr>
              <w:pStyle w:val="16"/>
            </w:pPr>
            <w:r>
              <w:t>15.10</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287廊坊市广阳区信访局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245.24</w:t>
            </w:r>
          </w:p>
        </w:tc>
        <w:tc>
          <w:tcPr>
            <w:tcW w:w="2551" w:type="dxa"/>
            <w:vAlign w:val="center"/>
          </w:tcPr>
          <w:p>
            <w:pPr>
              <w:pStyle w:val="20"/>
            </w:pPr>
            <w:r>
              <w:t>220.84</w:t>
            </w:r>
          </w:p>
        </w:tc>
        <w:tc>
          <w:tcPr>
            <w:tcW w:w="2551" w:type="dxa"/>
            <w:vAlign w:val="center"/>
          </w:tcPr>
          <w:p>
            <w:pPr>
              <w:pStyle w:val="20"/>
            </w:pPr>
            <w:r>
              <w:t>24.40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196.59</w:t>
            </w:r>
          </w:p>
        </w:tc>
        <w:tc>
          <w:tcPr>
            <w:tcW w:w="2551" w:type="dxa"/>
            <w:vAlign w:val="center"/>
          </w:tcPr>
          <w:p>
            <w:pPr>
              <w:pStyle w:val="16"/>
            </w:pPr>
            <w:r>
              <w:t>196.59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52.93</w:t>
            </w:r>
          </w:p>
        </w:tc>
        <w:tc>
          <w:tcPr>
            <w:tcW w:w="2551" w:type="dxa"/>
            <w:vAlign w:val="center"/>
          </w:tcPr>
          <w:p>
            <w:pPr>
              <w:pStyle w:val="16"/>
            </w:pPr>
            <w:r>
              <w:t>52.93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66.22</w:t>
            </w:r>
          </w:p>
        </w:tc>
        <w:tc>
          <w:tcPr>
            <w:tcW w:w="2551" w:type="dxa"/>
            <w:vAlign w:val="center"/>
          </w:tcPr>
          <w:p>
            <w:pPr>
              <w:pStyle w:val="16"/>
            </w:pPr>
            <w:r>
              <w:t>66.22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37.85</w:t>
            </w:r>
          </w:p>
        </w:tc>
        <w:tc>
          <w:tcPr>
            <w:tcW w:w="2551" w:type="dxa"/>
            <w:vAlign w:val="center"/>
          </w:tcPr>
          <w:p>
            <w:pPr>
              <w:pStyle w:val="16"/>
            </w:pPr>
            <w:r>
              <w:t>37.85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18.29</w:t>
            </w:r>
          </w:p>
        </w:tc>
        <w:tc>
          <w:tcPr>
            <w:tcW w:w="2551" w:type="dxa"/>
            <w:vAlign w:val="center"/>
          </w:tcPr>
          <w:p>
            <w:pPr>
              <w:pStyle w:val="16"/>
            </w:pPr>
            <w:r>
              <w:t>18.29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5.54</w:t>
            </w:r>
          </w:p>
        </w:tc>
        <w:tc>
          <w:tcPr>
            <w:tcW w:w="2551" w:type="dxa"/>
            <w:vAlign w:val="center"/>
          </w:tcPr>
          <w:p>
            <w:pPr>
              <w:pStyle w:val="16"/>
            </w:pPr>
            <w:r>
              <w:t>5.54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0.53</w:t>
            </w:r>
          </w:p>
        </w:tc>
        <w:tc>
          <w:tcPr>
            <w:tcW w:w="2551" w:type="dxa"/>
            <w:vAlign w:val="center"/>
          </w:tcPr>
          <w:p>
            <w:pPr>
              <w:pStyle w:val="16"/>
            </w:pPr>
            <w:r>
              <w:t>0.53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15.10</w:t>
            </w:r>
          </w:p>
        </w:tc>
        <w:tc>
          <w:tcPr>
            <w:tcW w:w="2551" w:type="dxa"/>
            <w:vAlign w:val="center"/>
          </w:tcPr>
          <w:p>
            <w:pPr>
              <w:pStyle w:val="16"/>
            </w:pPr>
            <w:r>
              <w:t>15.10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0.11</w:t>
            </w:r>
          </w:p>
        </w:tc>
        <w:tc>
          <w:tcPr>
            <w:tcW w:w="2551" w:type="dxa"/>
            <w:vAlign w:val="center"/>
          </w:tcPr>
          <w:p>
            <w:pPr>
              <w:pStyle w:val="16"/>
            </w:pPr>
            <w:r>
              <w:t>0.11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24.40</w:t>
            </w:r>
          </w:p>
        </w:tc>
        <w:tc>
          <w:tcPr>
            <w:tcW w:w="2551" w:type="dxa"/>
            <w:vAlign w:val="center"/>
          </w:tcPr>
          <w:p>
            <w:pPr>
              <w:pStyle w:val="16"/>
            </w:pPr>
          </w:p>
        </w:tc>
        <w:tc>
          <w:tcPr>
            <w:tcW w:w="2551" w:type="dxa"/>
            <w:vAlign w:val="center"/>
          </w:tcPr>
          <w:p>
            <w:pPr>
              <w:pStyle w:val="16"/>
            </w:pPr>
            <w:r>
              <w:t>24.40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1.92</w:t>
            </w:r>
          </w:p>
        </w:tc>
        <w:tc>
          <w:tcPr>
            <w:tcW w:w="2551" w:type="dxa"/>
            <w:vAlign w:val="center"/>
          </w:tcPr>
          <w:p>
            <w:pPr>
              <w:pStyle w:val="16"/>
            </w:pPr>
          </w:p>
        </w:tc>
        <w:tc>
          <w:tcPr>
            <w:tcW w:w="2551" w:type="dxa"/>
            <w:vAlign w:val="center"/>
          </w:tcPr>
          <w:p>
            <w:pPr>
              <w:pStyle w:val="16"/>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0.14</w:t>
            </w:r>
          </w:p>
        </w:tc>
        <w:tc>
          <w:tcPr>
            <w:tcW w:w="2551" w:type="dxa"/>
            <w:vAlign w:val="center"/>
          </w:tcPr>
          <w:p>
            <w:pPr>
              <w:pStyle w:val="16"/>
            </w:pPr>
          </w:p>
        </w:tc>
        <w:tc>
          <w:tcPr>
            <w:tcW w:w="2551" w:type="dxa"/>
            <w:vAlign w:val="center"/>
          </w:tcPr>
          <w:p>
            <w:pPr>
              <w:pStyle w:val="16"/>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0.38</w:t>
            </w:r>
          </w:p>
        </w:tc>
        <w:tc>
          <w:tcPr>
            <w:tcW w:w="2551" w:type="dxa"/>
            <w:vAlign w:val="center"/>
          </w:tcPr>
          <w:p>
            <w:pPr>
              <w:pStyle w:val="16"/>
            </w:pPr>
          </w:p>
        </w:tc>
        <w:tc>
          <w:tcPr>
            <w:tcW w:w="2551" w:type="dxa"/>
            <w:vAlign w:val="center"/>
          </w:tcPr>
          <w:p>
            <w:pPr>
              <w:pStyle w:val="16"/>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1.08</w:t>
            </w:r>
          </w:p>
        </w:tc>
        <w:tc>
          <w:tcPr>
            <w:tcW w:w="2551" w:type="dxa"/>
            <w:vAlign w:val="center"/>
          </w:tcPr>
          <w:p>
            <w:pPr>
              <w:pStyle w:val="16"/>
            </w:pPr>
          </w:p>
        </w:tc>
        <w:tc>
          <w:tcPr>
            <w:tcW w:w="2551" w:type="dxa"/>
            <w:vAlign w:val="center"/>
          </w:tcPr>
          <w:p>
            <w:pPr>
              <w:pStyle w:val="16"/>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7.20</w:t>
            </w:r>
          </w:p>
        </w:tc>
        <w:tc>
          <w:tcPr>
            <w:tcW w:w="2551" w:type="dxa"/>
            <w:vAlign w:val="center"/>
          </w:tcPr>
          <w:p>
            <w:pPr>
              <w:pStyle w:val="16"/>
            </w:pPr>
          </w:p>
        </w:tc>
        <w:tc>
          <w:tcPr>
            <w:tcW w:w="2551" w:type="dxa"/>
            <w:vAlign w:val="center"/>
          </w:tcPr>
          <w:p>
            <w:pPr>
              <w:pStyle w:val="16"/>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0.70</w:t>
            </w:r>
          </w:p>
        </w:tc>
        <w:tc>
          <w:tcPr>
            <w:tcW w:w="2551" w:type="dxa"/>
            <w:vAlign w:val="center"/>
          </w:tcPr>
          <w:p>
            <w:pPr>
              <w:pStyle w:val="16"/>
            </w:pPr>
          </w:p>
        </w:tc>
        <w:tc>
          <w:tcPr>
            <w:tcW w:w="2551" w:type="dxa"/>
            <w:vAlign w:val="center"/>
          </w:tcPr>
          <w:p>
            <w:pPr>
              <w:pStyle w:val="16"/>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1.92</w:t>
            </w:r>
          </w:p>
        </w:tc>
        <w:tc>
          <w:tcPr>
            <w:tcW w:w="2551" w:type="dxa"/>
            <w:vAlign w:val="center"/>
          </w:tcPr>
          <w:p>
            <w:pPr>
              <w:pStyle w:val="16"/>
            </w:pPr>
          </w:p>
        </w:tc>
        <w:tc>
          <w:tcPr>
            <w:tcW w:w="2551" w:type="dxa"/>
            <w:vAlign w:val="center"/>
          </w:tcPr>
          <w:p>
            <w:pPr>
              <w:pStyle w:val="16"/>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0.12</w:t>
            </w:r>
          </w:p>
        </w:tc>
        <w:tc>
          <w:tcPr>
            <w:tcW w:w="2551" w:type="dxa"/>
            <w:vAlign w:val="center"/>
          </w:tcPr>
          <w:p>
            <w:pPr>
              <w:pStyle w:val="16"/>
            </w:pPr>
          </w:p>
        </w:tc>
        <w:tc>
          <w:tcPr>
            <w:tcW w:w="2551" w:type="dxa"/>
            <w:vAlign w:val="center"/>
          </w:tcPr>
          <w:p>
            <w:pPr>
              <w:pStyle w:val="16"/>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1.06</w:t>
            </w:r>
          </w:p>
        </w:tc>
        <w:tc>
          <w:tcPr>
            <w:tcW w:w="2551" w:type="dxa"/>
            <w:vAlign w:val="center"/>
          </w:tcPr>
          <w:p>
            <w:pPr>
              <w:pStyle w:val="16"/>
            </w:pPr>
          </w:p>
        </w:tc>
        <w:tc>
          <w:tcPr>
            <w:tcW w:w="2551" w:type="dxa"/>
            <w:vAlign w:val="center"/>
          </w:tcPr>
          <w:p>
            <w:pPr>
              <w:pStyle w:val="16"/>
            </w:pPr>
            <w:r>
              <w:t>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0.97</w:t>
            </w:r>
          </w:p>
        </w:tc>
        <w:tc>
          <w:tcPr>
            <w:tcW w:w="2551" w:type="dxa"/>
            <w:vAlign w:val="center"/>
          </w:tcPr>
          <w:p>
            <w:pPr>
              <w:pStyle w:val="16"/>
            </w:pPr>
          </w:p>
        </w:tc>
        <w:tc>
          <w:tcPr>
            <w:tcW w:w="2551" w:type="dxa"/>
            <w:vAlign w:val="center"/>
          </w:tcPr>
          <w:p>
            <w:pPr>
              <w:pStyle w:val="16"/>
            </w:pPr>
            <w:r>
              <w:t>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2.19</w:t>
            </w:r>
          </w:p>
        </w:tc>
        <w:tc>
          <w:tcPr>
            <w:tcW w:w="2551" w:type="dxa"/>
            <w:vAlign w:val="center"/>
          </w:tcPr>
          <w:p>
            <w:pPr>
              <w:pStyle w:val="16"/>
            </w:pPr>
          </w:p>
        </w:tc>
        <w:tc>
          <w:tcPr>
            <w:tcW w:w="2551" w:type="dxa"/>
            <w:vAlign w:val="center"/>
          </w:tcPr>
          <w:p>
            <w:pPr>
              <w:pStyle w:val="16"/>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6.72</w:t>
            </w:r>
          </w:p>
        </w:tc>
        <w:tc>
          <w:tcPr>
            <w:tcW w:w="2551" w:type="dxa"/>
            <w:vAlign w:val="center"/>
          </w:tcPr>
          <w:p>
            <w:pPr>
              <w:pStyle w:val="16"/>
            </w:pPr>
          </w:p>
        </w:tc>
        <w:tc>
          <w:tcPr>
            <w:tcW w:w="2551" w:type="dxa"/>
            <w:vAlign w:val="center"/>
          </w:tcPr>
          <w:p>
            <w:pPr>
              <w:pStyle w:val="16"/>
            </w:pPr>
            <w:r>
              <w:t>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24.25</w:t>
            </w:r>
          </w:p>
        </w:tc>
        <w:tc>
          <w:tcPr>
            <w:tcW w:w="2551" w:type="dxa"/>
            <w:vAlign w:val="center"/>
          </w:tcPr>
          <w:p>
            <w:pPr>
              <w:pStyle w:val="16"/>
            </w:pPr>
            <w:r>
              <w:t>24.25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22.16</w:t>
            </w:r>
          </w:p>
        </w:tc>
        <w:tc>
          <w:tcPr>
            <w:tcW w:w="2551" w:type="dxa"/>
            <w:vAlign w:val="center"/>
          </w:tcPr>
          <w:p>
            <w:pPr>
              <w:pStyle w:val="16"/>
            </w:pPr>
            <w:r>
              <w:t>22.16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2.06</w:t>
            </w:r>
          </w:p>
        </w:tc>
        <w:tc>
          <w:tcPr>
            <w:tcW w:w="2551" w:type="dxa"/>
            <w:vAlign w:val="center"/>
          </w:tcPr>
          <w:p>
            <w:pPr>
              <w:pStyle w:val="16"/>
            </w:pPr>
            <w:r>
              <w:t>2.06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0.04</w:t>
            </w:r>
          </w:p>
        </w:tc>
        <w:tc>
          <w:tcPr>
            <w:tcW w:w="2551" w:type="dxa"/>
            <w:vAlign w:val="center"/>
          </w:tcPr>
          <w:p>
            <w:pPr>
              <w:pStyle w:val="16"/>
            </w:pPr>
            <w:r>
              <w:t>0.04</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287廊坊市广阳区信访局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287廊坊市广阳区信访局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287廊坊市广阳区信访局</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2.19</w:t>
            </w:r>
          </w:p>
        </w:tc>
        <w:tc>
          <w:tcPr>
            <w:tcW w:w="2381" w:type="dxa"/>
            <w:vAlign w:val="center"/>
          </w:tcPr>
          <w:p>
            <w:pPr>
              <w:pStyle w:val="20"/>
            </w:pPr>
            <w:r>
              <w:t>2.19</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廊坊市广阳区信访局2023年部门预算信息公开情况说明</w:t>
      </w:r>
    </w:p>
    <w:p>
      <w:pPr>
        <w:jc w:val="center"/>
      </w:pPr>
      <w:r>
        <w:rPr>
          <w:rFonts w:ascii="方正小标宋_GBK" w:hAnsi="方正小标宋_GBK" w:eastAsia="方正小标宋_GBK" w:cs="方正小标宋_GBK"/>
          <w:color w:val="000000"/>
          <w:sz w:val="44"/>
        </w:rPr>
        <w:t>廊坊市广阳区信访局2023年部门预算信息公开情况说明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36" w:name="_GoBack"/>
      <w:bookmarkEnd w:id="36"/>
      <w:r>
        <w:rPr>
          <w:rFonts w:eastAsia="方正仿宋_GBK"/>
          <w:color w:val="000000"/>
          <w:sz w:val="28"/>
        </w:rPr>
        <w:t>预算法》、《地方预决算公开操作规程》和《关于进一步推进预算公开工作的实施意见》规定，现将廊坊市广阳区信访局2023年部门预算公开如下：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（一）研究提出全区信访工作思路，拟定全区信访工作有关政策、规定。</w:t>
      </w:r>
    </w:p>
    <w:p>
      <w:pPr>
        <w:pStyle w:val="22"/>
      </w:pPr>
      <w:r>
        <w:t>（二）办理人民群众来信，接待群众来访，受理群众网上诉求，查办信访案件；负责人民群众建议征集工作。</w:t>
      </w:r>
    </w:p>
    <w:p>
      <w:pPr>
        <w:pStyle w:val="22"/>
      </w:pPr>
      <w:r>
        <w:t>（三）调查研究和综合分析全区信访形势及信访工作状况，总结推广各地各部门信访工作经验，提出改进和加强信访工作的意见和建议。</w:t>
      </w:r>
    </w:p>
    <w:p>
      <w:pPr>
        <w:pStyle w:val="22"/>
      </w:pPr>
      <w:r>
        <w:t>（四）参与组织、协调、指导全区社会治安综合治理和维护社会政治稳定工作，协助保障国家、省、市、区重大政治活动顺利进行，参与处理影响社会政治稳定的突发性、群体性事件。</w:t>
      </w:r>
    </w:p>
    <w:p>
      <w:pPr>
        <w:pStyle w:val="22"/>
      </w:pPr>
      <w:r>
        <w:t>（五）督促检查和指导各乡镇、街道办事处和区直部门的信访工作，对各乡镇、街道办事处和区直部门信访工作年度责任目标进行考核，对全区社会治安综合治理和维护社会政治稳定年度责任目标中有关信访工作进行考核。</w:t>
      </w:r>
    </w:p>
    <w:p>
      <w:pPr>
        <w:pStyle w:val="22"/>
      </w:pPr>
      <w:r>
        <w:t>（六）协助国家信访局、省信访局、市信访局处理群众进京、赴省、到市上访工作，综合协调处理跨地区、跨部门、跨行业的重要信访问题，协助公安机关维护区委、区政府机关正常工作秩序。</w:t>
      </w:r>
    </w:p>
    <w:p>
      <w:pPr>
        <w:pStyle w:val="22"/>
      </w:pPr>
      <w:r>
        <w:t>（七）负责区级领导和区直部门领导公开接访和包联案件的组织协调工作。</w:t>
      </w:r>
    </w:p>
    <w:p>
      <w:pPr>
        <w:pStyle w:val="22"/>
      </w:pPr>
      <w:r>
        <w:t>（八）承担区信访工作联席会议的日常工作，督促落实联席会议决定的事项。</w:t>
      </w:r>
    </w:p>
    <w:p>
      <w:pPr>
        <w:pStyle w:val="22"/>
      </w:pPr>
      <w:r>
        <w:t>（九）完成区委、区政府及国家信访局、省信访局、市信访局交办的其他任务。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廊坊市广阳区信访局本级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按照预算管理有关规定，目前我区部门预算的编制实行综合预算管理，即全部收入和支出都反映在预算中。廊坊市广阳区信访局机关及所属事业单位的收支包含在部门预算中。</w:t>
      </w:r>
    </w:p>
    <w:p>
      <w:pPr>
        <w:pStyle w:val="23"/>
      </w:pPr>
      <w:r>
        <w:t>1、收入说明</w:t>
      </w:r>
    </w:p>
    <w:p>
      <w:pPr>
        <w:pStyle w:val="23"/>
      </w:pPr>
      <w:r>
        <w:t>反映本部门当年全部收入。2023年预算收入395.24万元，其中：一般公共预算收入395.24万元，基金预算收入0万元，财政专户核拨收入0万元，其他来源收入0万元，上年结转0万元。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广阳区信访局2023年度部门预算中支出预算的总体情况。2023年支出预算395.24万元，其中：基本支出245.24万元，包括人员经费220.84万元和日常公用经费24.4万元；项目支出150万元，全部为本级支出，主要为信访维稳工作经费、信访值班工作经费等项目。</w:t>
      </w:r>
    </w:p>
    <w:p>
      <w:pPr>
        <w:pStyle w:val="23"/>
      </w:pPr>
      <w:r>
        <w:t>3、比上年增减情况</w:t>
      </w:r>
    </w:p>
    <w:p>
      <w:pPr>
        <w:pStyle w:val="23"/>
      </w:pPr>
      <w:r>
        <w:t>2023年预算收支安排395.24万元，较2022年预算减少218.97万元，其中：基本支出增加1.03万元，增加原因主要为人员经费支出增加；项目支出减少220万元，减少原因主要为信访维稳工作经费、信访值班工作经费项目支出减少。</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2023年，我部门运行经费共计安排24.4万元，主要用于办公区的日常维修、办公费用、办公用房水电费、办公用房取暖费、邮电费、差旅费、办公用房物业管理费、公务用车运行维护费等日常运行支出。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2.19万元。其中，因公出国（境）费0万元；公务用车购置及运维费2.19万元（其中：公务用车购置费为0万元，公务用车运维费2.19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一是畅通信访渠道，及时受理办理群众来信、来访和网上投诉，不断提高初访办结率；二是维护群众合法利益，解决群众合理诉求，促进社会和谐稳定；三是积极推动信访积案有效化解；四是有效缓解信访突出问题，协助各乡镇妥善解决涉及农村土地征用、房屋拆迁等信访突出问题。</w:t>
      </w:r>
    </w:p>
    <w:p>
      <w:pPr>
        <w:pStyle w:val="26"/>
      </w:pPr>
    </w:p>
    <w:p>
      <w:pPr>
        <w:pStyle w:val="26"/>
      </w:pPr>
    </w:p>
    <w:p>
      <w:pPr>
        <w:pStyle w:val="26"/>
      </w:pPr>
    </w:p>
    <w:p>
      <w:pPr>
        <w:pStyle w:val="26"/>
      </w:pPr>
    </w:p>
    <w:p>
      <w:pPr>
        <w:spacing w:line="500" w:lineRule="exact"/>
        <w:ind w:firstLine="560"/>
      </w:pPr>
      <w:r>
        <w:rPr>
          <w:rFonts w:eastAsia="方正仿宋_GBK"/>
          <w:color w:val="000000"/>
          <w:sz w:val="28"/>
        </w:rPr>
        <w:t>（二）分项绩效目标</w:t>
      </w:r>
    </w:p>
    <w:p>
      <w:pPr>
        <w:pStyle w:val="27"/>
      </w:pPr>
      <w:r>
        <w:t>1、信访业务办理工作。</w:t>
      </w:r>
    </w:p>
    <w:p>
      <w:pPr>
        <w:pStyle w:val="27"/>
      </w:pPr>
      <w:r>
        <w:t>绩效目标：畅通信访渠道，提高信访事项办理质量和效率。</w:t>
      </w:r>
    </w:p>
    <w:p>
      <w:pPr>
        <w:pStyle w:val="27"/>
      </w:pPr>
      <w:r>
        <w:t>绩效指标：确保及时受理、按期办结的信访事项数量占信访事项数量的比例均在80%以上。</w:t>
      </w:r>
    </w:p>
    <w:p>
      <w:pPr>
        <w:pStyle w:val="27"/>
      </w:pPr>
      <w:r>
        <w:t>2、处置非访、突发性及群体性事件。</w:t>
      </w:r>
    </w:p>
    <w:p>
      <w:pPr>
        <w:pStyle w:val="27"/>
      </w:pPr>
      <w:r>
        <w:t>绩效目标：妥善处置非正常访，维护社会大局和谐稳定。</w:t>
      </w:r>
    </w:p>
    <w:p>
      <w:pPr>
        <w:pStyle w:val="27"/>
      </w:pPr>
      <w:r>
        <w:t>绩效指标：确保及时受理、按期办结的信访事项数量占信访事项数量的比例均在80%以上。</w:t>
      </w:r>
    </w:p>
    <w:p>
      <w:pPr>
        <w:pStyle w:val="27"/>
      </w:pPr>
      <w:r>
        <w:t>3、信访事项督查、案件查办、复查复核、听证。</w:t>
      </w:r>
    </w:p>
    <w:p>
      <w:pPr>
        <w:pStyle w:val="27"/>
      </w:pPr>
      <w:r>
        <w:t>绩效目标：推动重要信访事项解决，规范信访事项办理、终结，用好特殊疑难信访问题专项资金。</w:t>
      </w:r>
    </w:p>
    <w:p>
      <w:pPr>
        <w:pStyle w:val="27"/>
      </w:pPr>
      <w:r>
        <w:t>绩效指标：确保复查案件数量占信访事项数量的比例小于等于20%，反映年度特殊信访疑难问题解决数量大于等于4件，反映年度督办案件数量大于等于8次。</w:t>
      </w:r>
    </w:p>
    <w:p>
      <w:pPr>
        <w:pStyle w:val="27"/>
      </w:pPr>
      <w:r>
        <w:t>4、群众工作。</w:t>
      </w:r>
    </w:p>
    <w:p>
      <w:pPr>
        <w:pStyle w:val="27"/>
      </w:pPr>
      <w:r>
        <w:t>绩效目标：组织区直部门联合接访，协调区级领导开展接访、约访、下访活动，做好群众的思想疏导工作。</w:t>
      </w:r>
    </w:p>
    <w:p>
      <w:pPr>
        <w:pStyle w:val="27"/>
      </w:pPr>
      <w:r>
        <w:t>绩效指标：确保领导干部公开接访率达到90%以上。</w:t>
      </w:r>
    </w:p>
    <w:p>
      <w:pPr>
        <w:pStyle w:val="27"/>
      </w:pPr>
    </w:p>
    <w:p>
      <w:pPr>
        <w:pStyle w:val="27"/>
      </w:pPr>
    </w:p>
    <w:p>
      <w:pPr>
        <w:pStyle w:val="27"/>
      </w:pPr>
    </w:p>
    <w:p>
      <w:pPr>
        <w:pStyle w:val="27"/>
      </w:pPr>
    </w:p>
    <w:p>
      <w:pPr>
        <w:pStyle w:val="27"/>
      </w:pPr>
    </w:p>
    <w:p>
      <w:pPr>
        <w:pStyle w:val="27"/>
      </w:pPr>
    </w:p>
    <w:p>
      <w:pPr>
        <w:pStyle w:val="27"/>
      </w:pPr>
    </w:p>
    <w:p>
      <w:pPr>
        <w:pStyle w:val="27"/>
      </w:pPr>
    </w:p>
    <w:p>
      <w:pPr>
        <w:pStyle w:val="27"/>
      </w:pPr>
    </w:p>
    <w:p>
      <w:pPr>
        <w:spacing w:line="500" w:lineRule="exact"/>
        <w:ind w:firstLine="560"/>
      </w:pPr>
      <w:r>
        <w:rPr>
          <w:rFonts w:eastAsia="方正仿宋_GBK"/>
          <w:color w:val="000000"/>
          <w:sz w:val="28"/>
        </w:rPr>
        <w:t>（三）工作保障措施</w:t>
      </w:r>
    </w:p>
    <w:p>
      <w:pPr>
        <w:pStyle w:val="28"/>
        <w:rPr>
          <w:lang w:eastAsia="zh-CN"/>
        </w:rPr>
      </w:pPr>
      <w:r>
        <w:t>实现本年度发展规划目标的保障措施。 针对上级交办或转送的信访案件，按照“谁主管、谁负责”的原则，及时分类、归口、交办、适时调度，并要求责任单位认真调查、积极化解、按时上报，同时，对于群众来信，我们严格按照广阳区信访工作联席会议办公室《关于加强群众来信办理工作的通知》的要求办理，及时向责任单位交办，按时向信访人反馈结果。</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24"/>
        <w:gridCol w:w="709"/>
        <w:gridCol w:w="850"/>
        <w:gridCol w:w="5171"/>
        <w:gridCol w:w="3476"/>
        <w:gridCol w:w="992"/>
        <w:gridCol w:w="993"/>
        <w:gridCol w:w="850"/>
        <w:gridCol w:w="1065"/>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709"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850"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5171"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3476"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2835"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065"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b/>
                <w:bCs/>
                <w:color w:val="000000"/>
              </w:rPr>
            </w:pPr>
          </w:p>
        </w:tc>
        <w:tc>
          <w:tcPr>
            <w:tcW w:w="709"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850" w:type="dxa"/>
            <w:vMerge w:val="continue"/>
            <w:shd w:val="clear" w:color="auto" w:fill="auto"/>
            <w:vAlign w:val="center"/>
          </w:tcPr>
          <w:p>
            <w:pPr>
              <w:rPr>
                <w:rFonts w:ascii="方正书宋_GBK" w:hAnsi="宋体" w:eastAsia="方正书宋_GBK" w:cs="宋体"/>
                <w:b/>
                <w:bCs/>
                <w:color w:val="000000"/>
              </w:rPr>
            </w:pPr>
          </w:p>
        </w:tc>
        <w:tc>
          <w:tcPr>
            <w:tcW w:w="5171" w:type="dxa"/>
            <w:vMerge w:val="continue"/>
            <w:shd w:val="clear" w:color="auto" w:fill="auto"/>
            <w:vAlign w:val="center"/>
          </w:tcPr>
          <w:p>
            <w:pPr>
              <w:rPr>
                <w:rFonts w:ascii="方正书宋_GBK" w:hAnsi="宋体" w:eastAsia="方正书宋_GBK" w:cs="宋体"/>
                <w:b/>
                <w:bCs/>
                <w:color w:val="000000"/>
              </w:rPr>
            </w:pPr>
          </w:p>
        </w:tc>
        <w:tc>
          <w:tcPr>
            <w:tcW w:w="3476" w:type="dxa"/>
            <w:vMerge w:val="continue"/>
            <w:shd w:val="clear" w:color="auto" w:fill="auto"/>
            <w:vAlign w:val="center"/>
          </w:tcPr>
          <w:p>
            <w:pPr>
              <w:rPr>
                <w:rFonts w:ascii="方正书宋_GBK" w:hAnsi="宋体" w:eastAsia="方正书宋_GBK" w:cs="宋体"/>
                <w:b/>
                <w:bCs/>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993"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065"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部门产出</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850" w:type="dxa"/>
            <w:shd w:val="clear" w:color="auto" w:fill="auto"/>
            <w:tcMar>
              <w:top w:w="15" w:type="dxa"/>
              <w:left w:w="15" w:type="dxa"/>
              <w:bottom w:w="0" w:type="dxa"/>
              <w:right w:w="15" w:type="dxa"/>
            </w:tcMar>
          </w:tcPr>
          <w:p>
            <w:pPr>
              <w:rPr>
                <w:rFonts w:ascii="仿宋" w:hAnsi="仿宋" w:eastAsia="仿宋"/>
                <w:color w:val="000000"/>
              </w:rPr>
            </w:pPr>
            <w:r>
              <w:rPr>
                <w:rFonts w:hint="eastAsia" w:ascii="仿宋" w:hAnsi="仿宋" w:eastAsia="仿宋"/>
                <w:color w:val="000000"/>
              </w:rPr>
              <w:t>信访事项受理数量</w:t>
            </w:r>
          </w:p>
        </w:tc>
        <w:tc>
          <w:tcPr>
            <w:tcW w:w="5171" w:type="dxa"/>
            <w:shd w:val="clear" w:color="auto" w:fill="auto"/>
            <w:tcMar>
              <w:top w:w="15" w:type="dxa"/>
              <w:left w:w="15" w:type="dxa"/>
              <w:bottom w:w="0" w:type="dxa"/>
              <w:right w:w="15" w:type="dxa"/>
            </w:tcMar>
          </w:tcPr>
          <w:p>
            <w:pPr>
              <w:rPr>
                <w:rFonts w:ascii="仿宋" w:hAnsi="仿宋" w:eastAsia="仿宋"/>
                <w:color w:val="000000"/>
              </w:rPr>
            </w:pPr>
            <w:r>
              <w:rPr>
                <w:rFonts w:hint="eastAsia" w:ascii="仿宋" w:hAnsi="仿宋" w:eastAsia="仿宋"/>
                <w:color w:val="000000"/>
              </w:rPr>
              <w:t>达到指标值，得权重分满分，每降低10%，扣权重分10%。</w:t>
            </w:r>
          </w:p>
        </w:tc>
        <w:tc>
          <w:tcPr>
            <w:tcW w:w="3476" w:type="dxa"/>
            <w:shd w:val="clear" w:color="auto" w:fill="auto"/>
            <w:tcMar>
              <w:top w:w="15" w:type="dxa"/>
              <w:left w:w="15" w:type="dxa"/>
              <w:bottom w:w="0" w:type="dxa"/>
              <w:right w:w="15" w:type="dxa"/>
            </w:tcMar>
            <w:vAlign w:val="center"/>
          </w:tcPr>
          <w:p>
            <w:pPr>
              <w:rPr>
                <w:rFonts w:ascii="仿宋" w:hAnsi="仿宋" w:eastAsia="仿宋"/>
                <w:color w:val="000000"/>
              </w:rPr>
            </w:pPr>
            <w:r>
              <w:rPr>
                <w:rFonts w:hint="eastAsia" w:ascii="仿宋" w:hAnsi="仿宋" w:eastAsia="仿宋"/>
                <w:color w:val="000000"/>
              </w:rPr>
              <w:t>接待群众来访、信件、网邮的数量。</w:t>
            </w:r>
          </w:p>
        </w:tc>
        <w:tc>
          <w:tcPr>
            <w:tcW w:w="992" w:type="dxa"/>
            <w:shd w:val="clear" w:color="auto" w:fill="auto"/>
            <w:tcMar>
              <w:top w:w="15" w:type="dxa"/>
              <w:left w:w="15" w:type="dxa"/>
              <w:bottom w:w="0" w:type="dxa"/>
              <w:right w:w="15" w:type="dxa"/>
            </w:tcMar>
            <w:vAlign w:val="center"/>
          </w:tcPr>
          <w:p>
            <w:pPr>
              <w:jc w:val="center"/>
              <w:rPr>
                <w:rFonts w:ascii="仿宋" w:hAnsi="仿宋" w:eastAsia="仿宋"/>
                <w:color w:val="000000"/>
              </w:rPr>
            </w:pPr>
            <w:r>
              <w:rPr>
                <w:rFonts w:hint="eastAsia" w:ascii="仿宋" w:hAnsi="仿宋" w:eastAsia="仿宋"/>
                <w:color w:val="000000"/>
              </w:rPr>
              <w:t>≥</w:t>
            </w:r>
          </w:p>
        </w:tc>
        <w:tc>
          <w:tcPr>
            <w:tcW w:w="993" w:type="dxa"/>
            <w:shd w:val="clear" w:color="auto" w:fill="auto"/>
            <w:tcMar>
              <w:top w:w="15" w:type="dxa"/>
              <w:left w:w="15" w:type="dxa"/>
              <w:bottom w:w="0" w:type="dxa"/>
              <w:right w:w="15" w:type="dxa"/>
            </w:tcMar>
            <w:vAlign w:val="center"/>
          </w:tcPr>
          <w:p>
            <w:pPr>
              <w:jc w:val="center"/>
              <w:rPr>
                <w:rFonts w:ascii="仿宋" w:hAnsi="仿宋" w:eastAsia="仿宋"/>
                <w:color w:val="000000"/>
              </w:rPr>
            </w:pPr>
            <w:r>
              <w:rPr>
                <w:rFonts w:hint="eastAsia" w:ascii="仿宋" w:hAnsi="仿宋" w:eastAsia="仿宋"/>
                <w:color w:val="000000"/>
              </w:rPr>
              <w:t>2000</w:t>
            </w:r>
          </w:p>
        </w:tc>
        <w:tc>
          <w:tcPr>
            <w:tcW w:w="850" w:type="dxa"/>
            <w:shd w:val="clear" w:color="auto" w:fill="auto"/>
            <w:tcMar>
              <w:top w:w="15" w:type="dxa"/>
              <w:left w:w="15" w:type="dxa"/>
              <w:bottom w:w="0" w:type="dxa"/>
              <w:right w:w="15" w:type="dxa"/>
            </w:tcMar>
            <w:vAlign w:val="center"/>
          </w:tcPr>
          <w:p>
            <w:pPr>
              <w:jc w:val="center"/>
              <w:rPr>
                <w:rFonts w:ascii="仿宋" w:hAnsi="仿宋" w:eastAsia="仿宋"/>
                <w:color w:val="000000"/>
              </w:rPr>
            </w:pPr>
            <w:r>
              <w:rPr>
                <w:rFonts w:hint="eastAsia" w:ascii="仿宋" w:hAnsi="仿宋" w:eastAsia="仿宋"/>
                <w:color w:val="000000"/>
              </w:rPr>
              <w:t>件</w:t>
            </w:r>
          </w:p>
        </w:tc>
        <w:tc>
          <w:tcPr>
            <w:tcW w:w="1065" w:type="dxa"/>
            <w:shd w:val="clear" w:color="auto" w:fill="auto"/>
            <w:tcMar>
              <w:top w:w="15" w:type="dxa"/>
              <w:left w:w="15" w:type="dxa"/>
              <w:bottom w:w="0" w:type="dxa"/>
              <w:right w:w="15" w:type="dxa"/>
            </w:tcMar>
            <w:vAlign w:val="center"/>
          </w:tcPr>
          <w:p>
            <w:pPr>
              <w:jc w:val="center"/>
              <w:rPr>
                <w:rFonts w:ascii="仿宋" w:hAnsi="仿宋" w:eastAsia="仿宋"/>
                <w:color w:val="000000"/>
              </w:rPr>
            </w:pPr>
            <w:r>
              <w:rPr>
                <w:rFonts w:hint="eastAsia" w:ascii="仿宋" w:hAnsi="仿宋" w:eastAsia="仿宋"/>
                <w:color w:val="000000"/>
              </w:rPr>
              <w:t>工作总结</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hAnsi="宋体" w:eastAsia="方正书宋_GBK"/>
                <w:color w:val="000000"/>
              </w:rPr>
            </w:pPr>
            <w:r>
              <w:rPr>
                <w:rFonts w:hint="eastAsia" w:ascii="方正书宋_GBK" w:eastAsia="方正书宋_GBK"/>
                <w:color w:val="000000"/>
              </w:rPr>
              <w:t>质量</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信访事项按期办结率</w:t>
            </w:r>
          </w:p>
        </w:tc>
        <w:tc>
          <w:tcPr>
            <w:tcW w:w="5171" w:type="dxa"/>
            <w:shd w:val="clear" w:color="auto" w:fill="auto"/>
            <w:tcMar>
              <w:top w:w="15" w:type="dxa"/>
              <w:left w:w="15" w:type="dxa"/>
              <w:bottom w:w="0" w:type="dxa"/>
              <w:right w:w="15" w:type="dxa"/>
            </w:tcMar>
            <w:vAlign w:val="center"/>
          </w:tcPr>
          <w:p>
            <w:pPr>
              <w:rPr>
                <w:rFonts w:ascii="仿宋" w:hAnsi="仿宋" w:eastAsia="仿宋"/>
                <w:color w:val="000000"/>
              </w:rPr>
            </w:pPr>
            <w:r>
              <w:rPr>
                <w:rFonts w:hint="eastAsia" w:ascii="仿宋" w:hAnsi="仿宋" w:eastAsia="仿宋"/>
                <w:color w:val="000000"/>
              </w:rPr>
              <w:t>达到指标值，得权重分满分，每降低10%，扣权重分10%。</w:t>
            </w:r>
          </w:p>
        </w:tc>
        <w:tc>
          <w:tcPr>
            <w:tcW w:w="3476" w:type="dxa"/>
            <w:shd w:val="clear" w:color="auto" w:fill="auto"/>
            <w:tcMar>
              <w:top w:w="15" w:type="dxa"/>
              <w:left w:w="15" w:type="dxa"/>
              <w:bottom w:w="0" w:type="dxa"/>
              <w:right w:w="15" w:type="dxa"/>
            </w:tcMar>
            <w:vAlign w:val="center"/>
          </w:tcPr>
          <w:p>
            <w:pPr>
              <w:rPr>
                <w:rFonts w:ascii="仿宋" w:hAnsi="仿宋" w:eastAsia="仿宋"/>
                <w:color w:val="000000"/>
              </w:rPr>
            </w:pPr>
            <w:r>
              <w:rPr>
                <w:rFonts w:hint="eastAsia" w:ascii="仿宋" w:hAnsi="仿宋" w:eastAsia="仿宋"/>
                <w:color w:val="000000"/>
              </w:rPr>
              <w:t>实际办结案件数量占案件总数的比例。</w:t>
            </w:r>
          </w:p>
        </w:tc>
        <w:tc>
          <w:tcPr>
            <w:tcW w:w="992" w:type="dxa"/>
            <w:shd w:val="clear" w:color="auto" w:fill="auto"/>
            <w:tcMar>
              <w:top w:w="15" w:type="dxa"/>
              <w:left w:w="15" w:type="dxa"/>
              <w:bottom w:w="0" w:type="dxa"/>
              <w:right w:w="15" w:type="dxa"/>
            </w:tcMar>
            <w:vAlign w:val="center"/>
          </w:tcPr>
          <w:p>
            <w:pPr>
              <w:jc w:val="center"/>
              <w:rPr>
                <w:rFonts w:ascii="仿宋_GB2312" w:hAnsi="宋体" w:eastAsia="仿宋_GB2312"/>
                <w:color w:val="000000"/>
              </w:rPr>
            </w:pPr>
            <w:r>
              <w:rPr>
                <w:rFonts w:hint="eastAsia" w:ascii="仿宋_GB2312" w:eastAsia="仿宋_GB2312"/>
                <w:color w:val="000000"/>
              </w:rPr>
              <w:t>≥</w:t>
            </w:r>
          </w:p>
        </w:tc>
        <w:tc>
          <w:tcPr>
            <w:tcW w:w="993" w:type="dxa"/>
            <w:shd w:val="clear" w:color="auto" w:fill="auto"/>
            <w:tcMar>
              <w:top w:w="15" w:type="dxa"/>
              <w:left w:w="15" w:type="dxa"/>
              <w:bottom w:w="0" w:type="dxa"/>
              <w:right w:w="15" w:type="dxa"/>
            </w:tcMar>
            <w:vAlign w:val="center"/>
          </w:tcPr>
          <w:p>
            <w:pPr>
              <w:jc w:val="center"/>
              <w:rPr>
                <w:rFonts w:eastAsia="宋体"/>
                <w:color w:val="000000"/>
              </w:rPr>
            </w:pPr>
            <w:r>
              <w:rPr>
                <w:color w:val="000000"/>
              </w:rPr>
              <w:t>80</w:t>
            </w:r>
          </w:p>
        </w:tc>
        <w:tc>
          <w:tcPr>
            <w:tcW w:w="850" w:type="dxa"/>
            <w:shd w:val="clear" w:color="auto" w:fill="auto"/>
            <w:tcMar>
              <w:top w:w="15" w:type="dxa"/>
              <w:left w:w="15" w:type="dxa"/>
              <w:bottom w:w="0" w:type="dxa"/>
              <w:right w:w="15" w:type="dxa"/>
            </w:tcMar>
            <w:vAlign w:val="center"/>
          </w:tcPr>
          <w:p>
            <w:pPr>
              <w:jc w:val="center"/>
              <w:rPr>
                <w:b/>
                <w:bCs/>
                <w:color w:val="000000"/>
                <w:sz w:val="22"/>
                <w:szCs w:val="22"/>
              </w:rPr>
            </w:pPr>
            <w:r>
              <w:rPr>
                <w:b/>
                <w:bCs/>
                <w:color w:val="000000"/>
                <w:sz w:val="22"/>
                <w:szCs w:val="22"/>
              </w:rPr>
              <w:t>%</w:t>
            </w:r>
          </w:p>
        </w:tc>
        <w:tc>
          <w:tcPr>
            <w:tcW w:w="1065" w:type="dxa"/>
            <w:shd w:val="clear" w:color="auto" w:fill="auto"/>
            <w:tcMar>
              <w:top w:w="15" w:type="dxa"/>
              <w:left w:w="15" w:type="dxa"/>
              <w:bottom w:w="0" w:type="dxa"/>
              <w:right w:w="15" w:type="dxa"/>
            </w:tcMar>
            <w:vAlign w:val="center"/>
          </w:tcPr>
          <w:p>
            <w:pPr>
              <w:jc w:val="center"/>
              <w:rPr>
                <w:rFonts w:ascii="仿宋" w:hAnsi="仿宋" w:eastAsia="仿宋" w:cs="宋体"/>
                <w:color w:val="000000"/>
              </w:rPr>
            </w:pPr>
            <w:r>
              <w:rPr>
                <w:rFonts w:hint="eastAsia" w:ascii="仿宋" w:hAnsi="仿宋" w:eastAsia="仿宋"/>
                <w:color w:val="000000"/>
              </w:rPr>
              <w:t>工作职责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hAnsi="宋体" w:eastAsia="方正书宋_GBK"/>
                <w:color w:val="000000"/>
              </w:rPr>
            </w:pPr>
            <w:r>
              <w:rPr>
                <w:rFonts w:hint="eastAsia" w:ascii="方正书宋_GBK" w:eastAsia="方正书宋_GBK"/>
                <w:color w:val="000000"/>
              </w:rPr>
              <w:t>时效</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信访事项及时受理率</w:t>
            </w:r>
          </w:p>
        </w:tc>
        <w:tc>
          <w:tcPr>
            <w:tcW w:w="5171" w:type="dxa"/>
            <w:shd w:val="clear" w:color="auto" w:fill="auto"/>
            <w:tcMar>
              <w:top w:w="15" w:type="dxa"/>
              <w:left w:w="15" w:type="dxa"/>
              <w:bottom w:w="0" w:type="dxa"/>
              <w:right w:w="15" w:type="dxa"/>
            </w:tcMar>
            <w:vAlign w:val="center"/>
          </w:tcPr>
          <w:p>
            <w:pPr>
              <w:rPr>
                <w:rFonts w:ascii="仿宋" w:hAnsi="仿宋" w:eastAsia="仿宋"/>
                <w:color w:val="000000"/>
              </w:rPr>
            </w:pPr>
            <w:r>
              <w:rPr>
                <w:rFonts w:hint="eastAsia" w:ascii="仿宋" w:hAnsi="仿宋" w:eastAsia="仿宋"/>
                <w:color w:val="000000"/>
              </w:rPr>
              <w:t>达到指标值，得权重分满分，每降低10%，扣权重分10%。</w:t>
            </w:r>
          </w:p>
        </w:tc>
        <w:tc>
          <w:tcPr>
            <w:tcW w:w="3476" w:type="dxa"/>
            <w:shd w:val="clear" w:color="auto" w:fill="auto"/>
            <w:tcMar>
              <w:top w:w="15" w:type="dxa"/>
              <w:left w:w="15" w:type="dxa"/>
              <w:bottom w:w="0" w:type="dxa"/>
              <w:right w:w="15" w:type="dxa"/>
            </w:tcMar>
          </w:tcPr>
          <w:p>
            <w:pPr>
              <w:rPr>
                <w:rFonts w:ascii="仿宋" w:hAnsi="仿宋" w:eastAsia="仿宋"/>
                <w:color w:val="000000"/>
              </w:rPr>
            </w:pPr>
            <w:r>
              <w:rPr>
                <w:rFonts w:hint="eastAsia" w:ascii="仿宋" w:hAnsi="仿宋" w:eastAsia="仿宋"/>
                <w:color w:val="000000"/>
              </w:rPr>
              <w:t>实际及时受理案件数占应及时受理的案件数的比例。</w:t>
            </w:r>
          </w:p>
        </w:tc>
        <w:tc>
          <w:tcPr>
            <w:tcW w:w="992" w:type="dxa"/>
            <w:shd w:val="clear" w:color="auto" w:fill="auto"/>
            <w:tcMar>
              <w:top w:w="15" w:type="dxa"/>
              <w:left w:w="15" w:type="dxa"/>
              <w:bottom w:w="0" w:type="dxa"/>
              <w:right w:w="15" w:type="dxa"/>
            </w:tcMar>
          </w:tcPr>
          <w:p>
            <w:pPr>
              <w:jc w:val="center"/>
              <w:rPr>
                <w:rFonts w:ascii="仿宋_GB2312" w:hAnsi="宋体" w:eastAsia="仿宋_GB2312"/>
                <w:color w:val="000000"/>
              </w:rPr>
            </w:pPr>
            <w:r>
              <w:rPr>
                <w:rFonts w:hint="eastAsia" w:ascii="仿宋_GB2312" w:eastAsia="仿宋_GB2312"/>
                <w:color w:val="000000"/>
              </w:rPr>
              <w:t>≥</w:t>
            </w:r>
          </w:p>
        </w:tc>
        <w:tc>
          <w:tcPr>
            <w:tcW w:w="993" w:type="dxa"/>
            <w:shd w:val="clear" w:color="auto" w:fill="auto"/>
            <w:tcMar>
              <w:top w:w="15" w:type="dxa"/>
              <w:left w:w="15" w:type="dxa"/>
              <w:bottom w:w="0" w:type="dxa"/>
              <w:right w:w="15" w:type="dxa"/>
            </w:tcMar>
          </w:tcPr>
          <w:p>
            <w:pPr>
              <w:jc w:val="center"/>
              <w:rPr>
                <w:rFonts w:eastAsia="宋体"/>
                <w:color w:val="000000"/>
              </w:rPr>
            </w:pPr>
            <w:r>
              <w:rPr>
                <w:color w:val="000000"/>
              </w:rPr>
              <w:t>90</w:t>
            </w:r>
          </w:p>
        </w:tc>
        <w:tc>
          <w:tcPr>
            <w:tcW w:w="850" w:type="dxa"/>
            <w:shd w:val="clear" w:color="auto" w:fill="auto"/>
            <w:tcMar>
              <w:top w:w="15" w:type="dxa"/>
              <w:left w:w="15" w:type="dxa"/>
              <w:bottom w:w="0" w:type="dxa"/>
              <w:right w:w="15" w:type="dxa"/>
            </w:tcMar>
          </w:tcPr>
          <w:p>
            <w:pPr>
              <w:jc w:val="center"/>
              <w:rPr>
                <w:b/>
                <w:bCs/>
                <w:color w:val="000000"/>
              </w:rPr>
            </w:pPr>
            <w:r>
              <w:rPr>
                <w:b/>
                <w:bCs/>
                <w:color w:val="000000"/>
              </w:rPr>
              <w:t>%</w:t>
            </w:r>
          </w:p>
        </w:tc>
        <w:tc>
          <w:tcPr>
            <w:tcW w:w="1065" w:type="dxa"/>
            <w:shd w:val="clear" w:color="auto" w:fill="auto"/>
            <w:tcMar>
              <w:top w:w="15" w:type="dxa"/>
              <w:left w:w="15" w:type="dxa"/>
              <w:bottom w:w="0" w:type="dxa"/>
              <w:right w:w="15" w:type="dxa"/>
            </w:tcMar>
            <w:vAlign w:val="center"/>
          </w:tcPr>
          <w:p>
            <w:pPr>
              <w:jc w:val="center"/>
              <w:rPr>
                <w:rFonts w:ascii="仿宋" w:hAnsi="仿宋" w:eastAsia="仿宋" w:cs="宋体"/>
                <w:color w:val="000000"/>
              </w:rPr>
            </w:pPr>
            <w:r>
              <w:rPr>
                <w:rFonts w:hint="eastAsia" w:ascii="仿宋" w:hAnsi="仿宋" w:eastAsia="仿宋"/>
                <w:color w:val="000000"/>
              </w:rPr>
              <w:t>工作职责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hAnsi="宋体" w:eastAsia="方正书宋_GBK"/>
                <w:color w:val="000000"/>
              </w:rPr>
            </w:pPr>
            <w:r>
              <w:rPr>
                <w:rFonts w:hint="eastAsia" w:ascii="方正书宋_GBK" w:eastAsia="方正书宋_GBK"/>
                <w:color w:val="000000"/>
              </w:rPr>
              <w:t>成本</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出差成本控制率</w:t>
            </w:r>
          </w:p>
        </w:tc>
        <w:tc>
          <w:tcPr>
            <w:tcW w:w="5171" w:type="dxa"/>
            <w:shd w:val="clear" w:color="auto" w:fill="auto"/>
            <w:tcMar>
              <w:top w:w="15" w:type="dxa"/>
              <w:left w:w="15" w:type="dxa"/>
              <w:bottom w:w="0" w:type="dxa"/>
              <w:right w:w="15" w:type="dxa"/>
            </w:tcMar>
            <w:vAlign w:val="center"/>
          </w:tcPr>
          <w:p>
            <w:pPr>
              <w:rPr>
                <w:rFonts w:ascii="仿宋" w:hAnsi="仿宋" w:eastAsia="仿宋"/>
                <w:color w:val="000000"/>
              </w:rPr>
            </w:pPr>
            <w:r>
              <w:rPr>
                <w:rFonts w:hint="eastAsia" w:ascii="仿宋" w:hAnsi="仿宋" w:eastAsia="仿宋"/>
                <w:color w:val="000000"/>
              </w:rPr>
              <w:t>达到指标值，得权重分满分，每升高10%，扣权重分10%。</w:t>
            </w:r>
          </w:p>
        </w:tc>
        <w:tc>
          <w:tcPr>
            <w:tcW w:w="3476" w:type="dxa"/>
            <w:shd w:val="clear" w:color="auto" w:fill="auto"/>
            <w:tcMar>
              <w:top w:w="15" w:type="dxa"/>
              <w:left w:w="15" w:type="dxa"/>
              <w:bottom w:w="0" w:type="dxa"/>
              <w:right w:w="15" w:type="dxa"/>
            </w:tcMar>
          </w:tcPr>
          <w:p>
            <w:pPr>
              <w:rPr>
                <w:rFonts w:ascii="仿宋" w:hAnsi="仿宋" w:eastAsia="仿宋"/>
                <w:color w:val="000000"/>
              </w:rPr>
            </w:pPr>
            <w:r>
              <w:rPr>
                <w:rFonts w:hint="eastAsia" w:ascii="仿宋" w:hAnsi="仿宋" w:eastAsia="仿宋"/>
                <w:color w:val="000000"/>
              </w:rPr>
              <w:t>出差单价成本与去年同比下降的比例。</w:t>
            </w:r>
          </w:p>
        </w:tc>
        <w:tc>
          <w:tcPr>
            <w:tcW w:w="992" w:type="dxa"/>
            <w:shd w:val="clear" w:color="auto" w:fill="auto"/>
            <w:tcMar>
              <w:top w:w="15" w:type="dxa"/>
              <w:left w:w="15" w:type="dxa"/>
              <w:bottom w:w="0" w:type="dxa"/>
              <w:right w:w="15" w:type="dxa"/>
            </w:tcMar>
            <w:vAlign w:val="center"/>
          </w:tcPr>
          <w:p>
            <w:pPr>
              <w:jc w:val="center"/>
              <w:rPr>
                <w:rFonts w:ascii="仿宋_GB2312" w:hAnsi="宋体" w:eastAsia="仿宋_GB2312"/>
                <w:color w:val="000000"/>
              </w:rPr>
            </w:pPr>
            <w:r>
              <w:rPr>
                <w:rFonts w:hint="eastAsia" w:ascii="仿宋_GB2312" w:eastAsia="仿宋_GB2312"/>
                <w:color w:val="000000"/>
              </w:rPr>
              <w:t>≤</w:t>
            </w:r>
          </w:p>
        </w:tc>
        <w:tc>
          <w:tcPr>
            <w:tcW w:w="993" w:type="dxa"/>
            <w:shd w:val="clear" w:color="auto" w:fill="auto"/>
            <w:tcMar>
              <w:top w:w="15" w:type="dxa"/>
              <w:left w:w="15" w:type="dxa"/>
              <w:bottom w:w="0" w:type="dxa"/>
              <w:right w:w="15" w:type="dxa"/>
            </w:tcMar>
            <w:vAlign w:val="center"/>
          </w:tcPr>
          <w:p>
            <w:pPr>
              <w:jc w:val="center"/>
              <w:rPr>
                <w:rFonts w:eastAsia="宋体"/>
                <w:color w:val="000000"/>
                <w:sz w:val="22"/>
                <w:szCs w:val="22"/>
              </w:rPr>
            </w:pPr>
            <w:r>
              <w:rPr>
                <w:color w:val="000000"/>
                <w:sz w:val="22"/>
                <w:szCs w:val="22"/>
              </w:rPr>
              <w:t>100</w:t>
            </w:r>
          </w:p>
        </w:tc>
        <w:tc>
          <w:tcPr>
            <w:tcW w:w="850" w:type="dxa"/>
            <w:shd w:val="clear" w:color="auto" w:fill="auto"/>
            <w:tcMar>
              <w:top w:w="15" w:type="dxa"/>
              <w:left w:w="15" w:type="dxa"/>
              <w:bottom w:w="0" w:type="dxa"/>
              <w:right w:w="15" w:type="dxa"/>
            </w:tcMar>
            <w:vAlign w:val="center"/>
          </w:tcPr>
          <w:p>
            <w:pPr>
              <w:jc w:val="center"/>
              <w:rPr>
                <w:b/>
                <w:bCs/>
                <w:color w:val="000000"/>
                <w:sz w:val="22"/>
                <w:szCs w:val="22"/>
              </w:rPr>
            </w:pPr>
            <w:r>
              <w:rPr>
                <w:b/>
                <w:bCs/>
                <w:color w:val="000000"/>
                <w:sz w:val="22"/>
                <w:szCs w:val="22"/>
              </w:rPr>
              <w:t>%</w:t>
            </w:r>
          </w:p>
        </w:tc>
        <w:tc>
          <w:tcPr>
            <w:tcW w:w="1065" w:type="dxa"/>
            <w:shd w:val="clear" w:color="auto" w:fill="auto"/>
            <w:tcMar>
              <w:top w:w="15" w:type="dxa"/>
              <w:left w:w="15" w:type="dxa"/>
              <w:bottom w:w="0" w:type="dxa"/>
              <w:right w:w="15" w:type="dxa"/>
            </w:tcMar>
            <w:vAlign w:val="center"/>
          </w:tcPr>
          <w:p>
            <w:pPr>
              <w:jc w:val="center"/>
              <w:rPr>
                <w:rFonts w:ascii="仿宋" w:hAnsi="仿宋" w:eastAsia="仿宋" w:cs="宋体"/>
                <w:color w:val="000000"/>
              </w:rPr>
            </w:pPr>
            <w:r>
              <w:rPr>
                <w:rFonts w:hint="eastAsia" w:ascii="仿宋" w:hAnsi="仿宋" w:eastAsia="仿宋"/>
                <w:color w:val="000000"/>
              </w:rPr>
              <w:t>工作总结</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556"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olor w:val="000000"/>
              </w:rPr>
            </w:pPr>
            <w:r>
              <w:rPr>
                <w:rFonts w:hint="eastAsia" w:ascii="方正书宋_GBK" w:eastAsia="方正书宋_GBK"/>
                <w:color w:val="000000"/>
              </w:rPr>
              <w:t>部门效果</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进京赴省信访事项劝返率提升率</w:t>
            </w:r>
          </w:p>
        </w:tc>
        <w:tc>
          <w:tcPr>
            <w:tcW w:w="5171" w:type="dxa"/>
            <w:shd w:val="clear" w:color="auto" w:fill="auto"/>
            <w:tcMar>
              <w:top w:w="15" w:type="dxa"/>
              <w:left w:w="15" w:type="dxa"/>
              <w:bottom w:w="0" w:type="dxa"/>
              <w:right w:w="15" w:type="dxa"/>
            </w:tcMar>
            <w:vAlign w:val="center"/>
          </w:tcPr>
          <w:p>
            <w:pPr>
              <w:rPr>
                <w:rFonts w:ascii="仿宋" w:hAnsi="仿宋" w:eastAsia="仿宋"/>
                <w:color w:val="000000"/>
              </w:rPr>
            </w:pPr>
            <w:r>
              <w:rPr>
                <w:rFonts w:hint="eastAsia" w:ascii="仿宋" w:hAnsi="仿宋" w:eastAsia="仿宋"/>
                <w:color w:val="000000"/>
              </w:rPr>
              <w:t>达到指标值，得权重分满分，每降低10%，扣权重分10%。</w:t>
            </w:r>
          </w:p>
        </w:tc>
        <w:tc>
          <w:tcPr>
            <w:tcW w:w="3476" w:type="dxa"/>
            <w:shd w:val="clear" w:color="auto" w:fill="auto"/>
            <w:tcMar>
              <w:top w:w="15" w:type="dxa"/>
              <w:left w:w="15" w:type="dxa"/>
              <w:bottom w:w="0" w:type="dxa"/>
              <w:right w:w="15" w:type="dxa"/>
            </w:tcMar>
            <w:vAlign w:val="center"/>
          </w:tcPr>
          <w:p>
            <w:pPr>
              <w:rPr>
                <w:rFonts w:ascii="仿宋" w:hAnsi="仿宋" w:eastAsia="仿宋"/>
                <w:color w:val="000000"/>
              </w:rPr>
            </w:pPr>
            <w:r>
              <w:rPr>
                <w:rFonts w:hint="eastAsia" w:ascii="仿宋" w:hAnsi="仿宋" w:eastAsia="仿宋"/>
                <w:color w:val="000000"/>
              </w:rPr>
              <w:t>及时劝返案件数量占总案件总数的比例。</w:t>
            </w:r>
          </w:p>
        </w:tc>
        <w:tc>
          <w:tcPr>
            <w:tcW w:w="992" w:type="dxa"/>
            <w:shd w:val="clear" w:color="auto" w:fill="auto"/>
            <w:tcMar>
              <w:top w:w="15" w:type="dxa"/>
              <w:left w:w="15" w:type="dxa"/>
              <w:bottom w:w="0" w:type="dxa"/>
              <w:right w:w="15" w:type="dxa"/>
            </w:tcMar>
            <w:vAlign w:val="center"/>
          </w:tcPr>
          <w:p>
            <w:pPr>
              <w:jc w:val="center"/>
              <w:rPr>
                <w:rFonts w:ascii="仿宋_GB2312" w:hAnsi="宋体" w:eastAsia="仿宋_GB2312"/>
                <w:color w:val="000000"/>
              </w:rPr>
            </w:pPr>
            <w:r>
              <w:rPr>
                <w:rFonts w:hint="eastAsia" w:ascii="仿宋_GB2312" w:eastAsia="仿宋_GB2312"/>
                <w:color w:val="000000"/>
              </w:rPr>
              <w:t>≥</w:t>
            </w:r>
          </w:p>
        </w:tc>
        <w:tc>
          <w:tcPr>
            <w:tcW w:w="993" w:type="dxa"/>
            <w:shd w:val="clear" w:color="auto" w:fill="auto"/>
            <w:tcMar>
              <w:top w:w="15" w:type="dxa"/>
              <w:left w:w="15" w:type="dxa"/>
              <w:bottom w:w="0" w:type="dxa"/>
              <w:right w:w="15" w:type="dxa"/>
            </w:tcMar>
            <w:vAlign w:val="center"/>
          </w:tcPr>
          <w:p>
            <w:pPr>
              <w:jc w:val="both"/>
              <w:rPr>
                <w:rFonts w:eastAsia="宋体"/>
                <w:color w:val="000000"/>
                <w:sz w:val="22"/>
                <w:szCs w:val="22"/>
              </w:rPr>
            </w:pPr>
            <w:r>
              <w:rPr>
                <w:color w:val="000000"/>
                <w:sz w:val="22"/>
                <w:szCs w:val="22"/>
              </w:rPr>
              <w:t>90</w:t>
            </w:r>
          </w:p>
        </w:tc>
        <w:tc>
          <w:tcPr>
            <w:tcW w:w="850" w:type="dxa"/>
            <w:shd w:val="clear" w:color="auto" w:fill="auto"/>
            <w:tcMar>
              <w:top w:w="15" w:type="dxa"/>
              <w:left w:w="15" w:type="dxa"/>
              <w:bottom w:w="0" w:type="dxa"/>
              <w:right w:w="15" w:type="dxa"/>
            </w:tcMar>
            <w:vAlign w:val="center"/>
          </w:tcPr>
          <w:p>
            <w:pPr>
              <w:jc w:val="center"/>
              <w:rPr>
                <w:b/>
                <w:bCs/>
                <w:color w:val="000000"/>
                <w:sz w:val="22"/>
                <w:szCs w:val="22"/>
              </w:rPr>
            </w:pPr>
            <w:r>
              <w:rPr>
                <w:b/>
                <w:bCs/>
                <w:color w:val="000000"/>
                <w:sz w:val="22"/>
                <w:szCs w:val="22"/>
              </w:rPr>
              <w:t>%</w:t>
            </w:r>
          </w:p>
        </w:tc>
        <w:tc>
          <w:tcPr>
            <w:tcW w:w="1065" w:type="dxa"/>
            <w:shd w:val="clear" w:color="auto" w:fill="auto"/>
            <w:tcMar>
              <w:top w:w="15" w:type="dxa"/>
              <w:left w:w="15" w:type="dxa"/>
              <w:bottom w:w="0" w:type="dxa"/>
              <w:right w:w="15" w:type="dxa"/>
            </w:tcMar>
            <w:vAlign w:val="center"/>
          </w:tcPr>
          <w:p>
            <w:pPr>
              <w:jc w:val="center"/>
              <w:rPr>
                <w:rFonts w:ascii="仿宋" w:hAnsi="仿宋" w:eastAsia="仿宋" w:cs="宋体"/>
                <w:color w:val="000000"/>
              </w:rPr>
            </w:pPr>
            <w:r>
              <w:rPr>
                <w:rFonts w:hint="eastAsia" w:ascii="仿宋" w:hAnsi="仿宋" w:eastAsia="仿宋"/>
                <w:color w:val="000000"/>
              </w:rPr>
              <w:t>工作总结</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09"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可持续</w:t>
            </w:r>
          </w:p>
          <w:p>
            <w:pPr>
              <w:jc w:val="center"/>
              <w:rPr>
                <w:rFonts w:ascii="方正书宋_GBK" w:eastAsia="方正书宋_GBK"/>
                <w:color w:val="000000"/>
              </w:rPr>
            </w:pPr>
            <w:r>
              <w:rPr>
                <w:rFonts w:hint="eastAsia" w:ascii="方正书宋_GBK" w:eastAsia="方正书宋_GBK"/>
                <w:color w:val="000000"/>
              </w:rPr>
              <w:t>影响</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全区信访下降率</w:t>
            </w:r>
          </w:p>
        </w:tc>
        <w:tc>
          <w:tcPr>
            <w:tcW w:w="5171" w:type="dxa"/>
            <w:shd w:val="clear" w:color="auto" w:fill="auto"/>
            <w:tcMar>
              <w:top w:w="15" w:type="dxa"/>
              <w:left w:w="15" w:type="dxa"/>
              <w:bottom w:w="0" w:type="dxa"/>
              <w:right w:w="15" w:type="dxa"/>
            </w:tcMar>
            <w:vAlign w:val="center"/>
          </w:tcPr>
          <w:p>
            <w:pPr>
              <w:rPr>
                <w:rFonts w:ascii="仿宋" w:hAnsi="仿宋" w:eastAsia="仿宋"/>
                <w:color w:val="000000"/>
              </w:rPr>
            </w:pPr>
            <w:r>
              <w:rPr>
                <w:rFonts w:hint="eastAsia" w:ascii="仿宋" w:hAnsi="仿宋" w:eastAsia="仿宋"/>
                <w:color w:val="000000"/>
              </w:rPr>
              <w:t>达到指标值，得权重分满分，每降低10%，扣权重分10%。</w:t>
            </w:r>
          </w:p>
        </w:tc>
        <w:tc>
          <w:tcPr>
            <w:tcW w:w="3476" w:type="dxa"/>
            <w:shd w:val="clear" w:color="auto" w:fill="auto"/>
            <w:tcMar>
              <w:top w:w="15" w:type="dxa"/>
              <w:left w:w="15" w:type="dxa"/>
              <w:bottom w:w="0" w:type="dxa"/>
              <w:right w:w="15" w:type="dxa"/>
            </w:tcMar>
            <w:vAlign w:val="center"/>
          </w:tcPr>
          <w:p>
            <w:pPr>
              <w:rPr>
                <w:rFonts w:ascii="仿宋" w:hAnsi="仿宋" w:eastAsia="仿宋"/>
                <w:color w:val="000000"/>
              </w:rPr>
            </w:pPr>
            <w:r>
              <w:rPr>
                <w:rFonts w:hint="eastAsia" w:ascii="仿宋" w:hAnsi="仿宋" w:eastAsia="仿宋"/>
                <w:color w:val="000000"/>
              </w:rPr>
              <w:t>信访量与去年相似情况下降的比例。</w:t>
            </w:r>
          </w:p>
        </w:tc>
        <w:tc>
          <w:tcPr>
            <w:tcW w:w="992" w:type="dxa"/>
            <w:shd w:val="clear" w:color="auto" w:fill="auto"/>
            <w:tcMar>
              <w:top w:w="15" w:type="dxa"/>
              <w:left w:w="15" w:type="dxa"/>
              <w:bottom w:w="0" w:type="dxa"/>
              <w:right w:w="15" w:type="dxa"/>
            </w:tcMar>
            <w:vAlign w:val="center"/>
          </w:tcPr>
          <w:p>
            <w:pPr>
              <w:jc w:val="center"/>
              <w:rPr>
                <w:rFonts w:ascii="仿宋_GB2312" w:hAnsi="宋体" w:eastAsia="仿宋_GB2312"/>
                <w:color w:val="000000"/>
              </w:rPr>
            </w:pPr>
            <w:r>
              <w:rPr>
                <w:rFonts w:hint="eastAsia" w:ascii="仿宋_GB2312" w:eastAsia="仿宋_GB2312"/>
                <w:color w:val="000000"/>
              </w:rPr>
              <w:t>≥</w:t>
            </w:r>
          </w:p>
        </w:tc>
        <w:tc>
          <w:tcPr>
            <w:tcW w:w="993" w:type="dxa"/>
            <w:shd w:val="clear" w:color="auto" w:fill="auto"/>
            <w:tcMar>
              <w:top w:w="15" w:type="dxa"/>
              <w:left w:w="15" w:type="dxa"/>
              <w:bottom w:w="0" w:type="dxa"/>
              <w:right w:w="15" w:type="dxa"/>
            </w:tcMar>
            <w:vAlign w:val="center"/>
          </w:tcPr>
          <w:p>
            <w:pPr>
              <w:jc w:val="both"/>
              <w:rPr>
                <w:rFonts w:eastAsia="宋体"/>
                <w:color w:val="000000"/>
                <w:sz w:val="22"/>
                <w:szCs w:val="22"/>
              </w:rPr>
            </w:pPr>
            <w:r>
              <w:rPr>
                <w:color w:val="000000"/>
                <w:sz w:val="22"/>
                <w:szCs w:val="22"/>
              </w:rPr>
              <w:t>90</w:t>
            </w:r>
          </w:p>
        </w:tc>
        <w:tc>
          <w:tcPr>
            <w:tcW w:w="850" w:type="dxa"/>
            <w:shd w:val="clear" w:color="auto" w:fill="auto"/>
            <w:tcMar>
              <w:top w:w="15" w:type="dxa"/>
              <w:left w:w="15" w:type="dxa"/>
              <w:bottom w:w="0" w:type="dxa"/>
              <w:right w:w="15" w:type="dxa"/>
            </w:tcMar>
            <w:vAlign w:val="center"/>
          </w:tcPr>
          <w:p>
            <w:pPr>
              <w:jc w:val="center"/>
              <w:rPr>
                <w:b/>
                <w:bCs/>
                <w:color w:val="000000"/>
                <w:sz w:val="22"/>
                <w:szCs w:val="22"/>
              </w:rPr>
            </w:pPr>
            <w:r>
              <w:rPr>
                <w:b/>
                <w:bCs/>
                <w:color w:val="000000"/>
                <w:sz w:val="22"/>
                <w:szCs w:val="22"/>
              </w:rPr>
              <w:t>%</w:t>
            </w:r>
          </w:p>
        </w:tc>
        <w:tc>
          <w:tcPr>
            <w:tcW w:w="1065" w:type="dxa"/>
            <w:shd w:val="clear" w:color="auto" w:fill="auto"/>
            <w:tcMar>
              <w:top w:w="15" w:type="dxa"/>
              <w:left w:w="15" w:type="dxa"/>
              <w:bottom w:w="0" w:type="dxa"/>
              <w:right w:w="15" w:type="dxa"/>
            </w:tcMar>
            <w:vAlign w:val="center"/>
          </w:tcPr>
          <w:p>
            <w:pPr>
              <w:jc w:val="center"/>
              <w:rPr>
                <w:rFonts w:ascii="仿宋" w:hAnsi="仿宋" w:eastAsia="仿宋" w:cs="宋体"/>
                <w:color w:val="000000"/>
              </w:rPr>
            </w:pPr>
            <w:r>
              <w:rPr>
                <w:rFonts w:hint="eastAsia" w:ascii="仿宋" w:hAnsi="仿宋" w:eastAsia="仿宋"/>
                <w:color w:val="000000"/>
              </w:rPr>
              <w:t>工作总结</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850" w:type="dxa"/>
            <w:shd w:val="clear" w:color="auto" w:fill="auto"/>
            <w:noWrap/>
            <w:tcMar>
              <w:top w:w="15" w:type="dxa"/>
              <w:left w:w="15" w:type="dxa"/>
              <w:bottom w:w="0" w:type="dxa"/>
              <w:right w:w="15" w:type="dxa"/>
            </w:tcMar>
            <w:vAlign w:val="center"/>
          </w:tcPr>
          <w:p>
            <w:pPr>
              <w:rPr>
                <w:rFonts w:ascii="仿宋" w:hAnsi="仿宋" w:eastAsia="仿宋"/>
                <w:color w:val="000000"/>
              </w:rPr>
            </w:pPr>
            <w:r>
              <w:rPr>
                <w:rFonts w:hint="eastAsia" w:ascii="仿宋" w:hAnsi="仿宋" w:eastAsia="仿宋"/>
                <w:color w:val="000000"/>
              </w:rPr>
              <w:t>信访群众满意度</w:t>
            </w:r>
          </w:p>
        </w:tc>
        <w:tc>
          <w:tcPr>
            <w:tcW w:w="5171" w:type="dxa"/>
            <w:shd w:val="clear" w:color="auto" w:fill="auto"/>
            <w:noWrap/>
            <w:tcMar>
              <w:top w:w="15" w:type="dxa"/>
              <w:left w:w="15" w:type="dxa"/>
              <w:bottom w:w="0" w:type="dxa"/>
              <w:right w:w="15" w:type="dxa"/>
            </w:tcMar>
            <w:vAlign w:val="center"/>
          </w:tcPr>
          <w:p>
            <w:pPr>
              <w:rPr>
                <w:rFonts w:ascii="仿宋" w:hAnsi="仿宋" w:eastAsia="仿宋"/>
                <w:color w:val="000000"/>
              </w:rPr>
            </w:pPr>
            <w:r>
              <w:rPr>
                <w:rFonts w:hint="eastAsia" w:ascii="仿宋" w:hAnsi="仿宋" w:eastAsia="仿宋"/>
                <w:color w:val="000000"/>
              </w:rPr>
              <w:t>达到指标值，得权重分满分，每降低10%，扣权重分10%。</w:t>
            </w:r>
          </w:p>
        </w:tc>
        <w:tc>
          <w:tcPr>
            <w:tcW w:w="3476" w:type="dxa"/>
            <w:shd w:val="clear" w:color="auto" w:fill="auto"/>
            <w:noWrap/>
            <w:tcMar>
              <w:top w:w="15" w:type="dxa"/>
              <w:left w:w="15" w:type="dxa"/>
              <w:bottom w:w="0" w:type="dxa"/>
              <w:right w:w="15" w:type="dxa"/>
            </w:tcMar>
            <w:vAlign w:val="center"/>
          </w:tcPr>
          <w:p>
            <w:pPr>
              <w:rPr>
                <w:rFonts w:ascii="仿宋" w:hAnsi="仿宋" w:eastAsia="仿宋"/>
                <w:color w:val="000000"/>
              </w:rPr>
            </w:pPr>
            <w:r>
              <w:rPr>
                <w:rFonts w:hint="eastAsia" w:ascii="仿宋" w:hAnsi="仿宋" w:eastAsia="仿宋"/>
                <w:color w:val="000000"/>
              </w:rPr>
              <w:t>信访人满意数和信访人基本满意数占被询问信访人总人数的比例。</w:t>
            </w:r>
          </w:p>
        </w:tc>
        <w:tc>
          <w:tcPr>
            <w:tcW w:w="992" w:type="dxa"/>
            <w:shd w:val="clear" w:color="auto" w:fill="auto"/>
            <w:tcMar>
              <w:top w:w="15" w:type="dxa"/>
              <w:left w:w="15" w:type="dxa"/>
              <w:bottom w:w="0" w:type="dxa"/>
              <w:right w:w="15" w:type="dxa"/>
            </w:tcMar>
            <w:vAlign w:val="center"/>
          </w:tcPr>
          <w:p>
            <w:pPr>
              <w:jc w:val="center"/>
              <w:rPr>
                <w:rFonts w:ascii="仿宋" w:hAnsi="仿宋" w:eastAsia="仿宋"/>
                <w:color w:val="000000"/>
              </w:rPr>
            </w:pPr>
            <w:r>
              <w:rPr>
                <w:rFonts w:hint="eastAsia" w:ascii="仿宋" w:hAnsi="仿宋" w:eastAsia="仿宋"/>
                <w:color w:val="000000"/>
              </w:rPr>
              <w:t>≥</w:t>
            </w:r>
          </w:p>
        </w:tc>
        <w:tc>
          <w:tcPr>
            <w:tcW w:w="993" w:type="dxa"/>
            <w:shd w:val="clear" w:color="auto" w:fill="auto"/>
            <w:tcMar>
              <w:top w:w="15" w:type="dxa"/>
              <w:left w:w="15" w:type="dxa"/>
              <w:bottom w:w="0" w:type="dxa"/>
              <w:right w:w="15" w:type="dxa"/>
            </w:tcMar>
            <w:vAlign w:val="center"/>
          </w:tcPr>
          <w:p>
            <w:pPr>
              <w:jc w:val="center"/>
              <w:rPr>
                <w:rFonts w:ascii="仿宋" w:hAnsi="仿宋" w:eastAsia="仿宋"/>
                <w:color w:val="000000"/>
              </w:rPr>
            </w:pPr>
            <w:r>
              <w:rPr>
                <w:rFonts w:hint="eastAsia" w:ascii="仿宋" w:hAnsi="仿宋" w:eastAsia="仿宋"/>
                <w:color w:val="000000"/>
              </w:rPr>
              <w:t>95</w:t>
            </w:r>
          </w:p>
        </w:tc>
        <w:tc>
          <w:tcPr>
            <w:tcW w:w="850" w:type="dxa"/>
            <w:shd w:val="clear" w:color="auto" w:fill="auto"/>
            <w:tcMar>
              <w:top w:w="15" w:type="dxa"/>
              <w:left w:w="15" w:type="dxa"/>
              <w:bottom w:w="0" w:type="dxa"/>
              <w:right w:w="15" w:type="dxa"/>
            </w:tcMar>
            <w:vAlign w:val="center"/>
          </w:tcPr>
          <w:p>
            <w:pPr>
              <w:jc w:val="center"/>
              <w:rPr>
                <w:rFonts w:eastAsia="宋体"/>
                <w:b/>
                <w:bCs/>
                <w:color w:val="000000"/>
                <w:sz w:val="22"/>
                <w:szCs w:val="22"/>
              </w:rPr>
            </w:pPr>
            <w:r>
              <w:rPr>
                <w:b/>
                <w:bCs/>
                <w:color w:val="000000"/>
                <w:sz w:val="22"/>
                <w:szCs w:val="22"/>
              </w:rPr>
              <w:t>%</w:t>
            </w:r>
          </w:p>
        </w:tc>
        <w:tc>
          <w:tcPr>
            <w:tcW w:w="1065" w:type="dxa"/>
            <w:shd w:val="clear" w:color="auto" w:fill="auto"/>
            <w:tcMar>
              <w:top w:w="15" w:type="dxa"/>
              <w:left w:w="15" w:type="dxa"/>
              <w:bottom w:w="0" w:type="dxa"/>
              <w:right w:w="15" w:type="dxa"/>
            </w:tcMar>
            <w:vAlign w:val="center"/>
          </w:tcPr>
          <w:p>
            <w:pPr>
              <w:jc w:val="center"/>
              <w:rPr>
                <w:rFonts w:ascii="仿宋" w:hAnsi="仿宋" w:eastAsia="仿宋" w:cs="宋体"/>
                <w:color w:val="000000"/>
              </w:rPr>
            </w:pPr>
            <w:r>
              <w:rPr>
                <w:rFonts w:hint="eastAsia" w:ascii="仿宋" w:hAnsi="仿宋" w:eastAsia="仿宋"/>
                <w:color w:val="000000"/>
              </w:rPr>
              <w:t>调查问卷</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1、信访维稳工作经费绩效目标表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1.目标内容1处理信访维稳相关问题，有效维护信访稳定。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维稳安保工作次数</w:t>
            </w:r>
          </w:p>
        </w:tc>
        <w:tc>
          <w:tcPr>
            <w:tcW w:w="2835" w:type="dxa"/>
            <w:vAlign w:val="center"/>
          </w:tcPr>
          <w:p>
            <w:pPr>
              <w:pStyle w:val="17"/>
            </w:pPr>
            <w:r>
              <w:t>日常及敏感时期开展的值班及安保工作</w:t>
            </w:r>
          </w:p>
        </w:tc>
        <w:tc>
          <w:tcPr>
            <w:tcW w:w="2551" w:type="dxa"/>
            <w:vAlign w:val="center"/>
          </w:tcPr>
          <w:p>
            <w:pPr>
              <w:pStyle w:val="17"/>
            </w:pPr>
            <w:r>
              <w:t>≥5次</w:t>
            </w:r>
          </w:p>
        </w:tc>
        <w:tc>
          <w:tcPr>
            <w:tcW w:w="2268" w:type="dxa"/>
            <w:vAlign w:val="center"/>
          </w:tcPr>
          <w:p>
            <w:pPr>
              <w:pStyle w:val="17"/>
            </w:pPr>
            <w: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处理特殊及疑难案件次数</w:t>
            </w:r>
          </w:p>
        </w:tc>
        <w:tc>
          <w:tcPr>
            <w:tcW w:w="2835" w:type="dxa"/>
            <w:vAlign w:val="center"/>
          </w:tcPr>
          <w:p>
            <w:pPr>
              <w:pStyle w:val="17"/>
            </w:pPr>
            <w:r>
              <w:t>处理特殊及疑难案件次数</w:t>
            </w:r>
          </w:p>
        </w:tc>
        <w:tc>
          <w:tcPr>
            <w:tcW w:w="2551" w:type="dxa"/>
            <w:vAlign w:val="center"/>
          </w:tcPr>
          <w:p>
            <w:pPr>
              <w:pStyle w:val="17"/>
            </w:pPr>
            <w:r>
              <w:t>≥3次</w:t>
            </w:r>
          </w:p>
        </w:tc>
        <w:tc>
          <w:tcPr>
            <w:tcW w:w="2268" w:type="dxa"/>
            <w:vAlign w:val="center"/>
          </w:tcPr>
          <w:p>
            <w:pPr>
              <w:pStyle w:val="17"/>
            </w:pPr>
            <w: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安全保卫率</w:t>
            </w:r>
          </w:p>
        </w:tc>
        <w:tc>
          <w:tcPr>
            <w:tcW w:w="2835" w:type="dxa"/>
            <w:vAlign w:val="center"/>
          </w:tcPr>
          <w:p>
            <w:pPr>
              <w:pStyle w:val="17"/>
            </w:pPr>
            <w:r>
              <w:t>开展安保工作切实发挥作用的次数占总安保次数的比率</w:t>
            </w:r>
          </w:p>
        </w:tc>
        <w:tc>
          <w:tcPr>
            <w:tcW w:w="2551" w:type="dxa"/>
            <w:vAlign w:val="center"/>
          </w:tcPr>
          <w:p>
            <w:pPr>
              <w:pStyle w:val="17"/>
            </w:pPr>
            <w:r>
              <w:t>≥90百分比</w:t>
            </w:r>
          </w:p>
        </w:tc>
        <w:tc>
          <w:tcPr>
            <w:tcW w:w="2268" w:type="dxa"/>
            <w:vAlign w:val="center"/>
          </w:tcPr>
          <w:p>
            <w:pPr>
              <w:pStyle w:val="17"/>
            </w:pPr>
            <w: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开展工作及时性</w:t>
            </w:r>
          </w:p>
        </w:tc>
        <w:tc>
          <w:tcPr>
            <w:tcW w:w="2835" w:type="dxa"/>
            <w:vAlign w:val="center"/>
          </w:tcPr>
          <w:p>
            <w:pPr>
              <w:pStyle w:val="17"/>
            </w:pPr>
            <w:r>
              <w:t>特殊时期全程开展维稳工作的次数占特殊时期总数的比率</w:t>
            </w:r>
          </w:p>
        </w:tc>
        <w:tc>
          <w:tcPr>
            <w:tcW w:w="2551" w:type="dxa"/>
            <w:vAlign w:val="center"/>
          </w:tcPr>
          <w:p>
            <w:pPr>
              <w:pStyle w:val="17"/>
            </w:pPr>
            <w:r>
              <w:t>≥90百分比</w:t>
            </w:r>
          </w:p>
        </w:tc>
        <w:tc>
          <w:tcPr>
            <w:tcW w:w="2268" w:type="dxa"/>
            <w:vAlign w:val="center"/>
          </w:tcPr>
          <w:p>
            <w:pPr>
              <w:pStyle w:val="17"/>
            </w:pPr>
            <w:r>
              <w:t>支出进度表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w:t>
            </w:r>
          </w:p>
        </w:tc>
        <w:tc>
          <w:tcPr>
            <w:tcW w:w="2835" w:type="dxa"/>
            <w:vAlign w:val="center"/>
          </w:tcPr>
          <w:p>
            <w:pPr>
              <w:pStyle w:val="17"/>
            </w:pPr>
            <w:r>
              <w:t>项目实际支出与预算金额的比例</w:t>
            </w:r>
          </w:p>
        </w:tc>
        <w:tc>
          <w:tcPr>
            <w:tcW w:w="2551" w:type="dxa"/>
            <w:vAlign w:val="center"/>
          </w:tcPr>
          <w:p>
            <w:pPr>
              <w:pStyle w:val="17"/>
            </w:pPr>
            <w:r>
              <w:t>≤100百分比</w:t>
            </w:r>
          </w:p>
        </w:tc>
        <w:tc>
          <w:tcPr>
            <w:tcW w:w="2268" w:type="dxa"/>
            <w:vAlign w:val="center"/>
          </w:tcPr>
          <w:p>
            <w:pPr>
              <w:pStyle w:val="17"/>
            </w:pPr>
            <w:r>
              <w:t>决算报表和工作总结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保障及时处置不稳定因素</w:t>
            </w:r>
          </w:p>
        </w:tc>
        <w:tc>
          <w:tcPr>
            <w:tcW w:w="2835" w:type="dxa"/>
            <w:vAlign w:val="center"/>
          </w:tcPr>
          <w:p>
            <w:pPr>
              <w:pStyle w:val="17"/>
            </w:pPr>
            <w:r>
              <w:t>处置不稳定因素次数占不稳定因素发生总数的百分比</w:t>
            </w:r>
          </w:p>
        </w:tc>
        <w:tc>
          <w:tcPr>
            <w:tcW w:w="2551" w:type="dxa"/>
            <w:vAlign w:val="center"/>
          </w:tcPr>
          <w:p>
            <w:pPr>
              <w:pStyle w:val="17"/>
            </w:pPr>
            <w:r>
              <w:t>≥90百分比</w:t>
            </w:r>
          </w:p>
        </w:tc>
        <w:tc>
          <w:tcPr>
            <w:tcW w:w="2268" w:type="dxa"/>
            <w:vAlign w:val="center"/>
          </w:tcPr>
          <w:p>
            <w:pPr>
              <w:pStyle w:val="17"/>
            </w:pPr>
            <w:r>
              <w:t>工作总结和社会满意度调查表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长期保障及时处置不稳定因素</w:t>
            </w:r>
          </w:p>
        </w:tc>
        <w:tc>
          <w:tcPr>
            <w:tcW w:w="2835" w:type="dxa"/>
            <w:vAlign w:val="center"/>
          </w:tcPr>
          <w:p>
            <w:pPr>
              <w:pStyle w:val="17"/>
            </w:pPr>
            <w:r>
              <w:t>及时处置不稳定因素次数占不稳定因素发生总数的百分比</w:t>
            </w:r>
          </w:p>
        </w:tc>
        <w:tc>
          <w:tcPr>
            <w:tcW w:w="2551" w:type="dxa"/>
            <w:vAlign w:val="center"/>
          </w:tcPr>
          <w:p>
            <w:pPr>
              <w:pStyle w:val="17"/>
            </w:pPr>
            <w:r>
              <w:t>≥90百分比</w:t>
            </w:r>
          </w:p>
        </w:tc>
        <w:tc>
          <w:tcPr>
            <w:tcW w:w="2268" w:type="dxa"/>
            <w:vAlign w:val="center"/>
          </w:tcPr>
          <w:p>
            <w:pPr>
              <w:pStyle w:val="17"/>
            </w:pPr>
            <w:r>
              <w:t>　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保障我区信访工作的开展</w:t>
            </w:r>
          </w:p>
        </w:tc>
        <w:tc>
          <w:tcPr>
            <w:tcW w:w="2835" w:type="dxa"/>
            <w:vAlign w:val="center"/>
          </w:tcPr>
          <w:p>
            <w:pPr>
              <w:pStyle w:val="17"/>
            </w:pPr>
            <w:r>
              <w:t>保障我区各项信访工作的完成</w:t>
            </w:r>
          </w:p>
        </w:tc>
        <w:tc>
          <w:tcPr>
            <w:tcW w:w="2551" w:type="dxa"/>
            <w:vAlign w:val="center"/>
          </w:tcPr>
          <w:p>
            <w:pPr>
              <w:pStyle w:val="17"/>
            </w:pPr>
            <w:r>
              <w:t>100百分比</w:t>
            </w:r>
          </w:p>
        </w:tc>
        <w:tc>
          <w:tcPr>
            <w:tcW w:w="2268" w:type="dxa"/>
            <w:vAlign w:val="center"/>
          </w:tcPr>
          <w:p>
            <w:pPr>
              <w:pStyle w:val="17"/>
            </w:pPr>
            <w:r>
              <w:t>　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维稳人群的占比</w:t>
            </w:r>
          </w:p>
        </w:tc>
        <w:tc>
          <w:tcPr>
            <w:tcW w:w="2835" w:type="dxa"/>
            <w:vAlign w:val="center"/>
          </w:tcPr>
          <w:p>
            <w:pPr>
              <w:pStyle w:val="17"/>
            </w:pPr>
            <w:r>
              <w:t>调查人员占总维稳人员的百分比</w:t>
            </w:r>
          </w:p>
        </w:tc>
        <w:tc>
          <w:tcPr>
            <w:tcW w:w="2551" w:type="dxa"/>
            <w:vAlign w:val="center"/>
          </w:tcPr>
          <w:p>
            <w:pPr>
              <w:pStyle w:val="17"/>
            </w:pPr>
            <w:r>
              <w:t>≥95百分比</w:t>
            </w:r>
          </w:p>
        </w:tc>
        <w:tc>
          <w:tcPr>
            <w:tcW w:w="2268" w:type="dxa"/>
            <w:vAlign w:val="center"/>
          </w:tcPr>
          <w:p>
            <w:pPr>
              <w:pStyle w:val="17"/>
            </w:pPr>
            <w:r>
              <w:t>满意调查表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2、信访值班工作经费绩效目标表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1.目标内容1：畅通信访渠道，提高信访事项的办事质量和效率，同时提高信访群众满意度。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进京赴省非正常上访次数</w:t>
            </w:r>
          </w:p>
        </w:tc>
        <w:tc>
          <w:tcPr>
            <w:tcW w:w="2835" w:type="dxa"/>
            <w:vAlign w:val="center"/>
          </w:tcPr>
          <w:p>
            <w:pPr>
              <w:pStyle w:val="17"/>
            </w:pPr>
            <w:r>
              <w:t>反映年度非正常上访次数</w:t>
            </w:r>
          </w:p>
        </w:tc>
        <w:tc>
          <w:tcPr>
            <w:tcW w:w="2551" w:type="dxa"/>
            <w:vAlign w:val="center"/>
          </w:tcPr>
          <w:p>
            <w:pPr>
              <w:pStyle w:val="17"/>
            </w:pPr>
            <w:r>
              <w:t>≤12次</w:t>
            </w:r>
          </w:p>
        </w:tc>
        <w:tc>
          <w:tcPr>
            <w:tcW w:w="2268" w:type="dxa"/>
            <w:vAlign w:val="center"/>
          </w:tcPr>
          <w:p>
            <w:pPr>
              <w:pStyle w:val="17"/>
            </w:pPr>
            <w:r>
              <w:t>2022年度非访登记表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信访事项按期办结率</w:t>
            </w:r>
          </w:p>
        </w:tc>
        <w:tc>
          <w:tcPr>
            <w:tcW w:w="2835" w:type="dxa"/>
            <w:vAlign w:val="center"/>
          </w:tcPr>
          <w:p>
            <w:pPr>
              <w:pStyle w:val="17"/>
            </w:pPr>
            <w:r>
              <w:t>实际办结案件数量占案件总数的比例</w:t>
            </w:r>
          </w:p>
        </w:tc>
        <w:tc>
          <w:tcPr>
            <w:tcW w:w="2551" w:type="dxa"/>
            <w:vAlign w:val="center"/>
          </w:tcPr>
          <w:p>
            <w:pPr>
              <w:pStyle w:val="17"/>
            </w:pPr>
            <w:r>
              <w:t>≥80%</w:t>
            </w:r>
          </w:p>
        </w:tc>
        <w:tc>
          <w:tcPr>
            <w:tcW w:w="2268" w:type="dxa"/>
            <w:vAlign w:val="center"/>
          </w:tcPr>
          <w:p>
            <w:pPr>
              <w:pStyle w:val="17"/>
            </w:pPr>
            <w:r>
              <w:t>2022年工作总结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进京赴省信访事项受理及时率</w:t>
            </w:r>
          </w:p>
        </w:tc>
        <w:tc>
          <w:tcPr>
            <w:tcW w:w="2835" w:type="dxa"/>
            <w:vAlign w:val="center"/>
          </w:tcPr>
          <w:p>
            <w:pPr>
              <w:pStyle w:val="17"/>
            </w:pPr>
            <w:r>
              <w:t>及时受理的信访事项占信访总事项的比例</w:t>
            </w:r>
          </w:p>
        </w:tc>
        <w:tc>
          <w:tcPr>
            <w:tcW w:w="2551" w:type="dxa"/>
            <w:vAlign w:val="center"/>
          </w:tcPr>
          <w:p>
            <w:pPr>
              <w:pStyle w:val="17"/>
            </w:pPr>
            <w:r>
              <w:t>≥90%</w:t>
            </w:r>
          </w:p>
        </w:tc>
        <w:tc>
          <w:tcPr>
            <w:tcW w:w="2268" w:type="dxa"/>
            <w:vAlign w:val="center"/>
          </w:tcPr>
          <w:p>
            <w:pPr>
              <w:pStyle w:val="17"/>
            </w:pPr>
            <w:r>
              <w:t>信访工作职责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w:t>
            </w:r>
          </w:p>
        </w:tc>
        <w:tc>
          <w:tcPr>
            <w:tcW w:w="2835" w:type="dxa"/>
            <w:vAlign w:val="center"/>
          </w:tcPr>
          <w:p>
            <w:pPr>
              <w:pStyle w:val="17"/>
            </w:pPr>
            <w:r>
              <w:t>项目实际支出与预算金额的比例</w:t>
            </w:r>
          </w:p>
        </w:tc>
        <w:tc>
          <w:tcPr>
            <w:tcW w:w="2551" w:type="dxa"/>
            <w:vAlign w:val="center"/>
          </w:tcPr>
          <w:p>
            <w:pPr>
              <w:pStyle w:val="17"/>
            </w:pPr>
            <w:r>
              <w:t>≤100%</w:t>
            </w:r>
          </w:p>
        </w:tc>
        <w:tc>
          <w:tcPr>
            <w:tcW w:w="2268" w:type="dxa"/>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社会效益指标</w:t>
            </w:r>
          </w:p>
        </w:tc>
        <w:tc>
          <w:tcPr>
            <w:tcW w:w="2835" w:type="dxa"/>
            <w:vAlign w:val="center"/>
          </w:tcPr>
          <w:p>
            <w:pPr>
              <w:pStyle w:val="17"/>
            </w:pPr>
            <w:r>
              <w:t>进京赴省信访事项劝返率提升率</w:t>
            </w:r>
          </w:p>
        </w:tc>
        <w:tc>
          <w:tcPr>
            <w:tcW w:w="2551" w:type="dxa"/>
            <w:vAlign w:val="center"/>
          </w:tcPr>
          <w:p>
            <w:pPr>
              <w:pStyle w:val="17"/>
            </w:pPr>
            <w:r>
              <w:t>≥90%</w:t>
            </w:r>
          </w:p>
        </w:tc>
        <w:tc>
          <w:tcPr>
            <w:tcW w:w="2268" w:type="dxa"/>
            <w:vAlign w:val="center"/>
          </w:tcPr>
          <w:p>
            <w:pPr>
              <w:pStyle w:val="17"/>
            </w:pPr>
            <w:r>
              <w:t>2022年度非访登记表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可持续影响指标</w:t>
            </w:r>
          </w:p>
        </w:tc>
        <w:tc>
          <w:tcPr>
            <w:tcW w:w="2835" w:type="dxa"/>
            <w:vAlign w:val="center"/>
          </w:tcPr>
          <w:p>
            <w:pPr>
              <w:pStyle w:val="17"/>
            </w:pPr>
            <w:r>
              <w:t>全区信访下降率</w:t>
            </w:r>
          </w:p>
        </w:tc>
        <w:tc>
          <w:tcPr>
            <w:tcW w:w="2551" w:type="dxa"/>
            <w:vAlign w:val="center"/>
          </w:tcPr>
          <w:p>
            <w:pPr>
              <w:pStyle w:val="17"/>
            </w:pPr>
            <w:r>
              <w:t>≥0%</w:t>
            </w:r>
          </w:p>
        </w:tc>
        <w:tc>
          <w:tcPr>
            <w:tcW w:w="2268" w:type="dxa"/>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保障我区信访工作的开展</w:t>
            </w:r>
          </w:p>
        </w:tc>
        <w:tc>
          <w:tcPr>
            <w:tcW w:w="2835" w:type="dxa"/>
            <w:vAlign w:val="center"/>
          </w:tcPr>
          <w:p>
            <w:pPr>
              <w:pStyle w:val="17"/>
            </w:pPr>
            <w:r>
              <w:t>保障我区各项信访工作的完成</w:t>
            </w:r>
          </w:p>
        </w:tc>
        <w:tc>
          <w:tcPr>
            <w:tcW w:w="2551" w:type="dxa"/>
            <w:vAlign w:val="center"/>
          </w:tcPr>
          <w:p>
            <w:pPr>
              <w:pStyle w:val="17"/>
            </w:pPr>
            <w:r>
              <w:t>100%</w:t>
            </w:r>
          </w:p>
        </w:tc>
        <w:tc>
          <w:tcPr>
            <w:tcW w:w="2268" w:type="dxa"/>
            <w:vAlign w:val="center"/>
          </w:tcPr>
          <w:p>
            <w:pPr>
              <w:pStyle w:val="17"/>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信访群众满意度</w:t>
            </w:r>
          </w:p>
        </w:tc>
        <w:tc>
          <w:tcPr>
            <w:tcW w:w="2835" w:type="dxa"/>
            <w:vAlign w:val="center"/>
          </w:tcPr>
          <w:p>
            <w:pPr>
              <w:pStyle w:val="17"/>
            </w:pPr>
            <w:r>
              <w:t>信访群众满意度</w:t>
            </w:r>
          </w:p>
        </w:tc>
        <w:tc>
          <w:tcPr>
            <w:tcW w:w="2551" w:type="dxa"/>
            <w:vAlign w:val="center"/>
          </w:tcPr>
          <w:p>
            <w:pPr>
              <w:pStyle w:val="17"/>
            </w:pPr>
            <w:r>
              <w:t>≥95%</w:t>
            </w:r>
          </w:p>
        </w:tc>
        <w:tc>
          <w:tcPr>
            <w:tcW w:w="2268" w:type="dxa"/>
            <w:vAlign w:val="center"/>
          </w:tcPr>
          <w:p>
            <w:pPr>
              <w:pStyle w:val="17"/>
            </w:pPr>
            <w:r>
              <w:t>满意度问卷调查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2023年，廊坊市广阳区信访局安排政府采购预算0.00万元。具体内容见下表。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287廊坊市广阳区信访局</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廊坊市广阳区信访局（含所属单位）上年末固定资产金额为87.22万元（详见下表）。本年度拟购置固定资产总额为0.00万元，已按要求列入政府采购预算，详见政府采购预算表。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287廊坊市广阳区信访局</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87.22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2</w:t>
            </w:r>
          </w:p>
        </w:tc>
        <w:tc>
          <w:tcPr>
            <w:tcW w:w="2835" w:type="dxa"/>
            <w:vAlign w:val="center"/>
          </w:tcPr>
          <w:p>
            <w:pPr>
              <w:pStyle w:val="16"/>
            </w:pPr>
            <w:r>
              <w:t>28.68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88</w:t>
            </w:r>
          </w:p>
        </w:tc>
        <w:tc>
          <w:tcPr>
            <w:tcW w:w="2835" w:type="dxa"/>
            <w:vAlign w:val="center"/>
          </w:tcPr>
          <w:p>
            <w:pPr>
              <w:pStyle w:val="16"/>
            </w:pPr>
            <w:r>
              <w:t>58.54</w:t>
            </w:r>
          </w:p>
        </w:tc>
      </w:tr>
    </w:tbl>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CE5B46"/>
    <w:rsid w:val="003B0506"/>
    <w:rsid w:val="008C4B0C"/>
    <w:rsid w:val="00A23C9B"/>
    <w:rsid w:val="00A834A9"/>
    <w:rsid w:val="00AC18AD"/>
    <w:rsid w:val="00CE5B46"/>
    <w:rsid w:val="00FF7AA7"/>
    <w:rsid w:val="559D4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uiPriority w:val="99"/>
    <w:pPr>
      <w:tabs>
        <w:tab w:val="center" w:pos="4153"/>
        <w:tab w:val="right" w:pos="8306"/>
      </w:tabs>
      <w:snapToGrid w:val="0"/>
    </w:pPr>
    <w:rPr>
      <w:sz w:val="18"/>
      <w:szCs w:val="18"/>
    </w:rPr>
  </w:style>
  <w:style w:type="paragraph" w:styleId="4">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uiPriority w:val="99"/>
    <w:rPr>
      <w:rFonts w:eastAsia="Times New Roman"/>
      <w:sz w:val="18"/>
      <w:szCs w:val="18"/>
      <w:lang w:eastAsia="uk-UA"/>
    </w:rPr>
  </w:style>
  <w:style w:type="character" w:customStyle="1" w:styleId="35">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2023-03-13T11:05:47Z</dcterms:created>
  <dcterms:modified xsi:type="dcterms:W3CDTF">2023-03-13T03:05:47Z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2023-03-13T11:05:48Z</dcterms:created>
  <dcterms:modified xsi:type="dcterms:W3CDTF">2023-03-13T03:05:48Z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2023-03-13T11:05:47Z</dcterms:created>
  <dcterms:modified xsi:type="dcterms:W3CDTF">2023-03-13T03:05:47Z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2023-03-13T11:05:47Z</dcterms:created>
  <dcterms:modified xsi:type="dcterms:W3CDTF">2023-03-13T03:05:47Z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2023-03-13T11:05:50Z</dcterms:created>
  <dcterms:modified xsi:type="dcterms:W3CDTF">2023-03-13T03:05:50Z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2023-03-13T11:05:51Z</dcterms:created>
  <dcterms:modified xsi:type="dcterms:W3CDTF">2023-03-13T03:05:51Z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2023-03-13T11:05:50Z</dcterms:created>
  <dcterms:modified xsi:type="dcterms:W3CDTF">2023-03-13T03:05:50Z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2023-03-13T11:05:50Z</dcterms:created>
  <dcterms:modified xsi:type="dcterms:W3CDTF">2023-03-13T03:05:50Z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2023-03-13T11:05:47Z</dcterms:created>
  <dcterms:modified xsi:type="dcterms:W3CDTF">2023-03-13T03:05:47Z</dcterms:modified>
</cp:coreProperties>
</file>

<file path=customXml/itemProps1.xml><?xml version="1.0" encoding="utf-8"?>
<ds:datastoreItem xmlns:ds="http://schemas.openxmlformats.org/officeDocument/2006/customXml" ds:itemID="{7DC35BA5-C08A-405B-80B2-95879AB58387}">
  <ds:schemaRefs/>
</ds:datastoreItem>
</file>

<file path=customXml/itemProps10.xml><?xml version="1.0" encoding="utf-8"?>
<ds:datastoreItem xmlns:ds="http://schemas.openxmlformats.org/officeDocument/2006/customXml" ds:itemID="{80D6ECC3-B859-4D37-80D0-D34C562EF602}">
  <ds:schemaRefs/>
</ds:datastoreItem>
</file>

<file path=customXml/itemProps11.xml><?xml version="1.0" encoding="utf-8"?>
<ds:datastoreItem xmlns:ds="http://schemas.openxmlformats.org/officeDocument/2006/customXml" ds:itemID="{F14D42A6-D49F-4F9E-9E04-0549B5E38EFA}">
  <ds:schemaRefs/>
</ds:datastoreItem>
</file>

<file path=customXml/itemProps12.xml><?xml version="1.0" encoding="utf-8"?>
<ds:datastoreItem xmlns:ds="http://schemas.openxmlformats.org/officeDocument/2006/customXml" ds:itemID="{783D73DF-E7F1-41B5-84C6-3027F30D2B39}">
  <ds:schemaRefs/>
</ds:datastoreItem>
</file>

<file path=customXml/itemProps13.xml><?xml version="1.0" encoding="utf-8"?>
<ds:datastoreItem xmlns:ds="http://schemas.openxmlformats.org/officeDocument/2006/customXml" ds:itemID="{A3EAD71F-A4FF-4EFA-82BE-25271ED2E108}">
  <ds:schemaRefs/>
</ds:datastoreItem>
</file>

<file path=customXml/itemProps14.xml><?xml version="1.0" encoding="utf-8"?>
<ds:datastoreItem xmlns:ds="http://schemas.openxmlformats.org/officeDocument/2006/customXml" ds:itemID="{D21A1BAF-C39C-4ED6-9A49-F7F98A75F59C}">
  <ds:schemaRefs/>
</ds:datastoreItem>
</file>

<file path=customXml/itemProps15.xml><?xml version="1.0" encoding="utf-8"?>
<ds:datastoreItem xmlns:ds="http://schemas.openxmlformats.org/officeDocument/2006/customXml" ds:itemID="{903DF11B-7276-4C9A-8FD7-F453E62DFD4C}">
  <ds:schemaRefs/>
</ds:datastoreItem>
</file>

<file path=customXml/itemProps16.xml><?xml version="1.0" encoding="utf-8"?>
<ds:datastoreItem xmlns:ds="http://schemas.openxmlformats.org/officeDocument/2006/customXml" ds:itemID="{00414332-075E-4CE9-8612-D063D44BDAE3}">
  <ds:schemaRefs/>
</ds:datastoreItem>
</file>

<file path=customXml/itemProps17.xml><?xml version="1.0" encoding="utf-8"?>
<ds:datastoreItem xmlns:ds="http://schemas.openxmlformats.org/officeDocument/2006/customXml" ds:itemID="{96011A81-54E2-410A-B058-96B49F5BE115}">
  <ds:schemaRefs/>
</ds:datastoreItem>
</file>

<file path=customXml/itemProps18.xml><?xml version="1.0" encoding="utf-8"?>
<ds:datastoreItem xmlns:ds="http://schemas.openxmlformats.org/officeDocument/2006/customXml" ds:itemID="{AF5D32E0-A991-4583-9D9A-CFF719DFDE39}">
  <ds:schemaRefs/>
</ds:datastoreItem>
</file>

<file path=customXml/itemProps2.xml><?xml version="1.0" encoding="utf-8"?>
<ds:datastoreItem xmlns:ds="http://schemas.openxmlformats.org/officeDocument/2006/customXml" ds:itemID="{335F85F3-7BB9-4C2C-B2D2-B59192B08E63}">
  <ds:schemaRefs/>
</ds:datastoreItem>
</file>

<file path=customXml/itemProps3.xml><?xml version="1.0" encoding="utf-8"?>
<ds:datastoreItem xmlns:ds="http://schemas.openxmlformats.org/officeDocument/2006/customXml" ds:itemID="{19E1E7AF-FA50-49F2-9F58-C55D05CD3431}">
  <ds:schemaRefs/>
</ds:datastoreItem>
</file>

<file path=customXml/itemProps4.xml><?xml version="1.0" encoding="utf-8"?>
<ds:datastoreItem xmlns:ds="http://schemas.openxmlformats.org/officeDocument/2006/customXml" ds:itemID="{CFF2104A-8897-4DBC-B206-C585CD8A90BD}">
  <ds:schemaRefs/>
</ds:datastoreItem>
</file>

<file path=customXml/itemProps5.xml><?xml version="1.0" encoding="utf-8"?>
<ds:datastoreItem xmlns:ds="http://schemas.openxmlformats.org/officeDocument/2006/customXml" ds:itemID="{B09DB523-7E26-4F26-993B-AC688DA55E1C}">
  <ds:schemaRefs/>
</ds:datastoreItem>
</file>

<file path=customXml/itemProps6.xml><?xml version="1.0" encoding="utf-8"?>
<ds:datastoreItem xmlns:ds="http://schemas.openxmlformats.org/officeDocument/2006/customXml" ds:itemID="{261B6936-E4A0-40BA-BEBA-726A45C414B6}">
  <ds:schemaRefs/>
</ds:datastoreItem>
</file>

<file path=customXml/itemProps7.xml><?xml version="1.0" encoding="utf-8"?>
<ds:datastoreItem xmlns:ds="http://schemas.openxmlformats.org/officeDocument/2006/customXml" ds:itemID="{DE5C6A42-37D8-4A21-831C-09250D39EC4B}">
  <ds:schemaRefs/>
</ds:datastoreItem>
</file>

<file path=customXml/itemProps8.xml><?xml version="1.0" encoding="utf-8"?>
<ds:datastoreItem xmlns:ds="http://schemas.openxmlformats.org/officeDocument/2006/customXml" ds:itemID="{05048BC4-28C1-4E4F-9180-FF156B9BCBA6}">
  <ds:schemaRefs/>
</ds:datastoreItem>
</file>

<file path=customXml/itemProps9.xml><?xml version="1.0" encoding="utf-8"?>
<ds:datastoreItem xmlns:ds="http://schemas.openxmlformats.org/officeDocument/2006/customXml" ds:itemID="{AA2A3132-E175-4F34-BC8C-57B103EE10DB}">
  <ds:schemaRefs/>
</ds:datastoreItem>
</file>

<file path=docProps/app.xml><?xml version="1.0" encoding="utf-8"?>
<Properties xmlns="http://schemas.openxmlformats.org/officeDocument/2006/extended-properties" xmlns:vt="http://schemas.openxmlformats.org/officeDocument/2006/docPropsVTypes">
  <Template>Normal</Template>
  <Pages>29</Pages>
  <Words>1738</Words>
  <Characters>9907</Characters>
  <Lines>82</Lines>
  <Paragraphs>23</Paragraphs>
  <TotalTime>7</TotalTime>
  <ScaleCrop>false</ScaleCrop>
  <LinksUpToDate>false</LinksUpToDate>
  <CharactersWithSpaces>11622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2023-03-13T11:05:00Z</dcterms:created>
  <dc:creator>Administrator</dc:creator>
  <cp:lastModifiedBy>Administrator</cp:lastModifiedBy>
  <dcterms:modified xsi:type="dcterms:W3CDTF">2024-01-11T00:46:29Z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9EC29B337BCA4BD588B0F918D0371C0B</vt:lpwstr>
  </property>
</Properties>
</file>