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3780.44</w:t>
            </w:r>
          </w:p>
        </w:tc>
        <w:tc>
          <w:tcPr>
            <w:tcW w:w="4535" w:type="dxa"/>
            <w:vAlign w:val="center"/>
          </w:tcPr>
          <w:p>
            <w:pPr>
              <w:pStyle w:val="17"/>
            </w:pPr>
            <w:r>
              <w:t>一、一般公共服务支出</w:t>
            </w:r>
          </w:p>
        </w:tc>
        <w:tc>
          <w:tcPr>
            <w:tcW w:w="2126" w:type="dxa"/>
            <w:vAlign w:val="center"/>
          </w:tcPr>
          <w:p>
            <w:pPr>
              <w:pStyle w:val="16"/>
            </w:pPr>
            <w:r>
              <w:t>2476.22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1051.43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69.36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183.85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3780.44</w:t>
            </w:r>
          </w:p>
        </w:tc>
        <w:tc>
          <w:tcPr>
            <w:tcW w:w="4535" w:type="dxa"/>
            <w:vAlign w:val="center"/>
          </w:tcPr>
          <w:p>
            <w:pPr>
              <w:pStyle w:val="19"/>
            </w:pPr>
            <w:r>
              <w:t>本年支出合计</w:t>
            </w:r>
          </w:p>
        </w:tc>
        <w:tc>
          <w:tcPr>
            <w:tcW w:w="2126" w:type="dxa"/>
            <w:vAlign w:val="center"/>
          </w:tcPr>
          <w:p>
            <w:pPr>
              <w:pStyle w:val="20"/>
            </w:pPr>
            <w:r>
              <w:t>3780.86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0.42</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3780.86</w:t>
            </w:r>
          </w:p>
        </w:tc>
        <w:tc>
          <w:tcPr>
            <w:tcW w:w="4535" w:type="dxa"/>
            <w:vAlign w:val="center"/>
          </w:tcPr>
          <w:p>
            <w:pPr>
              <w:pStyle w:val="19"/>
            </w:pPr>
            <w:r>
              <w:t>支出总计</w:t>
            </w:r>
          </w:p>
        </w:tc>
        <w:tc>
          <w:tcPr>
            <w:tcW w:w="2126" w:type="dxa"/>
            <w:vAlign w:val="center"/>
          </w:tcPr>
          <w:p>
            <w:pPr>
              <w:pStyle w:val="20"/>
            </w:pPr>
            <w:r>
              <w:t>3780.86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3780.86</w:t>
            </w:r>
          </w:p>
        </w:tc>
        <w:tc>
          <w:tcPr>
            <w:tcW w:w="1134" w:type="dxa"/>
            <w:vAlign w:val="center"/>
          </w:tcPr>
          <w:p>
            <w:pPr>
              <w:pStyle w:val="20"/>
            </w:pPr>
            <w:r>
              <w:t>3780.44</w:t>
            </w:r>
          </w:p>
        </w:tc>
        <w:tc>
          <w:tcPr>
            <w:tcW w:w="1134" w:type="dxa"/>
            <w:vAlign w:val="center"/>
          </w:tcPr>
          <w:p>
            <w:pPr>
              <w:pStyle w:val="20"/>
            </w:pPr>
            <w:r>
              <w:t>3780.44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2476.22</w:t>
            </w:r>
          </w:p>
        </w:tc>
        <w:tc>
          <w:tcPr>
            <w:tcW w:w="1134" w:type="dxa"/>
            <w:vAlign w:val="center"/>
          </w:tcPr>
          <w:p>
            <w:pPr>
              <w:pStyle w:val="16"/>
            </w:pPr>
            <w:r>
              <w:t>2475.80</w:t>
            </w:r>
          </w:p>
        </w:tc>
        <w:tc>
          <w:tcPr>
            <w:tcW w:w="1134" w:type="dxa"/>
            <w:vAlign w:val="center"/>
          </w:tcPr>
          <w:p>
            <w:pPr>
              <w:pStyle w:val="16"/>
            </w:pPr>
            <w:r>
              <w:t>2475.80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20138</w:t>
            </w:r>
          </w:p>
        </w:tc>
        <w:tc>
          <w:tcPr>
            <w:tcW w:w="1559" w:type="dxa"/>
            <w:vAlign w:val="center"/>
          </w:tcPr>
          <w:p>
            <w:pPr>
              <w:pStyle w:val="17"/>
            </w:pPr>
            <w:r>
              <w:t>市场监督管理事务</w:t>
            </w:r>
          </w:p>
        </w:tc>
        <w:tc>
          <w:tcPr>
            <w:tcW w:w="1134" w:type="dxa"/>
            <w:vAlign w:val="center"/>
          </w:tcPr>
          <w:p>
            <w:pPr>
              <w:pStyle w:val="16"/>
            </w:pPr>
            <w:r>
              <w:t>2476.22</w:t>
            </w:r>
          </w:p>
        </w:tc>
        <w:tc>
          <w:tcPr>
            <w:tcW w:w="1134" w:type="dxa"/>
            <w:vAlign w:val="center"/>
          </w:tcPr>
          <w:p>
            <w:pPr>
              <w:pStyle w:val="16"/>
            </w:pPr>
            <w:r>
              <w:t>2475.80</w:t>
            </w:r>
          </w:p>
        </w:tc>
        <w:tc>
          <w:tcPr>
            <w:tcW w:w="1134" w:type="dxa"/>
            <w:vAlign w:val="center"/>
          </w:tcPr>
          <w:p>
            <w:pPr>
              <w:pStyle w:val="16"/>
            </w:pPr>
            <w:r>
              <w:t>2475.80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2013801</w:t>
            </w:r>
          </w:p>
        </w:tc>
        <w:tc>
          <w:tcPr>
            <w:tcW w:w="1559" w:type="dxa"/>
            <w:vAlign w:val="center"/>
          </w:tcPr>
          <w:p>
            <w:pPr>
              <w:pStyle w:val="17"/>
            </w:pPr>
            <w:r>
              <w:t>行政运行</w:t>
            </w:r>
          </w:p>
        </w:tc>
        <w:tc>
          <w:tcPr>
            <w:tcW w:w="1134" w:type="dxa"/>
            <w:vAlign w:val="center"/>
          </w:tcPr>
          <w:p>
            <w:pPr>
              <w:pStyle w:val="16"/>
            </w:pPr>
            <w:r>
              <w:t>2225.64</w:t>
            </w:r>
          </w:p>
        </w:tc>
        <w:tc>
          <w:tcPr>
            <w:tcW w:w="1134" w:type="dxa"/>
            <w:vAlign w:val="center"/>
          </w:tcPr>
          <w:p>
            <w:pPr>
              <w:pStyle w:val="16"/>
            </w:pPr>
            <w:r>
              <w:t>2225.64</w:t>
            </w:r>
          </w:p>
        </w:tc>
        <w:tc>
          <w:tcPr>
            <w:tcW w:w="1134" w:type="dxa"/>
            <w:vAlign w:val="center"/>
          </w:tcPr>
          <w:p>
            <w:pPr>
              <w:pStyle w:val="16"/>
            </w:pPr>
            <w:r>
              <w:t>2225.64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2013802</w:t>
            </w:r>
          </w:p>
        </w:tc>
        <w:tc>
          <w:tcPr>
            <w:tcW w:w="1559" w:type="dxa"/>
            <w:vAlign w:val="center"/>
          </w:tcPr>
          <w:p>
            <w:pPr>
              <w:pStyle w:val="17"/>
            </w:pPr>
            <w:r>
              <w:t>一般行政管理事务</w:t>
            </w:r>
          </w:p>
        </w:tc>
        <w:tc>
          <w:tcPr>
            <w:tcW w:w="1134" w:type="dxa"/>
            <w:vAlign w:val="center"/>
          </w:tcPr>
          <w:p>
            <w:pPr>
              <w:pStyle w:val="16"/>
            </w:pPr>
            <w:r>
              <w:t>70.16</w:t>
            </w:r>
          </w:p>
        </w:tc>
        <w:tc>
          <w:tcPr>
            <w:tcW w:w="1134" w:type="dxa"/>
            <w:vAlign w:val="center"/>
          </w:tcPr>
          <w:p>
            <w:pPr>
              <w:pStyle w:val="16"/>
            </w:pPr>
            <w:r>
              <w:t>70.16</w:t>
            </w:r>
          </w:p>
        </w:tc>
        <w:tc>
          <w:tcPr>
            <w:tcW w:w="1134" w:type="dxa"/>
            <w:vAlign w:val="center"/>
          </w:tcPr>
          <w:p>
            <w:pPr>
              <w:pStyle w:val="16"/>
            </w:pPr>
            <w:r>
              <w:t>70.16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2013804</w:t>
            </w:r>
          </w:p>
        </w:tc>
        <w:tc>
          <w:tcPr>
            <w:tcW w:w="1559" w:type="dxa"/>
            <w:vAlign w:val="center"/>
          </w:tcPr>
          <w:p>
            <w:pPr>
              <w:pStyle w:val="17"/>
            </w:pPr>
            <w:r>
              <w:t>市场主体管理</w:t>
            </w:r>
          </w:p>
        </w:tc>
        <w:tc>
          <w:tcPr>
            <w:tcW w:w="1134" w:type="dxa"/>
            <w:vAlign w:val="center"/>
          </w:tcPr>
          <w:p>
            <w:pPr>
              <w:pStyle w:val="16"/>
            </w:pPr>
            <w:r>
              <w:t>150.42</w:t>
            </w:r>
          </w:p>
        </w:tc>
        <w:tc>
          <w:tcPr>
            <w:tcW w:w="1134" w:type="dxa"/>
            <w:vAlign w:val="center"/>
          </w:tcPr>
          <w:p>
            <w:pPr>
              <w:pStyle w:val="16"/>
            </w:pPr>
            <w:r>
              <w:t>150.00</w:t>
            </w:r>
          </w:p>
        </w:tc>
        <w:tc>
          <w:tcPr>
            <w:tcW w:w="1134" w:type="dxa"/>
            <w:vAlign w:val="center"/>
          </w:tcPr>
          <w:p>
            <w:pPr>
              <w:pStyle w:val="16"/>
            </w:pPr>
            <w:r>
              <w:t>150.00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2013810</w:t>
            </w:r>
          </w:p>
        </w:tc>
        <w:tc>
          <w:tcPr>
            <w:tcW w:w="1559" w:type="dxa"/>
            <w:vAlign w:val="center"/>
          </w:tcPr>
          <w:p>
            <w:pPr>
              <w:pStyle w:val="17"/>
            </w:pPr>
            <w:r>
              <w:t>质量基础</w:t>
            </w:r>
          </w:p>
        </w:tc>
        <w:tc>
          <w:tcPr>
            <w:tcW w:w="1134" w:type="dxa"/>
            <w:vAlign w:val="center"/>
          </w:tcPr>
          <w:p>
            <w:pPr>
              <w:pStyle w:val="16"/>
            </w:pPr>
            <w:r>
              <w:t>30.00</w:t>
            </w:r>
          </w:p>
        </w:tc>
        <w:tc>
          <w:tcPr>
            <w:tcW w:w="1134" w:type="dxa"/>
            <w:vAlign w:val="center"/>
          </w:tcPr>
          <w:p>
            <w:pPr>
              <w:pStyle w:val="16"/>
            </w:pPr>
            <w:r>
              <w:t>30.00</w:t>
            </w:r>
          </w:p>
        </w:tc>
        <w:tc>
          <w:tcPr>
            <w:tcW w:w="1134" w:type="dxa"/>
            <w:vAlign w:val="center"/>
          </w:tcPr>
          <w:p>
            <w:pPr>
              <w:pStyle w:val="16"/>
            </w:pPr>
            <w:r>
              <w:t>30.00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1051.43</w:t>
            </w:r>
          </w:p>
        </w:tc>
        <w:tc>
          <w:tcPr>
            <w:tcW w:w="1134" w:type="dxa"/>
            <w:vAlign w:val="center"/>
          </w:tcPr>
          <w:p>
            <w:pPr>
              <w:pStyle w:val="16"/>
            </w:pPr>
            <w:r>
              <w:t>1051.43</w:t>
            </w:r>
          </w:p>
        </w:tc>
        <w:tc>
          <w:tcPr>
            <w:tcW w:w="1134" w:type="dxa"/>
            <w:vAlign w:val="center"/>
          </w:tcPr>
          <w:p>
            <w:pPr>
              <w:pStyle w:val="16"/>
            </w:pPr>
            <w:r>
              <w:t>1051.43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1051.43</w:t>
            </w:r>
          </w:p>
        </w:tc>
        <w:tc>
          <w:tcPr>
            <w:tcW w:w="1134" w:type="dxa"/>
            <w:vAlign w:val="center"/>
          </w:tcPr>
          <w:p>
            <w:pPr>
              <w:pStyle w:val="16"/>
            </w:pPr>
            <w:r>
              <w:t>1051.43</w:t>
            </w:r>
          </w:p>
        </w:tc>
        <w:tc>
          <w:tcPr>
            <w:tcW w:w="1134" w:type="dxa"/>
            <w:vAlign w:val="center"/>
          </w:tcPr>
          <w:p>
            <w:pPr>
              <w:pStyle w:val="16"/>
            </w:pPr>
            <w:r>
              <w:t>1051.43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828.74</w:t>
            </w:r>
          </w:p>
        </w:tc>
        <w:tc>
          <w:tcPr>
            <w:tcW w:w="1134" w:type="dxa"/>
            <w:vAlign w:val="center"/>
          </w:tcPr>
          <w:p>
            <w:pPr>
              <w:pStyle w:val="16"/>
            </w:pPr>
            <w:r>
              <w:t>828.74</w:t>
            </w:r>
          </w:p>
        </w:tc>
        <w:tc>
          <w:tcPr>
            <w:tcW w:w="1134" w:type="dxa"/>
            <w:vAlign w:val="center"/>
          </w:tcPr>
          <w:p>
            <w:pPr>
              <w:pStyle w:val="16"/>
            </w:pPr>
            <w:r>
              <w:t>828.74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222.69</w:t>
            </w:r>
          </w:p>
        </w:tc>
        <w:tc>
          <w:tcPr>
            <w:tcW w:w="1134" w:type="dxa"/>
            <w:vAlign w:val="center"/>
          </w:tcPr>
          <w:p>
            <w:pPr>
              <w:pStyle w:val="16"/>
            </w:pPr>
            <w:r>
              <w:t>222.69</w:t>
            </w:r>
          </w:p>
        </w:tc>
        <w:tc>
          <w:tcPr>
            <w:tcW w:w="1134" w:type="dxa"/>
            <w:vAlign w:val="center"/>
          </w:tcPr>
          <w:p>
            <w:pPr>
              <w:pStyle w:val="16"/>
            </w:pPr>
            <w:r>
              <w:t>222.69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69.36</w:t>
            </w:r>
          </w:p>
        </w:tc>
        <w:tc>
          <w:tcPr>
            <w:tcW w:w="1134" w:type="dxa"/>
            <w:vAlign w:val="center"/>
          </w:tcPr>
          <w:p>
            <w:pPr>
              <w:pStyle w:val="16"/>
            </w:pPr>
            <w:r>
              <w:t>69.36</w:t>
            </w:r>
          </w:p>
        </w:tc>
        <w:tc>
          <w:tcPr>
            <w:tcW w:w="1134" w:type="dxa"/>
            <w:vAlign w:val="center"/>
          </w:tcPr>
          <w:p>
            <w:pPr>
              <w:pStyle w:val="16"/>
            </w:pPr>
            <w:r>
              <w:t>69.36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69.36</w:t>
            </w:r>
          </w:p>
        </w:tc>
        <w:tc>
          <w:tcPr>
            <w:tcW w:w="1134" w:type="dxa"/>
            <w:vAlign w:val="center"/>
          </w:tcPr>
          <w:p>
            <w:pPr>
              <w:pStyle w:val="16"/>
            </w:pPr>
            <w:r>
              <w:t>69.36</w:t>
            </w:r>
          </w:p>
        </w:tc>
        <w:tc>
          <w:tcPr>
            <w:tcW w:w="1134" w:type="dxa"/>
            <w:vAlign w:val="center"/>
          </w:tcPr>
          <w:p>
            <w:pPr>
              <w:pStyle w:val="16"/>
            </w:pPr>
            <w:r>
              <w:t>69.36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69.36</w:t>
            </w:r>
          </w:p>
        </w:tc>
        <w:tc>
          <w:tcPr>
            <w:tcW w:w="1134" w:type="dxa"/>
            <w:vAlign w:val="center"/>
          </w:tcPr>
          <w:p>
            <w:pPr>
              <w:pStyle w:val="16"/>
            </w:pPr>
            <w:r>
              <w:t>69.36</w:t>
            </w:r>
          </w:p>
        </w:tc>
        <w:tc>
          <w:tcPr>
            <w:tcW w:w="1134" w:type="dxa"/>
            <w:vAlign w:val="center"/>
          </w:tcPr>
          <w:p>
            <w:pPr>
              <w:pStyle w:val="16"/>
            </w:pPr>
            <w:r>
              <w:t>69.36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183.85</w:t>
            </w:r>
          </w:p>
        </w:tc>
        <w:tc>
          <w:tcPr>
            <w:tcW w:w="1134" w:type="dxa"/>
            <w:vAlign w:val="center"/>
          </w:tcPr>
          <w:p>
            <w:pPr>
              <w:pStyle w:val="16"/>
            </w:pPr>
            <w:r>
              <w:t>183.85</w:t>
            </w:r>
          </w:p>
        </w:tc>
        <w:tc>
          <w:tcPr>
            <w:tcW w:w="1134" w:type="dxa"/>
            <w:vAlign w:val="center"/>
          </w:tcPr>
          <w:p>
            <w:pPr>
              <w:pStyle w:val="16"/>
            </w:pPr>
            <w:r>
              <w:t>183.85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183.85</w:t>
            </w:r>
          </w:p>
        </w:tc>
        <w:tc>
          <w:tcPr>
            <w:tcW w:w="1134" w:type="dxa"/>
            <w:vAlign w:val="center"/>
          </w:tcPr>
          <w:p>
            <w:pPr>
              <w:pStyle w:val="16"/>
            </w:pPr>
            <w:r>
              <w:t>183.85</w:t>
            </w:r>
          </w:p>
        </w:tc>
        <w:tc>
          <w:tcPr>
            <w:tcW w:w="1134" w:type="dxa"/>
            <w:vAlign w:val="center"/>
          </w:tcPr>
          <w:p>
            <w:pPr>
              <w:pStyle w:val="16"/>
            </w:pPr>
            <w:r>
              <w:t>183.85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183.85</w:t>
            </w:r>
          </w:p>
        </w:tc>
        <w:tc>
          <w:tcPr>
            <w:tcW w:w="1134" w:type="dxa"/>
            <w:vAlign w:val="center"/>
          </w:tcPr>
          <w:p>
            <w:pPr>
              <w:pStyle w:val="16"/>
            </w:pPr>
            <w:r>
              <w:t>183.85</w:t>
            </w:r>
          </w:p>
        </w:tc>
        <w:tc>
          <w:tcPr>
            <w:tcW w:w="1134" w:type="dxa"/>
            <w:vAlign w:val="center"/>
          </w:tcPr>
          <w:p>
            <w:pPr>
              <w:pStyle w:val="16"/>
            </w:pPr>
            <w:r>
              <w:t>183.85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3780.86</w:t>
            </w:r>
          </w:p>
        </w:tc>
        <w:tc>
          <w:tcPr>
            <w:tcW w:w="1361" w:type="dxa"/>
            <w:vAlign w:val="center"/>
          </w:tcPr>
          <w:p>
            <w:pPr>
              <w:pStyle w:val="20"/>
            </w:pPr>
            <w:r>
              <w:t>3527.28</w:t>
            </w:r>
          </w:p>
        </w:tc>
        <w:tc>
          <w:tcPr>
            <w:tcW w:w="1361" w:type="dxa"/>
            <w:vAlign w:val="center"/>
          </w:tcPr>
          <w:p>
            <w:pPr>
              <w:pStyle w:val="20"/>
            </w:pPr>
            <w:r>
              <w:t>253.58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2476.22</w:t>
            </w:r>
          </w:p>
        </w:tc>
        <w:tc>
          <w:tcPr>
            <w:tcW w:w="1361" w:type="dxa"/>
            <w:vAlign w:val="center"/>
          </w:tcPr>
          <w:p>
            <w:pPr>
              <w:pStyle w:val="16"/>
            </w:pPr>
            <w:r>
              <w:t>2222.64</w:t>
            </w:r>
          </w:p>
        </w:tc>
        <w:tc>
          <w:tcPr>
            <w:tcW w:w="1361" w:type="dxa"/>
            <w:vAlign w:val="center"/>
          </w:tcPr>
          <w:p>
            <w:pPr>
              <w:pStyle w:val="16"/>
            </w:pPr>
            <w:r>
              <w:t>253.58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20138</w:t>
            </w:r>
          </w:p>
        </w:tc>
        <w:tc>
          <w:tcPr>
            <w:tcW w:w="4535" w:type="dxa"/>
            <w:vAlign w:val="center"/>
          </w:tcPr>
          <w:p>
            <w:pPr>
              <w:pStyle w:val="17"/>
            </w:pPr>
            <w:r>
              <w:t>市场监督管理事务</w:t>
            </w:r>
          </w:p>
        </w:tc>
        <w:tc>
          <w:tcPr>
            <w:tcW w:w="1361" w:type="dxa"/>
            <w:vAlign w:val="center"/>
          </w:tcPr>
          <w:p>
            <w:pPr>
              <w:pStyle w:val="16"/>
            </w:pPr>
            <w:r>
              <w:t>2476.22</w:t>
            </w:r>
          </w:p>
        </w:tc>
        <w:tc>
          <w:tcPr>
            <w:tcW w:w="1361" w:type="dxa"/>
            <w:vAlign w:val="center"/>
          </w:tcPr>
          <w:p>
            <w:pPr>
              <w:pStyle w:val="16"/>
            </w:pPr>
            <w:r>
              <w:t>2222.64</w:t>
            </w:r>
          </w:p>
        </w:tc>
        <w:tc>
          <w:tcPr>
            <w:tcW w:w="1361" w:type="dxa"/>
            <w:vAlign w:val="center"/>
          </w:tcPr>
          <w:p>
            <w:pPr>
              <w:pStyle w:val="16"/>
            </w:pPr>
            <w:r>
              <w:t>253.58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2013801</w:t>
            </w:r>
          </w:p>
        </w:tc>
        <w:tc>
          <w:tcPr>
            <w:tcW w:w="4535" w:type="dxa"/>
            <w:vAlign w:val="center"/>
          </w:tcPr>
          <w:p>
            <w:pPr>
              <w:pStyle w:val="17"/>
            </w:pPr>
            <w:r>
              <w:t>行政运行</w:t>
            </w:r>
          </w:p>
        </w:tc>
        <w:tc>
          <w:tcPr>
            <w:tcW w:w="1361" w:type="dxa"/>
            <w:vAlign w:val="center"/>
          </w:tcPr>
          <w:p>
            <w:pPr>
              <w:pStyle w:val="16"/>
            </w:pPr>
            <w:r>
              <w:t>2225.64</w:t>
            </w:r>
          </w:p>
        </w:tc>
        <w:tc>
          <w:tcPr>
            <w:tcW w:w="1361" w:type="dxa"/>
            <w:vAlign w:val="center"/>
          </w:tcPr>
          <w:p>
            <w:pPr>
              <w:pStyle w:val="16"/>
            </w:pPr>
            <w:r>
              <w:t>2222.64</w:t>
            </w:r>
          </w:p>
        </w:tc>
        <w:tc>
          <w:tcPr>
            <w:tcW w:w="1361" w:type="dxa"/>
            <w:vAlign w:val="center"/>
          </w:tcPr>
          <w:p>
            <w:pPr>
              <w:pStyle w:val="16"/>
            </w:pPr>
            <w:r>
              <w:t>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2013802</w:t>
            </w:r>
          </w:p>
        </w:tc>
        <w:tc>
          <w:tcPr>
            <w:tcW w:w="4535" w:type="dxa"/>
            <w:vAlign w:val="center"/>
          </w:tcPr>
          <w:p>
            <w:pPr>
              <w:pStyle w:val="17"/>
            </w:pPr>
            <w:r>
              <w:t>一般行政管理事务</w:t>
            </w:r>
          </w:p>
        </w:tc>
        <w:tc>
          <w:tcPr>
            <w:tcW w:w="1361" w:type="dxa"/>
            <w:vAlign w:val="center"/>
          </w:tcPr>
          <w:p>
            <w:pPr>
              <w:pStyle w:val="16"/>
            </w:pPr>
            <w:r>
              <w:t>70.16</w:t>
            </w:r>
          </w:p>
        </w:tc>
        <w:tc>
          <w:tcPr>
            <w:tcW w:w="1361" w:type="dxa"/>
            <w:vAlign w:val="center"/>
          </w:tcPr>
          <w:p>
            <w:pPr>
              <w:pStyle w:val="16"/>
            </w:pPr>
          </w:p>
        </w:tc>
        <w:tc>
          <w:tcPr>
            <w:tcW w:w="1361" w:type="dxa"/>
            <w:vAlign w:val="center"/>
          </w:tcPr>
          <w:p>
            <w:pPr>
              <w:pStyle w:val="16"/>
            </w:pPr>
            <w:r>
              <w:t>70.16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2013804</w:t>
            </w:r>
          </w:p>
        </w:tc>
        <w:tc>
          <w:tcPr>
            <w:tcW w:w="4535" w:type="dxa"/>
            <w:vAlign w:val="center"/>
          </w:tcPr>
          <w:p>
            <w:pPr>
              <w:pStyle w:val="17"/>
            </w:pPr>
            <w:r>
              <w:t>市场主体管理</w:t>
            </w:r>
          </w:p>
        </w:tc>
        <w:tc>
          <w:tcPr>
            <w:tcW w:w="1361" w:type="dxa"/>
            <w:vAlign w:val="center"/>
          </w:tcPr>
          <w:p>
            <w:pPr>
              <w:pStyle w:val="16"/>
            </w:pPr>
            <w:r>
              <w:t>150.42</w:t>
            </w:r>
          </w:p>
        </w:tc>
        <w:tc>
          <w:tcPr>
            <w:tcW w:w="1361" w:type="dxa"/>
            <w:vAlign w:val="center"/>
          </w:tcPr>
          <w:p>
            <w:pPr>
              <w:pStyle w:val="16"/>
            </w:pPr>
          </w:p>
        </w:tc>
        <w:tc>
          <w:tcPr>
            <w:tcW w:w="1361" w:type="dxa"/>
            <w:vAlign w:val="center"/>
          </w:tcPr>
          <w:p>
            <w:pPr>
              <w:pStyle w:val="16"/>
            </w:pPr>
            <w:r>
              <w:t>150.42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2013810</w:t>
            </w:r>
          </w:p>
        </w:tc>
        <w:tc>
          <w:tcPr>
            <w:tcW w:w="4535" w:type="dxa"/>
            <w:vAlign w:val="center"/>
          </w:tcPr>
          <w:p>
            <w:pPr>
              <w:pStyle w:val="17"/>
            </w:pPr>
            <w:r>
              <w:t>质量基础</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1051.43</w:t>
            </w:r>
          </w:p>
        </w:tc>
        <w:tc>
          <w:tcPr>
            <w:tcW w:w="1361" w:type="dxa"/>
            <w:vAlign w:val="center"/>
          </w:tcPr>
          <w:p>
            <w:pPr>
              <w:pStyle w:val="16"/>
            </w:pPr>
            <w:r>
              <w:t>1051.43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1051.43</w:t>
            </w:r>
          </w:p>
        </w:tc>
        <w:tc>
          <w:tcPr>
            <w:tcW w:w="1361" w:type="dxa"/>
            <w:vAlign w:val="center"/>
          </w:tcPr>
          <w:p>
            <w:pPr>
              <w:pStyle w:val="16"/>
            </w:pPr>
            <w:r>
              <w:t>1051.43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828.74</w:t>
            </w:r>
          </w:p>
        </w:tc>
        <w:tc>
          <w:tcPr>
            <w:tcW w:w="1361" w:type="dxa"/>
            <w:vAlign w:val="center"/>
          </w:tcPr>
          <w:p>
            <w:pPr>
              <w:pStyle w:val="16"/>
            </w:pPr>
            <w:r>
              <w:t>828.74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222.69</w:t>
            </w:r>
          </w:p>
        </w:tc>
        <w:tc>
          <w:tcPr>
            <w:tcW w:w="1361" w:type="dxa"/>
            <w:vAlign w:val="center"/>
          </w:tcPr>
          <w:p>
            <w:pPr>
              <w:pStyle w:val="16"/>
            </w:pPr>
            <w:r>
              <w:t>222.69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69.36</w:t>
            </w:r>
          </w:p>
        </w:tc>
        <w:tc>
          <w:tcPr>
            <w:tcW w:w="1361" w:type="dxa"/>
            <w:vAlign w:val="center"/>
          </w:tcPr>
          <w:p>
            <w:pPr>
              <w:pStyle w:val="16"/>
            </w:pPr>
            <w:r>
              <w:t>69.36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69.36</w:t>
            </w:r>
          </w:p>
        </w:tc>
        <w:tc>
          <w:tcPr>
            <w:tcW w:w="1361" w:type="dxa"/>
            <w:vAlign w:val="center"/>
          </w:tcPr>
          <w:p>
            <w:pPr>
              <w:pStyle w:val="16"/>
            </w:pPr>
            <w:r>
              <w:t>69.36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69.36</w:t>
            </w:r>
          </w:p>
        </w:tc>
        <w:tc>
          <w:tcPr>
            <w:tcW w:w="1361" w:type="dxa"/>
            <w:vAlign w:val="center"/>
          </w:tcPr>
          <w:p>
            <w:pPr>
              <w:pStyle w:val="16"/>
            </w:pPr>
            <w:r>
              <w:t>69.36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183.85</w:t>
            </w:r>
          </w:p>
        </w:tc>
        <w:tc>
          <w:tcPr>
            <w:tcW w:w="1361" w:type="dxa"/>
            <w:vAlign w:val="center"/>
          </w:tcPr>
          <w:p>
            <w:pPr>
              <w:pStyle w:val="16"/>
            </w:pPr>
            <w:r>
              <w:t>183.85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183.85</w:t>
            </w:r>
          </w:p>
        </w:tc>
        <w:tc>
          <w:tcPr>
            <w:tcW w:w="1361" w:type="dxa"/>
            <w:vAlign w:val="center"/>
          </w:tcPr>
          <w:p>
            <w:pPr>
              <w:pStyle w:val="16"/>
            </w:pPr>
            <w:r>
              <w:t>183.85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183.85</w:t>
            </w:r>
          </w:p>
        </w:tc>
        <w:tc>
          <w:tcPr>
            <w:tcW w:w="1361" w:type="dxa"/>
            <w:vAlign w:val="center"/>
          </w:tcPr>
          <w:p>
            <w:pPr>
              <w:pStyle w:val="16"/>
            </w:pPr>
            <w:r>
              <w:t>183.85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3780.44</w:t>
            </w:r>
          </w:p>
        </w:tc>
        <w:tc>
          <w:tcPr>
            <w:tcW w:w="3402" w:type="dxa"/>
            <w:vAlign w:val="center"/>
          </w:tcPr>
          <w:p>
            <w:pPr>
              <w:pStyle w:val="17"/>
            </w:pPr>
            <w:r>
              <w:t>一、一般公共服务支出</w:t>
            </w:r>
          </w:p>
        </w:tc>
        <w:tc>
          <w:tcPr>
            <w:tcW w:w="1474" w:type="dxa"/>
            <w:vAlign w:val="center"/>
          </w:tcPr>
          <w:p>
            <w:pPr>
              <w:pStyle w:val="16"/>
            </w:pPr>
            <w:r>
              <w:t>2476.22</w:t>
            </w:r>
          </w:p>
        </w:tc>
        <w:tc>
          <w:tcPr>
            <w:tcW w:w="1474" w:type="dxa"/>
            <w:vAlign w:val="center"/>
          </w:tcPr>
          <w:p>
            <w:pPr>
              <w:pStyle w:val="16"/>
            </w:pPr>
            <w:r>
              <w:t>2476.22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1051.43</w:t>
            </w:r>
          </w:p>
        </w:tc>
        <w:tc>
          <w:tcPr>
            <w:tcW w:w="1474" w:type="dxa"/>
            <w:vAlign w:val="center"/>
          </w:tcPr>
          <w:p>
            <w:pPr>
              <w:pStyle w:val="16"/>
            </w:pPr>
            <w:r>
              <w:t>1051.43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69.36</w:t>
            </w:r>
          </w:p>
        </w:tc>
        <w:tc>
          <w:tcPr>
            <w:tcW w:w="1474" w:type="dxa"/>
            <w:vAlign w:val="center"/>
          </w:tcPr>
          <w:p>
            <w:pPr>
              <w:pStyle w:val="16"/>
            </w:pPr>
            <w:r>
              <w:t>69.36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183.85</w:t>
            </w:r>
          </w:p>
        </w:tc>
        <w:tc>
          <w:tcPr>
            <w:tcW w:w="1474" w:type="dxa"/>
            <w:vAlign w:val="center"/>
          </w:tcPr>
          <w:p>
            <w:pPr>
              <w:pStyle w:val="16"/>
            </w:pPr>
            <w:r>
              <w:t>183.85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3780.44</w:t>
            </w:r>
          </w:p>
        </w:tc>
        <w:tc>
          <w:tcPr>
            <w:tcW w:w="3402" w:type="dxa"/>
            <w:vAlign w:val="center"/>
          </w:tcPr>
          <w:p>
            <w:pPr>
              <w:pStyle w:val="19"/>
            </w:pPr>
            <w:r>
              <w:t>本年支出合计</w:t>
            </w:r>
          </w:p>
        </w:tc>
        <w:tc>
          <w:tcPr>
            <w:tcW w:w="1474" w:type="dxa"/>
            <w:vAlign w:val="center"/>
          </w:tcPr>
          <w:p>
            <w:pPr>
              <w:pStyle w:val="20"/>
            </w:pPr>
            <w:r>
              <w:t>3780.86</w:t>
            </w:r>
          </w:p>
        </w:tc>
        <w:tc>
          <w:tcPr>
            <w:tcW w:w="1474" w:type="dxa"/>
            <w:vAlign w:val="center"/>
          </w:tcPr>
          <w:p>
            <w:pPr>
              <w:pStyle w:val="20"/>
            </w:pPr>
            <w:r>
              <w:t>3780.86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0.42</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0.42</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3780.86</w:t>
            </w:r>
          </w:p>
        </w:tc>
        <w:tc>
          <w:tcPr>
            <w:tcW w:w="3402" w:type="dxa"/>
            <w:vAlign w:val="center"/>
          </w:tcPr>
          <w:p>
            <w:pPr>
              <w:pStyle w:val="19"/>
            </w:pPr>
            <w:r>
              <w:t>支出总计</w:t>
            </w:r>
          </w:p>
        </w:tc>
        <w:tc>
          <w:tcPr>
            <w:tcW w:w="1474" w:type="dxa"/>
            <w:vAlign w:val="center"/>
          </w:tcPr>
          <w:p>
            <w:pPr>
              <w:pStyle w:val="20"/>
            </w:pPr>
            <w:r>
              <w:t>3780.86</w:t>
            </w:r>
          </w:p>
        </w:tc>
        <w:tc>
          <w:tcPr>
            <w:tcW w:w="1474" w:type="dxa"/>
            <w:vAlign w:val="center"/>
          </w:tcPr>
          <w:p>
            <w:pPr>
              <w:pStyle w:val="20"/>
            </w:pPr>
            <w:r>
              <w:t>3780.86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3780.86</w:t>
            </w:r>
          </w:p>
        </w:tc>
        <w:tc>
          <w:tcPr>
            <w:tcW w:w="2551" w:type="dxa"/>
            <w:vAlign w:val="center"/>
          </w:tcPr>
          <w:p>
            <w:pPr>
              <w:pStyle w:val="20"/>
            </w:pPr>
            <w:r>
              <w:t>3527.28</w:t>
            </w:r>
          </w:p>
        </w:tc>
        <w:tc>
          <w:tcPr>
            <w:tcW w:w="2551" w:type="dxa"/>
            <w:vAlign w:val="center"/>
          </w:tcPr>
          <w:p>
            <w:pPr>
              <w:pStyle w:val="20"/>
            </w:pPr>
            <w:r>
              <w:t>253.58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2476.22</w:t>
            </w:r>
          </w:p>
        </w:tc>
        <w:tc>
          <w:tcPr>
            <w:tcW w:w="2551" w:type="dxa"/>
            <w:vAlign w:val="center"/>
          </w:tcPr>
          <w:p>
            <w:pPr>
              <w:pStyle w:val="16"/>
            </w:pPr>
            <w:r>
              <w:t>2222.64</w:t>
            </w:r>
          </w:p>
        </w:tc>
        <w:tc>
          <w:tcPr>
            <w:tcW w:w="2551" w:type="dxa"/>
            <w:vAlign w:val="center"/>
          </w:tcPr>
          <w:p>
            <w:pPr>
              <w:pStyle w:val="16"/>
            </w:pPr>
            <w:r>
              <w:t>253.58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20138</w:t>
            </w:r>
          </w:p>
        </w:tc>
        <w:tc>
          <w:tcPr>
            <w:tcW w:w="4535" w:type="dxa"/>
            <w:vAlign w:val="center"/>
          </w:tcPr>
          <w:p>
            <w:pPr>
              <w:pStyle w:val="17"/>
            </w:pPr>
            <w:r>
              <w:t>市场监督管理事务</w:t>
            </w:r>
          </w:p>
        </w:tc>
        <w:tc>
          <w:tcPr>
            <w:tcW w:w="2551" w:type="dxa"/>
            <w:vAlign w:val="center"/>
          </w:tcPr>
          <w:p>
            <w:pPr>
              <w:pStyle w:val="16"/>
            </w:pPr>
            <w:r>
              <w:t>2476.22</w:t>
            </w:r>
          </w:p>
        </w:tc>
        <w:tc>
          <w:tcPr>
            <w:tcW w:w="2551" w:type="dxa"/>
            <w:vAlign w:val="center"/>
          </w:tcPr>
          <w:p>
            <w:pPr>
              <w:pStyle w:val="16"/>
            </w:pPr>
            <w:r>
              <w:t>2222.64</w:t>
            </w:r>
          </w:p>
        </w:tc>
        <w:tc>
          <w:tcPr>
            <w:tcW w:w="2551" w:type="dxa"/>
            <w:vAlign w:val="center"/>
          </w:tcPr>
          <w:p>
            <w:pPr>
              <w:pStyle w:val="16"/>
            </w:pPr>
            <w:r>
              <w:t>253.58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2013801</w:t>
            </w:r>
          </w:p>
        </w:tc>
        <w:tc>
          <w:tcPr>
            <w:tcW w:w="4535" w:type="dxa"/>
            <w:vAlign w:val="center"/>
          </w:tcPr>
          <w:p>
            <w:pPr>
              <w:pStyle w:val="17"/>
            </w:pPr>
            <w:r>
              <w:t>行政运行</w:t>
            </w:r>
          </w:p>
        </w:tc>
        <w:tc>
          <w:tcPr>
            <w:tcW w:w="2551" w:type="dxa"/>
            <w:vAlign w:val="center"/>
          </w:tcPr>
          <w:p>
            <w:pPr>
              <w:pStyle w:val="16"/>
            </w:pPr>
            <w:r>
              <w:t>2225.64</w:t>
            </w:r>
          </w:p>
        </w:tc>
        <w:tc>
          <w:tcPr>
            <w:tcW w:w="2551" w:type="dxa"/>
            <w:vAlign w:val="center"/>
          </w:tcPr>
          <w:p>
            <w:pPr>
              <w:pStyle w:val="16"/>
            </w:pPr>
            <w:r>
              <w:t>2222.64</w:t>
            </w:r>
          </w:p>
        </w:tc>
        <w:tc>
          <w:tcPr>
            <w:tcW w:w="2551" w:type="dxa"/>
            <w:vAlign w:val="center"/>
          </w:tcPr>
          <w:p>
            <w:pPr>
              <w:pStyle w:val="16"/>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2013802</w:t>
            </w:r>
          </w:p>
        </w:tc>
        <w:tc>
          <w:tcPr>
            <w:tcW w:w="4535" w:type="dxa"/>
            <w:vAlign w:val="center"/>
          </w:tcPr>
          <w:p>
            <w:pPr>
              <w:pStyle w:val="17"/>
            </w:pPr>
            <w:r>
              <w:t>一般行政管理事务</w:t>
            </w:r>
          </w:p>
        </w:tc>
        <w:tc>
          <w:tcPr>
            <w:tcW w:w="2551" w:type="dxa"/>
            <w:vAlign w:val="center"/>
          </w:tcPr>
          <w:p>
            <w:pPr>
              <w:pStyle w:val="16"/>
            </w:pPr>
            <w:r>
              <w:t>70.16</w:t>
            </w:r>
          </w:p>
        </w:tc>
        <w:tc>
          <w:tcPr>
            <w:tcW w:w="2551" w:type="dxa"/>
            <w:vAlign w:val="center"/>
          </w:tcPr>
          <w:p>
            <w:pPr>
              <w:pStyle w:val="16"/>
            </w:pPr>
          </w:p>
        </w:tc>
        <w:tc>
          <w:tcPr>
            <w:tcW w:w="2551" w:type="dxa"/>
            <w:vAlign w:val="center"/>
          </w:tcPr>
          <w:p>
            <w:pPr>
              <w:pStyle w:val="16"/>
            </w:pPr>
            <w:r>
              <w:t>70.16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2013804</w:t>
            </w:r>
          </w:p>
        </w:tc>
        <w:tc>
          <w:tcPr>
            <w:tcW w:w="4535" w:type="dxa"/>
            <w:vAlign w:val="center"/>
          </w:tcPr>
          <w:p>
            <w:pPr>
              <w:pStyle w:val="17"/>
            </w:pPr>
            <w:r>
              <w:t>市场主体管理</w:t>
            </w:r>
          </w:p>
        </w:tc>
        <w:tc>
          <w:tcPr>
            <w:tcW w:w="2551" w:type="dxa"/>
            <w:vAlign w:val="center"/>
          </w:tcPr>
          <w:p>
            <w:pPr>
              <w:pStyle w:val="16"/>
            </w:pPr>
            <w:r>
              <w:t>150.42</w:t>
            </w:r>
          </w:p>
        </w:tc>
        <w:tc>
          <w:tcPr>
            <w:tcW w:w="2551" w:type="dxa"/>
            <w:vAlign w:val="center"/>
          </w:tcPr>
          <w:p>
            <w:pPr>
              <w:pStyle w:val="16"/>
            </w:pPr>
          </w:p>
        </w:tc>
        <w:tc>
          <w:tcPr>
            <w:tcW w:w="2551" w:type="dxa"/>
            <w:vAlign w:val="center"/>
          </w:tcPr>
          <w:p>
            <w:pPr>
              <w:pStyle w:val="16"/>
            </w:pPr>
            <w:r>
              <w:t>150.42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2013810</w:t>
            </w:r>
          </w:p>
        </w:tc>
        <w:tc>
          <w:tcPr>
            <w:tcW w:w="4535" w:type="dxa"/>
            <w:vAlign w:val="center"/>
          </w:tcPr>
          <w:p>
            <w:pPr>
              <w:pStyle w:val="17"/>
            </w:pPr>
            <w:r>
              <w:t>质量基础</w:t>
            </w:r>
          </w:p>
        </w:tc>
        <w:tc>
          <w:tcPr>
            <w:tcW w:w="2551" w:type="dxa"/>
            <w:vAlign w:val="center"/>
          </w:tcPr>
          <w:p>
            <w:pPr>
              <w:pStyle w:val="16"/>
            </w:pPr>
            <w:r>
              <w:t>30.00</w:t>
            </w:r>
          </w:p>
        </w:tc>
        <w:tc>
          <w:tcPr>
            <w:tcW w:w="2551" w:type="dxa"/>
            <w:vAlign w:val="center"/>
          </w:tcPr>
          <w:p>
            <w:pPr>
              <w:pStyle w:val="16"/>
            </w:pP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1051.43</w:t>
            </w:r>
          </w:p>
        </w:tc>
        <w:tc>
          <w:tcPr>
            <w:tcW w:w="2551" w:type="dxa"/>
            <w:vAlign w:val="center"/>
          </w:tcPr>
          <w:p>
            <w:pPr>
              <w:pStyle w:val="16"/>
            </w:pPr>
            <w:r>
              <w:t>1051.43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1051.43</w:t>
            </w:r>
          </w:p>
        </w:tc>
        <w:tc>
          <w:tcPr>
            <w:tcW w:w="2551" w:type="dxa"/>
            <w:vAlign w:val="center"/>
          </w:tcPr>
          <w:p>
            <w:pPr>
              <w:pStyle w:val="16"/>
            </w:pPr>
            <w:r>
              <w:t>1051.43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828.74</w:t>
            </w:r>
          </w:p>
        </w:tc>
        <w:tc>
          <w:tcPr>
            <w:tcW w:w="2551" w:type="dxa"/>
            <w:vAlign w:val="center"/>
          </w:tcPr>
          <w:p>
            <w:pPr>
              <w:pStyle w:val="16"/>
            </w:pPr>
            <w:r>
              <w:t>828.74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222.69</w:t>
            </w:r>
          </w:p>
        </w:tc>
        <w:tc>
          <w:tcPr>
            <w:tcW w:w="2551" w:type="dxa"/>
            <w:vAlign w:val="center"/>
          </w:tcPr>
          <w:p>
            <w:pPr>
              <w:pStyle w:val="16"/>
            </w:pPr>
            <w:r>
              <w:t>222.69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69.36</w:t>
            </w:r>
          </w:p>
        </w:tc>
        <w:tc>
          <w:tcPr>
            <w:tcW w:w="2551" w:type="dxa"/>
            <w:vAlign w:val="center"/>
          </w:tcPr>
          <w:p>
            <w:pPr>
              <w:pStyle w:val="16"/>
            </w:pPr>
            <w:r>
              <w:t>69.36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69.36</w:t>
            </w:r>
          </w:p>
        </w:tc>
        <w:tc>
          <w:tcPr>
            <w:tcW w:w="2551" w:type="dxa"/>
            <w:vAlign w:val="center"/>
          </w:tcPr>
          <w:p>
            <w:pPr>
              <w:pStyle w:val="16"/>
            </w:pPr>
            <w:r>
              <w:t>69.36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69.36</w:t>
            </w:r>
          </w:p>
        </w:tc>
        <w:tc>
          <w:tcPr>
            <w:tcW w:w="2551" w:type="dxa"/>
            <w:vAlign w:val="center"/>
          </w:tcPr>
          <w:p>
            <w:pPr>
              <w:pStyle w:val="16"/>
            </w:pPr>
            <w:r>
              <w:t>69.36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183.85</w:t>
            </w:r>
          </w:p>
        </w:tc>
        <w:tc>
          <w:tcPr>
            <w:tcW w:w="2551" w:type="dxa"/>
            <w:vAlign w:val="center"/>
          </w:tcPr>
          <w:p>
            <w:pPr>
              <w:pStyle w:val="16"/>
            </w:pPr>
            <w:r>
              <w:t>183.85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183.85</w:t>
            </w:r>
          </w:p>
        </w:tc>
        <w:tc>
          <w:tcPr>
            <w:tcW w:w="2551" w:type="dxa"/>
            <w:vAlign w:val="center"/>
          </w:tcPr>
          <w:p>
            <w:pPr>
              <w:pStyle w:val="16"/>
            </w:pPr>
            <w:r>
              <w:t>183.85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183.85</w:t>
            </w:r>
          </w:p>
        </w:tc>
        <w:tc>
          <w:tcPr>
            <w:tcW w:w="2551" w:type="dxa"/>
            <w:vAlign w:val="center"/>
          </w:tcPr>
          <w:p>
            <w:pPr>
              <w:pStyle w:val="16"/>
            </w:pPr>
            <w:r>
              <w:t>183.85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3527.28</w:t>
            </w:r>
          </w:p>
        </w:tc>
        <w:tc>
          <w:tcPr>
            <w:tcW w:w="2551" w:type="dxa"/>
            <w:vAlign w:val="center"/>
          </w:tcPr>
          <w:p>
            <w:pPr>
              <w:pStyle w:val="20"/>
            </w:pPr>
            <w:r>
              <w:t>3214.36</w:t>
            </w:r>
          </w:p>
        </w:tc>
        <w:tc>
          <w:tcPr>
            <w:tcW w:w="2551" w:type="dxa"/>
            <w:vAlign w:val="center"/>
          </w:tcPr>
          <w:p>
            <w:pPr>
              <w:pStyle w:val="20"/>
            </w:pPr>
            <w:r>
              <w:t>312.92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2374.35</w:t>
            </w:r>
          </w:p>
        </w:tc>
        <w:tc>
          <w:tcPr>
            <w:tcW w:w="2551" w:type="dxa"/>
            <w:vAlign w:val="center"/>
          </w:tcPr>
          <w:p>
            <w:pPr>
              <w:pStyle w:val="16"/>
            </w:pPr>
            <w:r>
              <w:t>2374.35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668.58</w:t>
            </w:r>
          </w:p>
        </w:tc>
        <w:tc>
          <w:tcPr>
            <w:tcW w:w="2551" w:type="dxa"/>
            <w:vAlign w:val="center"/>
          </w:tcPr>
          <w:p>
            <w:pPr>
              <w:pStyle w:val="16"/>
            </w:pPr>
            <w:r>
              <w:t>668.58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591.95</w:t>
            </w:r>
          </w:p>
        </w:tc>
        <w:tc>
          <w:tcPr>
            <w:tcW w:w="2551" w:type="dxa"/>
            <w:vAlign w:val="center"/>
          </w:tcPr>
          <w:p>
            <w:pPr>
              <w:pStyle w:val="16"/>
            </w:pPr>
            <w:r>
              <w:t>591.95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438.96</w:t>
            </w:r>
          </w:p>
        </w:tc>
        <w:tc>
          <w:tcPr>
            <w:tcW w:w="2551" w:type="dxa"/>
            <w:vAlign w:val="center"/>
          </w:tcPr>
          <w:p>
            <w:pPr>
              <w:pStyle w:val="16"/>
            </w:pPr>
            <w:r>
              <w:t>438.96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191.75</w:t>
            </w:r>
          </w:p>
        </w:tc>
        <w:tc>
          <w:tcPr>
            <w:tcW w:w="2551" w:type="dxa"/>
            <w:vAlign w:val="center"/>
          </w:tcPr>
          <w:p>
            <w:pPr>
              <w:pStyle w:val="16"/>
            </w:pPr>
            <w:r>
              <w:t>191.75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222.69</w:t>
            </w:r>
          </w:p>
        </w:tc>
        <w:tc>
          <w:tcPr>
            <w:tcW w:w="2551" w:type="dxa"/>
            <w:vAlign w:val="center"/>
          </w:tcPr>
          <w:p>
            <w:pPr>
              <w:pStyle w:val="16"/>
            </w:pPr>
            <w:r>
              <w:t>222.69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68.48</w:t>
            </w:r>
          </w:p>
        </w:tc>
        <w:tc>
          <w:tcPr>
            <w:tcW w:w="2551" w:type="dxa"/>
            <w:vAlign w:val="center"/>
          </w:tcPr>
          <w:p>
            <w:pPr>
              <w:pStyle w:val="16"/>
            </w:pPr>
            <w:r>
              <w:t>68.48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6.51</w:t>
            </w:r>
          </w:p>
        </w:tc>
        <w:tc>
          <w:tcPr>
            <w:tcW w:w="2551" w:type="dxa"/>
            <w:vAlign w:val="center"/>
          </w:tcPr>
          <w:p>
            <w:pPr>
              <w:pStyle w:val="16"/>
            </w:pPr>
            <w:r>
              <w:t>6.51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183.85</w:t>
            </w:r>
          </w:p>
        </w:tc>
        <w:tc>
          <w:tcPr>
            <w:tcW w:w="2551" w:type="dxa"/>
            <w:vAlign w:val="center"/>
          </w:tcPr>
          <w:p>
            <w:pPr>
              <w:pStyle w:val="16"/>
            </w:pPr>
            <w:r>
              <w:t>183.85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312.92</w:t>
            </w:r>
          </w:p>
        </w:tc>
        <w:tc>
          <w:tcPr>
            <w:tcW w:w="2551" w:type="dxa"/>
            <w:vAlign w:val="center"/>
          </w:tcPr>
          <w:p>
            <w:pPr>
              <w:pStyle w:val="16"/>
            </w:pPr>
          </w:p>
        </w:tc>
        <w:tc>
          <w:tcPr>
            <w:tcW w:w="2551" w:type="dxa"/>
            <w:vAlign w:val="center"/>
          </w:tcPr>
          <w:p>
            <w:pPr>
              <w:pStyle w:val="16"/>
            </w:pPr>
            <w:r>
              <w:t>312.92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23.36</w:t>
            </w:r>
          </w:p>
        </w:tc>
        <w:tc>
          <w:tcPr>
            <w:tcW w:w="2551" w:type="dxa"/>
            <w:vAlign w:val="center"/>
          </w:tcPr>
          <w:p>
            <w:pPr>
              <w:pStyle w:val="16"/>
            </w:pPr>
          </w:p>
        </w:tc>
        <w:tc>
          <w:tcPr>
            <w:tcW w:w="2551" w:type="dxa"/>
            <w:vAlign w:val="center"/>
          </w:tcPr>
          <w:p>
            <w:pPr>
              <w:pStyle w:val="16"/>
            </w:pPr>
            <w:r>
              <w:t>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1.75</w:t>
            </w:r>
          </w:p>
        </w:tc>
        <w:tc>
          <w:tcPr>
            <w:tcW w:w="2551" w:type="dxa"/>
            <w:vAlign w:val="center"/>
          </w:tcPr>
          <w:p>
            <w:pPr>
              <w:pStyle w:val="16"/>
            </w:pPr>
          </w:p>
        </w:tc>
        <w:tc>
          <w:tcPr>
            <w:tcW w:w="2551" w:type="dxa"/>
            <w:vAlign w:val="center"/>
          </w:tcPr>
          <w:p>
            <w:pPr>
              <w:pStyle w:val="16"/>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4.67</w:t>
            </w:r>
          </w:p>
        </w:tc>
        <w:tc>
          <w:tcPr>
            <w:tcW w:w="2551" w:type="dxa"/>
            <w:vAlign w:val="center"/>
          </w:tcPr>
          <w:p>
            <w:pPr>
              <w:pStyle w:val="16"/>
            </w:pPr>
          </w:p>
        </w:tc>
        <w:tc>
          <w:tcPr>
            <w:tcW w:w="2551" w:type="dxa"/>
            <w:vAlign w:val="center"/>
          </w:tcPr>
          <w:p>
            <w:pPr>
              <w:pStyle w:val="16"/>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13.14</w:t>
            </w:r>
          </w:p>
        </w:tc>
        <w:tc>
          <w:tcPr>
            <w:tcW w:w="2551" w:type="dxa"/>
            <w:vAlign w:val="center"/>
          </w:tcPr>
          <w:p>
            <w:pPr>
              <w:pStyle w:val="16"/>
            </w:pPr>
          </w:p>
        </w:tc>
        <w:tc>
          <w:tcPr>
            <w:tcW w:w="2551" w:type="dxa"/>
            <w:vAlign w:val="center"/>
          </w:tcPr>
          <w:p>
            <w:pPr>
              <w:pStyle w:val="16"/>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55.98</w:t>
            </w:r>
          </w:p>
        </w:tc>
        <w:tc>
          <w:tcPr>
            <w:tcW w:w="2551" w:type="dxa"/>
            <w:vAlign w:val="center"/>
          </w:tcPr>
          <w:p>
            <w:pPr>
              <w:pStyle w:val="16"/>
            </w:pPr>
          </w:p>
        </w:tc>
        <w:tc>
          <w:tcPr>
            <w:tcW w:w="2551" w:type="dxa"/>
            <w:vAlign w:val="center"/>
          </w:tcPr>
          <w:p>
            <w:pPr>
              <w:pStyle w:val="16"/>
            </w:pPr>
            <w:r>
              <w:t>55.98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19.82</w:t>
            </w:r>
          </w:p>
        </w:tc>
        <w:tc>
          <w:tcPr>
            <w:tcW w:w="2551" w:type="dxa"/>
            <w:vAlign w:val="center"/>
          </w:tcPr>
          <w:p>
            <w:pPr>
              <w:pStyle w:val="16"/>
            </w:pPr>
          </w:p>
        </w:tc>
        <w:tc>
          <w:tcPr>
            <w:tcW w:w="2551" w:type="dxa"/>
            <w:vAlign w:val="center"/>
          </w:tcPr>
          <w:p>
            <w:pPr>
              <w:pStyle w:val="16"/>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8.47</w:t>
            </w:r>
          </w:p>
        </w:tc>
        <w:tc>
          <w:tcPr>
            <w:tcW w:w="2551" w:type="dxa"/>
            <w:vAlign w:val="center"/>
          </w:tcPr>
          <w:p>
            <w:pPr>
              <w:pStyle w:val="16"/>
            </w:pPr>
          </w:p>
        </w:tc>
        <w:tc>
          <w:tcPr>
            <w:tcW w:w="2551" w:type="dxa"/>
            <w:vAlign w:val="center"/>
          </w:tcPr>
          <w:p>
            <w:pPr>
              <w:pStyle w:val="16"/>
            </w:pPr>
            <w:r>
              <w:t>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23.36</w:t>
            </w:r>
          </w:p>
        </w:tc>
        <w:tc>
          <w:tcPr>
            <w:tcW w:w="2551" w:type="dxa"/>
            <w:vAlign w:val="center"/>
          </w:tcPr>
          <w:p>
            <w:pPr>
              <w:pStyle w:val="16"/>
            </w:pPr>
          </w:p>
        </w:tc>
        <w:tc>
          <w:tcPr>
            <w:tcW w:w="2551" w:type="dxa"/>
            <w:vAlign w:val="center"/>
          </w:tcPr>
          <w:p>
            <w:pPr>
              <w:pStyle w:val="16"/>
            </w:pPr>
            <w:r>
              <w:t>23.36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1.46</w:t>
            </w:r>
          </w:p>
        </w:tc>
        <w:tc>
          <w:tcPr>
            <w:tcW w:w="2551" w:type="dxa"/>
            <w:vAlign w:val="center"/>
          </w:tcPr>
          <w:p>
            <w:pPr>
              <w:pStyle w:val="16"/>
            </w:pPr>
          </w:p>
        </w:tc>
        <w:tc>
          <w:tcPr>
            <w:tcW w:w="2551" w:type="dxa"/>
            <w:vAlign w:val="center"/>
          </w:tcPr>
          <w:p>
            <w:pPr>
              <w:pStyle w:val="16"/>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13.14</w:t>
            </w:r>
          </w:p>
        </w:tc>
        <w:tc>
          <w:tcPr>
            <w:tcW w:w="2551" w:type="dxa"/>
            <w:vAlign w:val="center"/>
          </w:tcPr>
          <w:p>
            <w:pPr>
              <w:pStyle w:val="16"/>
            </w:pPr>
          </w:p>
        </w:tc>
        <w:tc>
          <w:tcPr>
            <w:tcW w:w="2551" w:type="dxa"/>
            <w:vAlign w:val="center"/>
          </w:tcPr>
          <w:p>
            <w:pPr>
              <w:pStyle w:val="16"/>
            </w:pPr>
            <w:r>
              <w:t>13.14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24.12</w:t>
            </w:r>
          </w:p>
        </w:tc>
        <w:tc>
          <w:tcPr>
            <w:tcW w:w="2551" w:type="dxa"/>
            <w:vAlign w:val="center"/>
          </w:tcPr>
          <w:p>
            <w:pPr>
              <w:pStyle w:val="16"/>
            </w:pPr>
          </w:p>
        </w:tc>
        <w:tc>
          <w:tcPr>
            <w:tcW w:w="2551" w:type="dxa"/>
            <w:vAlign w:val="center"/>
          </w:tcPr>
          <w:p>
            <w:pPr>
              <w:pStyle w:val="16"/>
            </w:pPr>
            <w:r>
              <w:t>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50.37</w:t>
            </w:r>
          </w:p>
        </w:tc>
        <w:tc>
          <w:tcPr>
            <w:tcW w:w="2551" w:type="dxa"/>
            <w:vAlign w:val="center"/>
          </w:tcPr>
          <w:p>
            <w:pPr>
              <w:pStyle w:val="16"/>
            </w:pPr>
          </w:p>
        </w:tc>
        <w:tc>
          <w:tcPr>
            <w:tcW w:w="2551" w:type="dxa"/>
            <w:vAlign w:val="center"/>
          </w:tcPr>
          <w:p>
            <w:pPr>
              <w:pStyle w:val="16"/>
            </w:pPr>
            <w:r>
              <w:t>50.37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53.28</w:t>
            </w:r>
          </w:p>
        </w:tc>
        <w:tc>
          <w:tcPr>
            <w:tcW w:w="2551" w:type="dxa"/>
            <w:vAlign w:val="center"/>
          </w:tcPr>
          <w:p>
            <w:pPr>
              <w:pStyle w:val="16"/>
            </w:pPr>
          </w:p>
        </w:tc>
        <w:tc>
          <w:tcPr>
            <w:tcW w:w="2551" w:type="dxa"/>
            <w:vAlign w:val="center"/>
          </w:tcPr>
          <w:p>
            <w:pPr>
              <w:pStyle w:val="16"/>
            </w:pPr>
            <w:r>
              <w:t>53.28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20.00</w:t>
            </w:r>
          </w:p>
        </w:tc>
        <w:tc>
          <w:tcPr>
            <w:tcW w:w="2551" w:type="dxa"/>
            <w:vAlign w:val="center"/>
          </w:tcPr>
          <w:p>
            <w:pPr>
              <w:pStyle w:val="16"/>
            </w:pPr>
          </w:p>
        </w:tc>
        <w:tc>
          <w:tcPr>
            <w:tcW w:w="2551" w:type="dxa"/>
            <w:vAlign w:val="center"/>
          </w:tcPr>
          <w:p>
            <w:pPr>
              <w:pStyle w:val="16"/>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840.01</w:t>
            </w:r>
          </w:p>
        </w:tc>
        <w:tc>
          <w:tcPr>
            <w:tcW w:w="2551" w:type="dxa"/>
            <w:vAlign w:val="center"/>
          </w:tcPr>
          <w:p>
            <w:pPr>
              <w:pStyle w:val="16"/>
            </w:pPr>
            <w:r>
              <w:t>840.01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19.02</w:t>
            </w:r>
          </w:p>
        </w:tc>
        <w:tc>
          <w:tcPr>
            <w:tcW w:w="2551" w:type="dxa"/>
            <w:vAlign w:val="center"/>
          </w:tcPr>
          <w:p>
            <w:pPr>
              <w:pStyle w:val="16"/>
            </w:pPr>
            <w:r>
              <w:t>19.02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809.72</w:t>
            </w:r>
          </w:p>
        </w:tc>
        <w:tc>
          <w:tcPr>
            <w:tcW w:w="2551" w:type="dxa"/>
            <w:vAlign w:val="center"/>
          </w:tcPr>
          <w:p>
            <w:pPr>
              <w:pStyle w:val="16"/>
            </w:pPr>
            <w:r>
              <w:t>809.72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11.01</w:t>
            </w:r>
          </w:p>
        </w:tc>
        <w:tc>
          <w:tcPr>
            <w:tcW w:w="2551" w:type="dxa"/>
            <w:vAlign w:val="center"/>
          </w:tcPr>
          <w:p>
            <w:pPr>
              <w:pStyle w:val="16"/>
            </w:pPr>
            <w:r>
              <w:t>11.01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0.25</w:t>
            </w:r>
          </w:p>
        </w:tc>
        <w:tc>
          <w:tcPr>
            <w:tcW w:w="2551" w:type="dxa"/>
            <w:vAlign w:val="center"/>
          </w:tcPr>
          <w:p>
            <w:pPr>
              <w:pStyle w:val="16"/>
            </w:pPr>
            <w:r>
              <w:t>0.25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50.37</w:t>
            </w:r>
          </w:p>
        </w:tc>
        <w:tc>
          <w:tcPr>
            <w:tcW w:w="2381" w:type="dxa"/>
            <w:vAlign w:val="center"/>
          </w:tcPr>
          <w:p>
            <w:pPr>
              <w:pStyle w:val="20"/>
            </w:pPr>
            <w:r>
              <w:t>50.37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50.37</w:t>
            </w:r>
          </w:p>
        </w:tc>
        <w:tc>
          <w:tcPr>
            <w:tcW w:w="2381" w:type="dxa"/>
            <w:vAlign w:val="center"/>
          </w:tcPr>
          <w:p>
            <w:pPr>
              <w:pStyle w:val="16"/>
            </w:pPr>
            <w:r>
              <w:t>50.37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50.37</w:t>
            </w:r>
          </w:p>
        </w:tc>
        <w:tc>
          <w:tcPr>
            <w:tcW w:w="2381" w:type="dxa"/>
            <w:vAlign w:val="center"/>
          </w:tcPr>
          <w:p>
            <w:pPr>
              <w:pStyle w:val="16"/>
            </w:pPr>
            <w:r>
              <w:t>50.37</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廊坊市广阳区市场监督管理局2023年部门预算信息公开情况说明</w:t>
      </w:r>
    </w:p>
    <w:p>
      <w:pPr>
        <w:jc w:val="center"/>
      </w:pPr>
      <w:r>
        <w:rPr>
          <w:rFonts w:ascii="方正小标宋_GBK" w:hAnsi="方正小标宋_GBK" w:eastAsia="方正小标宋_GBK" w:cs="方正小标宋_GBK"/>
          <w:color w:val="000000"/>
          <w:sz w:val="44"/>
        </w:rPr>
        <w:t>廊坊市广阳区市场监督管理局2023年部门预算信息公开情况说明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预算法》、《地方预决算公开操作规程》和《关于进一步推进预算公开工作的实施意见》规定，现将廊坊市广阳区市场监督管理局2023年部门预算公开如下：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负责全区市场综合监督管理和行政执法工作。落实上级市场监督管理有关法律法规和规章，组织实施质量强区战略、食品安全战略、标准化战略、知识产权战略。组织查处违法案件，加强市场监管执法队伍建设。规范和维护市场秩序，营造诚实守信、公平竞争的市场环境。</w:t>
      </w:r>
    </w:p>
    <w:p>
      <w:pPr>
        <w:pStyle w:val="22"/>
      </w:pPr>
      <w:r>
        <w:t>（二）负责市场主体信用建设。建立市场主体信息公示和共享机制，依法公示和共享有关信息，加强信用监管，推动市场主体信用体系建设。组织推进竞争政策实施，协助上级实施公平竞争审查制度。组织实施全区“双随机、一公开”工作。</w:t>
      </w:r>
    </w:p>
    <w:p>
      <w:pPr>
        <w:pStyle w:val="22"/>
      </w:pPr>
      <w:r>
        <w:t>（三）负责监督管理市场秩序。依法监督管理全区市场交易、网络商品交易及有关服务的行为。组织指导查处价格收费违法违规、不正当竞争、违法直销、传销、侵犯商标、侵犯专利、侵犯知识产权和制售假冒伪劣行为。协助开展反垄断执法相关工作。负责农资市场监管工作。指导协调全区广告业发展，监督管理广告活动。查处相关无证、无照生产经营行为。指导区消费者协会开展消费维权工作。</w:t>
      </w:r>
    </w:p>
    <w:p>
      <w:pPr>
        <w:pStyle w:val="22"/>
      </w:pPr>
      <w:r>
        <w:t>（四）负责全区宏观质量管理。拟订并实施全区质量发展的制度措施。统筹全区质量基础设施建设与应用，会同有关部门组织实施工程设备质量监理制度，组织质量事故调查，组织实施缺陷产品召回制度，监督管理产品防伪工作。</w:t>
      </w:r>
    </w:p>
    <w:p>
      <w:pPr>
        <w:pStyle w:val="22"/>
      </w:pPr>
      <w:r>
        <w:t>（五）负责全区产品质量安全监督管理。承担区级产品质量安全风险监控、监督抽查工作。组织实施质量分级制度、质量安全追溯制度。实施工业产品生产许可管理。负责纤维质量监督工作。</w:t>
      </w:r>
    </w:p>
    <w:p>
      <w:pPr>
        <w:pStyle w:val="22"/>
      </w:pPr>
      <w:r>
        <w:t>（六）负责职责范围内的安全生产工作，承担生态环境保护相关职责。</w:t>
      </w:r>
    </w:p>
    <w:p>
      <w:pPr>
        <w:pStyle w:val="22"/>
      </w:pPr>
      <w:r>
        <w:t>（七）负责全区纳入特种设备目录管理的特种设备安全监督管理。综合管理特种设备安全监察、监督工作，监督检查高耗能特种设备节能标准和锅炉环境保护标准的执行情况。</w:t>
      </w:r>
    </w:p>
    <w:p>
      <w:pPr>
        <w:pStyle w:val="22"/>
      </w:pPr>
      <w:r>
        <w:t>（八）负责食品安全监督管理综合协调。组织</w:t>
      </w:r>
      <w:r>
        <w:rPr>
          <w:rFonts w:hint="eastAsia"/>
          <w:lang w:eastAsia="zh-CN"/>
        </w:rPr>
        <w:t>制订</w:t>
      </w:r>
      <w:r>
        <w:t>全区食品安全重大政策并组织实施。推动健全食品安全地方党政同责和跨部门协调联动机制。负责食品安全应急体系建设，组织指导全区重大食品安全事件应急处置和调查处理工作，建立健全食品安全信息统一公布和重要信息直报制度。承担广阳区食品安全委员会日常工作。</w:t>
      </w:r>
    </w:p>
    <w:p>
      <w:pPr>
        <w:pStyle w:val="22"/>
      </w:pPr>
      <w: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重大活动食品安全保障。</w:t>
      </w:r>
    </w:p>
    <w:p>
      <w:pPr>
        <w:pStyle w:val="22"/>
      </w:pPr>
      <w:r>
        <w:t>（十）负责药品（含中药、民族药，下同）、医疗器械和化妆品安全监督管理。推动落实药品、医疗器械和化妆品安全企业主体责任，履行党政同责。贯彻执行国家、省药品、医疗器械和化妆品法律法规，以及鼓励</w:t>
      </w:r>
      <w:r>
        <w:rPr>
          <w:rFonts w:hint="eastAsia"/>
          <w:lang w:eastAsia="zh-CN"/>
        </w:rPr>
        <w:t>制订</w:t>
      </w:r>
      <w:r>
        <w:t>药品、医疗器械和化妆品新技术新产品的管理与服务政策。监督实施药品、医疗器械、化妆品相关生产经营使用质量管理规范。负责监督实施国家药品、医疗器械、化妆品标准和中药材地方标准，组织落实分类管理制度。配合实施国家基本药物制度。</w:t>
      </w:r>
    </w:p>
    <w:p>
      <w:pPr>
        <w:pStyle w:val="22"/>
      </w:pPr>
      <w:r>
        <w:t>（十一）负责药品、医疗器械和化妆品质量管理。监督实施生产质量管理规范，依职责监督和指导实施经营、使用质量管理规范。负责药品、医疗器械和化妆品上市后风险管理。建立健全全区药品不良反应、医疗器械不良事件、化妆品不良反应和药物滥用监测体系，并开展监测、评价和处置工作。依法承担药品、医疗器械和化妆品安全应急管理工作。</w:t>
      </w:r>
    </w:p>
    <w:p>
      <w:pPr>
        <w:pStyle w:val="22"/>
      </w:pPr>
      <w:r>
        <w:t>(十二）建立覆盖药品、医疗器械、化妆品生产经营使用全过程的监督检查制度和隐患排查治理机制并组织实施。防范区域性、系统性安全风险。依法查处药品、医疗器械和化妆品生产、经营、使用环节的违法违规行为。组织开展药品、医疗器械和化妆品安全宣传、教育培训。推进诚信体系建设。</w:t>
      </w:r>
    </w:p>
    <w:p>
      <w:pPr>
        <w:pStyle w:val="22"/>
      </w:pPr>
      <w:r>
        <w:t>（十三）推进全区药品、医疗器械和化妆品安全监管信息化建设。落实药品、医疗器械和化妆品的安全科技发展规划，推动检验检测体系、电子监管追溯体系和信息化建设。完善全区药品、医疗器械和化妆品安全信息统一公布制度和重大信息直报制度，公布重大安全信息。</w:t>
      </w:r>
    </w:p>
    <w:p>
      <w:pPr>
        <w:pStyle w:val="22"/>
      </w:pPr>
      <w:r>
        <w:t>（十四）负责统一管理全区计量工作。推行法定计量单位和国家计量制度，管理计量器具及量值传递和比对工作。规范、监督商品量和市场计量行为。</w:t>
      </w:r>
    </w:p>
    <w:p>
      <w:pPr>
        <w:pStyle w:val="22"/>
      </w:pPr>
      <w:r>
        <w:t>（十五）负责统一管理全区标准化工作。贯彻国家、省、市标准化工作的法律、法规、方针、政策，并</w:t>
      </w:r>
      <w:r>
        <w:rPr>
          <w:rFonts w:hint="eastAsia"/>
          <w:lang w:eastAsia="zh-CN"/>
        </w:rPr>
        <w:t>制订</w:t>
      </w:r>
      <w:r>
        <w:t>具体实施办法；</w:t>
      </w:r>
      <w:r>
        <w:rPr>
          <w:rFonts w:hint="eastAsia"/>
          <w:lang w:eastAsia="zh-CN"/>
        </w:rPr>
        <w:t>制订</w:t>
      </w:r>
      <w:r>
        <w:t>标准化工作的规划、计划。协助指导监督企业标准的制修定工作，对标准实施进行监督。管理商品条码工作。</w:t>
      </w:r>
    </w:p>
    <w:p>
      <w:pPr>
        <w:pStyle w:val="22"/>
      </w:pPr>
      <w:r>
        <w:t>（十六）负责统一管理全区检验检测工作。推进检验检测机构整合和改革，规范检验检测市场，完善检验检测体系，指导协调检验检测行业发展。</w:t>
      </w:r>
    </w:p>
    <w:p>
      <w:pPr>
        <w:pStyle w:val="22"/>
      </w:pPr>
      <w:r>
        <w:t>（十七）负责统一管理、监督和协调全区认证认可工作。组织贯彻实施国家统一的认证认可和合格评定监督管理制度。</w:t>
      </w:r>
    </w:p>
    <w:p>
      <w:pPr>
        <w:pStyle w:val="22"/>
      </w:pPr>
      <w:r>
        <w:t>（十八）负责组织协调全区知识产权工作，起草全区商标、专利发展促进意见，提出知识产权保护管理举措，落实上级知识产权保护具体制度。开展专利行政执法、专利政策宣传和专利信息传播工作，统筹协调全区及涉外知识产权事宜。负责推进全区知识产权管理工作。落实加强知识产权强区建设的重大方针政策和发展规划。落实强化知识产权创造、保护和运用的政策和制度。负责保护知识产权。落实严格保护注册商标、专利、原产地地理标志、集成电路布图设计等知识产权地方性法规。按照国家知识产权保护体系建设方案，推动建设知识产权保护体系。负责注册商标、专利执法工作，负责知识产权维权援助，落实对接京津冀知识产权执法协作工作。</w:t>
      </w:r>
    </w:p>
    <w:p>
      <w:pPr>
        <w:pStyle w:val="22"/>
      </w:pPr>
      <w:r>
        <w:t>（十九）负责促进知识产权运用。落实知识产权运用和规范交易的政策，促进知识产权转移转化。规范知识产权无形资产评估工作。落实知识产权中介服务发展与监管的政策措施。推动注册商标、专利等知识产权信息的传播利用。指导辖区专利信息服务工作。承担国家知识产权局知识产权代办工作任务。负责全区市场监督管理科技和信息化建设、新闻宣传、对外交流与合作。</w:t>
      </w:r>
    </w:p>
    <w:p>
      <w:pPr>
        <w:pStyle w:val="22"/>
      </w:pPr>
      <w:r>
        <w:t>（二十）按照“应进必进”原则，将区市场监督管理局承担的相关行政审批事项划入区行政审批局，由区市场监督管理局做好后续监管工作。</w:t>
      </w:r>
    </w:p>
    <w:p>
      <w:pPr>
        <w:pStyle w:val="22"/>
      </w:pPr>
      <w:r>
        <w:t>（二十一）完成区委、区政府交办的其他任务。</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廊坊市广阳区市场监督管理局本级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按照预算管理有关规定，目前我区部门预算的编制实行综合预算管理，即全部收入和支出都反映在预算中。廊坊市广阳区市场监督管理局机关及所属事业单位的收支包含在部门预算中。</w:t>
      </w:r>
    </w:p>
    <w:p>
      <w:pPr>
        <w:pStyle w:val="23"/>
      </w:pPr>
      <w:r>
        <w:t>1、收入说明</w:t>
      </w:r>
    </w:p>
    <w:p>
      <w:pPr>
        <w:pStyle w:val="23"/>
      </w:pPr>
      <w:r>
        <w:t>反映本部门当年全部收入。2023年预算收入3780.86万元，其中：一般公共预算收入3780.44万元，基金预算收入0万元，财政专户核拨收入0万元，其他来源收入0万元，上年结转0.42万元。</w:t>
      </w:r>
    </w:p>
    <w:p>
      <w:pPr>
        <w:pStyle w:val="23"/>
      </w:pPr>
      <w:r>
        <w:t>2、支出说明</w:t>
      </w:r>
    </w:p>
    <w:p>
      <w:pPr>
        <w:pStyle w:val="23"/>
      </w:pPr>
      <w:r>
        <w:t>收支预算总表支出栏、基本支出表、项目支出表按经济分类和支出功能分类科目编制，反映廊坊市广阳区市场监督管理局本级2023年度部门预算中支出预算的总体情况。2023年支出预算3780.86万元，其中：基本支出3527.28万元，包括人员经费3214.36万元和日常公用经费312.92万元；项目支出253.58万元，全部为本级支出，主要为市场建工商分流人员经费、质量强区建设及产品质量监管经费、抽检经费等项目。</w:t>
      </w:r>
    </w:p>
    <w:p>
      <w:pPr>
        <w:pStyle w:val="23"/>
      </w:pPr>
      <w:r>
        <w:t>3、比上年增减情况</w:t>
      </w:r>
    </w:p>
    <w:p>
      <w:pPr>
        <w:pStyle w:val="23"/>
      </w:pPr>
      <w:r>
        <w:t>2023年预算收支安排3780.86万元，较2022年预算增加262.87万元，其中：基本支出增加378.89万元，增加原因主要为人员经费支出增加；项目支出减少116.02万元，减少原因主要为减少抽检经费项目支出减少。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2023年，我部门运行经费共计安排312.92万元，主要用于办公区的日常维修、办公费用、办公用房水电费、办公用房取暖费、邮电费、差旅费、办公用房物业管理费、公务用车运行维护费等日常运行支出。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50.37万元。其中，因公出国（境）费0万元；公务用车购置及运维费50.37万元（其中：公务用车购置费为0万元，公务用车运维费50.37万元)；公务接待费0万元。与2022年相比增加2.19万元，其中，公务用车购置及运维费增加2.19万元（其中：公务用车购置费0万元，公务用车运维费增加2.19万元)，主要原因是我单位在编制内增加公务用车1辆，增加公车运行经费支出。</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将紧紧围绕区委、区政府改革发展的决策部署，深入贯彻省、市局市场监管工作会议精神，以推进供给侧结构性改革为重点，全面落实"放管服"要求，持续深化商事制度改革，切实加强事中事后监管，在服务全区经济社会健康发展中展现新作为。依法规范和维护全区各类市场经营秩序,监督管理市场交易行为和网络商品交易及有关服务的行为。依法实施合同行政监督管理,负责管理动产抵押登记,组织监管管理拍卖行为,依法查处合同欺诈等违法行为。市场信用分类管理、对流通领域商品质量进行抽查检验,开展对生产资料、农资、化肥、成品油、食品等进行分批次抽检。依法保护商标专用权和查处商标侵权行为，监督管理广告活动。维护公平竞争的市场秩序,开展全区消费者权益保护工作,查处经营假冒伪劣商品等违法行为;组织指导查处侵害消费者权益的行为,处理消费者和经营者投诉举报,指导调解消费纠纷工作,保护消费者合法权益,维护经营者正当利益,定期对化妆品强制检验。通过对国家基本药物目录品种(医疗器械及药品包装材料)的抽验,全面加强对基本药物(图疗器械及包装材料)的质量监管;协助建立完善流通环节药品安全隐患排查治理机制,通过药品、医疗器械,化妆品不良反应(事件)的报告收集,调查,分析评价和风险控制,指导临床合理用药(械),避免或减少药品、医疗器械不良反应(事件)的发生,保障人民群众用药(医疗器械、化妆品)安全;通过对化妆品的抽验和对化妆品生产企业、经营企业的经常性监督检查以及化妆品许可工作,对违法生产、经管、使用药品、医疗器械案件以及违法生产经营食品的案件进行查处,保障人民群众用药饮食和器械安全,维持正常市场经济秩序。</w:t>
      </w:r>
    </w:p>
    <w:p>
      <w:pPr>
        <w:spacing w:line="500" w:lineRule="exact"/>
        <w:ind w:firstLine="560"/>
      </w:pPr>
      <w:r>
        <w:rPr>
          <w:rFonts w:eastAsia="方正仿宋_GBK"/>
          <w:color w:val="000000"/>
          <w:sz w:val="28"/>
        </w:rPr>
        <w:t>（二）分项绩效目标</w:t>
      </w:r>
    </w:p>
    <w:p>
      <w:pPr>
        <w:pStyle w:val="27"/>
      </w:pPr>
      <w:r>
        <w:t>1、优化完善市场监管治理体系</w:t>
      </w:r>
    </w:p>
    <w:p>
      <w:pPr>
        <w:pStyle w:val="27"/>
      </w:pPr>
      <w:r>
        <w:t>绩效目标：通过查处市场主体违反信用监管案件，加大市场监管和规范，打击霸王条款，以互联网技术为核心，建立健全消费领域的信用监管体系，营造公平竞争的市场环境，增强市场活力，稳步提升市场综合监督管理能力，优化完善市场监管治理体系。</w:t>
      </w:r>
    </w:p>
    <w:p>
      <w:pPr>
        <w:pStyle w:val="27"/>
      </w:pPr>
      <w:r>
        <w:t>绩效指标：全年抽查市场主体数量占比不低于总数的10%，维护市场经济秩序稳定；全年开展打击传销宣传活动不少于 1次。</w:t>
      </w:r>
    </w:p>
    <w:p>
      <w:pPr>
        <w:pStyle w:val="27"/>
      </w:pPr>
      <w:r>
        <w:t>2、加强食品安全监督管理</w:t>
      </w:r>
    </w:p>
    <w:p>
      <w:pPr>
        <w:pStyle w:val="27"/>
      </w:pPr>
      <w:r>
        <w:t>绩效目标：通过对辖区内的食品安全各环节开展强力监管，及时发现食品监管中存在的薄弱问题，确保人民群众饮食安全，不出现重大食品安全事故。</w:t>
      </w:r>
    </w:p>
    <w:p>
      <w:pPr>
        <w:pStyle w:val="27"/>
      </w:pPr>
      <w:r>
        <w:t>绩效指标：食品安全抽样检验量达到4.2批次/千人。食品抽检的指标值不低于2200批次；重大食品安全事故数为零。</w:t>
      </w:r>
    </w:p>
    <w:p>
      <w:pPr>
        <w:pStyle w:val="27"/>
      </w:pPr>
      <w:r>
        <w:t>3、加强药品安全监督管理</w:t>
      </w:r>
    </w:p>
    <w:p>
      <w:pPr>
        <w:pStyle w:val="27"/>
      </w:pPr>
      <w:r>
        <w:t>绩效目标：全面加强对药品（医疗器械）及化妆品的质量监管指导，规范药品生产经营秩序，打击制假售假行为，规范药品采购、储存、销售、运输等环节，保障人民用药安全。</w:t>
      </w:r>
    </w:p>
    <w:p>
      <w:pPr>
        <w:pStyle w:val="27"/>
      </w:pPr>
      <w:r>
        <w:t>绩效指标：开展日常监管，全年开展对药品、器械抽查不少于30批次，同时严格落实不合格产品核查处置制度，确保核查处置率100%。</w:t>
      </w:r>
    </w:p>
    <w:p>
      <w:pPr>
        <w:pStyle w:val="27"/>
      </w:pPr>
      <w:r>
        <w:t>4、提升质量发展水平</w:t>
      </w:r>
    </w:p>
    <w:p>
      <w:pPr>
        <w:pStyle w:val="27"/>
      </w:pPr>
      <w:r>
        <w:t>绩效目标：推进质量强区战略，完善产品质量安全管理制度，推进品牌建设，实现质量基础设施协同服务成熟高效。进一步提地方标准修订水平，鼓励引导企业积极采用先进质量管理方法，在全社会树立先进质量标杆，提高全社会质量意识，推动经济健康有序发展。</w:t>
      </w:r>
    </w:p>
    <w:p>
      <w:pPr>
        <w:pStyle w:val="27"/>
      </w:pPr>
      <w:r>
        <w:t>绩效指标：年度内完成对辖区内18家检测机构以及14家强制性产品认证获证企业重点监管；开展不少于4次质量文化宣传活动，打造广阳区质量文化氛围。</w:t>
      </w:r>
    </w:p>
    <w:p>
      <w:pPr>
        <w:pStyle w:val="27"/>
      </w:pPr>
      <w:r>
        <w:t>5、强化特种设备安全监管</w:t>
      </w:r>
    </w:p>
    <w:p>
      <w:pPr>
        <w:pStyle w:val="27"/>
      </w:pPr>
      <w:r>
        <w:t>绩效目标：进一步提升电梯发生故障时的救援工作，提高产品质量投诉举报案件的受理效率和工作效能，使质量接诉与应急处置有效衔接，应急处置效率不断提升。及时向社会发布电梯安全状况信息、受理产品质量申诉等，发挥社会监督和市场优胜劣汰的机制，倒逼物业、维保单位及相关企业落实主体责任，促进特种设备安全监管模式的创新，推动多部门综合监管机制的形成。</w:t>
      </w:r>
    </w:p>
    <w:p>
      <w:pPr>
        <w:pStyle w:val="27"/>
      </w:pPr>
      <w:r>
        <w:t>绩效指标：年内对80%以上的特种设备使用单位进行监督检查，检查次数不少于1次；全面排查特种设备涉及的各类风险隐患，做到重点企业、重点领域100%全覆盖监管；辖区重大事故发生数量为零。</w:t>
      </w:r>
    </w:p>
    <w:p>
      <w:pPr>
        <w:pStyle w:val="27"/>
      </w:pPr>
      <w:r>
        <w:t>6、知识产权运营服务体系建设</w:t>
      </w:r>
    </w:p>
    <w:p>
      <w:pPr>
        <w:pStyle w:val="27"/>
      </w:pPr>
      <w:r>
        <w:t>绩效目标：完善知识产权保护体系，通过持续稳定开展对商标、专利、地理标志等执法工作，鼓励引导企业加强知识产权保护，实现商标跨类扩大保护，提高全社会知识产权认定意识；推动知识产权运营服务体系建设不断提升，驰名商标推荐工作持续开展，知识产权信息公共服务体系建设更加成熟。</w:t>
      </w:r>
    </w:p>
    <w:p>
      <w:pPr>
        <w:pStyle w:val="27"/>
      </w:pPr>
      <w:r>
        <w:t>绩效指标：知识产权贯标企业累计达到20家；知识产权行政执法案件按照结案率达到100%。</w:t>
      </w:r>
    </w:p>
    <w:p>
      <w:pPr>
        <w:spacing w:line="500" w:lineRule="exact"/>
        <w:ind w:firstLine="560"/>
      </w:pPr>
      <w:r>
        <w:rPr>
          <w:rFonts w:eastAsia="方正仿宋_GBK"/>
          <w:color w:val="000000"/>
          <w:sz w:val="28"/>
        </w:rPr>
        <w:t>（三）工作保障措施</w:t>
      </w:r>
    </w:p>
    <w:p>
      <w:pPr>
        <w:pStyle w:val="28"/>
      </w:pPr>
      <w:r>
        <w:t>1、完善制度建设。充分发挥市场监管职能，确保食品药品、特种设备安全、严厉打击传销、虚假广告、不正当竞争、假冒伪劣等违法犯罪行为，维护全市市场经济秩序。进一步强化绩效管理，做到“三个全面”，达到“双监控”要求。根据“立项必花钱，花钱必问效、无效必问责”，的财政预算管理要求，进一步规范预算资金管理，严格执行机关各项财务管理制度，保障资金安全高效运行，切实发挥预算资金使用效率，为全年预算绩效目标的实现奠定制度基础。</w:t>
      </w:r>
    </w:p>
    <w:p>
      <w:pPr>
        <w:pStyle w:val="28"/>
      </w:pPr>
      <w:r>
        <w:t>2、加强支出管理。优化支出结构，编细编实2022年预算，积极协调各监管业务股室，及早将资金预算落实到具体项目，并扎实做好各类项目的实施计划和资金落实计划，将预算执行纳入有计划、可控制的良性运行轨道。对于采购预算项目，回快履行政府采购手续、尽快启动项目、及时支付资金，加快预算执行计划，确保支出进度达标。</w:t>
      </w:r>
    </w:p>
    <w:p>
      <w:pPr>
        <w:pStyle w:val="28"/>
      </w:pPr>
      <w:r>
        <w:t>3、加强绩效运行监控。按要求开展绩效运行监控，做到事前、事中、事后要有跟踪绩效评价，及时发现财政资金使用过程中存在的问题，研究解决办法和整改措施，从而进一步提高绩效评价结果应用，确保每一分财政资金都花在刀刃上，提高财政资金使用率。</w:t>
      </w:r>
    </w:p>
    <w:p>
      <w:pPr>
        <w:pStyle w:val="28"/>
      </w:pPr>
      <w:r>
        <w:t>4、做好绩效自评。事前开展绩效评估、事中开展绩效追踪、事后开展绩效测评，对上年度部门预算实施绩效自评和重点评价工作，对评价中发现的问题及时整改，认真分析研究评价结果所反映出的问题，努力查找资金使用和管理中的薄弱环节，</w:t>
      </w:r>
      <w:r>
        <w:rPr>
          <w:rFonts w:hint="eastAsia"/>
          <w:lang w:eastAsia="zh-CN"/>
        </w:rPr>
        <w:t>制订</w:t>
      </w:r>
      <w:r>
        <w:t>改进和提高绩效管理工作的具体措施。</w:t>
      </w:r>
    </w:p>
    <w:p>
      <w:pPr>
        <w:pStyle w:val="28"/>
      </w:pPr>
      <w:r>
        <w:t>5、规范财务资产管理。建立科学、合理的机关内部控制体系，完善财务管理制度，严格预算审核和经费支出审批程序。加强固定资产登记、使用和报废处置等日常管理。</w:t>
      </w:r>
    </w:p>
    <w:p>
      <w:pPr>
        <w:pStyle w:val="28"/>
      </w:pPr>
      <w:r>
        <w:t>6、加强内部监督。加强内部监督制度建设，对绩效运行情况、重大支出决策、对外投资、资产处置及其他重要经济业务事项的决策和执行进行内部审计监督，并配合审计、财政等外部监督工作，确保财政资金安全有效。</w:t>
      </w:r>
    </w:p>
    <w:p>
      <w:pPr>
        <w:pStyle w:val="28"/>
      </w:pPr>
      <w:r>
        <w:t>7、加强宣传培训调研等。深入推进人才培养战略，提高市场监管队伍综合素质，加大绩效管理宣传普及力度，强化预算绩效管理意识，促进预算绩效管理水平进一步提升。</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0"/>
        <w:gridCol w:w="994"/>
        <w:gridCol w:w="1418"/>
        <w:gridCol w:w="2693"/>
        <w:gridCol w:w="4393"/>
        <w:gridCol w:w="1133"/>
        <w:gridCol w:w="991"/>
        <w:gridCol w:w="997"/>
        <w:gridCol w:w="163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9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33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478"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908"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481"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052"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550"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96" w:type="pct"/>
            <w:vMerge w:val="continue"/>
            <w:shd w:val="clear" w:color="auto" w:fill="auto"/>
            <w:vAlign w:val="center"/>
          </w:tcPr>
          <w:p>
            <w:pPr>
              <w:rPr>
                <w:rFonts w:ascii="方正书宋_GBK" w:hAnsi="宋体" w:eastAsia="方正书宋_GBK" w:cs="宋体"/>
                <w:b/>
                <w:bCs/>
                <w:color w:val="000000"/>
              </w:rPr>
            </w:pPr>
          </w:p>
        </w:tc>
        <w:tc>
          <w:tcPr>
            <w:tcW w:w="335"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478" w:type="pct"/>
            <w:vMerge w:val="continue"/>
            <w:shd w:val="clear" w:color="auto" w:fill="auto"/>
            <w:vAlign w:val="center"/>
          </w:tcPr>
          <w:p>
            <w:pPr>
              <w:rPr>
                <w:rFonts w:ascii="方正书宋_GBK" w:hAnsi="宋体" w:eastAsia="方正书宋_GBK" w:cs="宋体"/>
                <w:b/>
                <w:bCs/>
                <w:color w:val="000000"/>
              </w:rPr>
            </w:pPr>
          </w:p>
        </w:tc>
        <w:tc>
          <w:tcPr>
            <w:tcW w:w="908" w:type="pct"/>
            <w:vMerge w:val="continue"/>
            <w:shd w:val="clear" w:color="auto" w:fill="auto"/>
            <w:vAlign w:val="center"/>
          </w:tcPr>
          <w:p>
            <w:pPr>
              <w:rPr>
                <w:rFonts w:ascii="方正书宋_GBK" w:hAnsi="宋体" w:eastAsia="方正书宋_GBK" w:cs="宋体"/>
                <w:b/>
                <w:bCs/>
                <w:color w:val="000000"/>
              </w:rPr>
            </w:pPr>
          </w:p>
        </w:tc>
        <w:tc>
          <w:tcPr>
            <w:tcW w:w="1481" w:type="pct"/>
            <w:vMerge w:val="continue"/>
            <w:shd w:val="clear" w:color="auto" w:fill="auto"/>
            <w:vAlign w:val="center"/>
          </w:tcPr>
          <w:p>
            <w:pPr>
              <w:rPr>
                <w:rFonts w:ascii="方正书宋_GBK" w:hAnsi="宋体" w:eastAsia="方正书宋_GBK" w:cs="宋体"/>
                <w:b/>
                <w:bCs/>
                <w:color w:val="000000"/>
              </w:rPr>
            </w:pPr>
          </w:p>
        </w:tc>
        <w:tc>
          <w:tcPr>
            <w:tcW w:w="382"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6"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550"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食品安全抽样比例</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达到指标值得满分，未达到不得分。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通过对辖区内的食品安全各环节开展抽检抽样的比例</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4.2</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批次/千人</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食品抽检的数量</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达到指标值得权重分的100%，每降低10%扣减权重分的10%，低于60%不得分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通过对辖区内的食品安全各环节开展抽检抽样的数量</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2200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批次</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全年开展对药品、器械检查次数</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达到指标值得权重分的100%，每降低10%扣减权重分的10%，低于60%不得分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全面加强对药品及医疗器械质量监管，打击制假售假行为，规范药品采购、储存、销售、运输等环节，保障人民用药安全。</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30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次</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开展质量文化宣传活动</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达到指标值得权重分的100%，每降低10%扣减权重分的10%，低于60%不得分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推进质量强区战略，完善产品质量安全管理制度，推进品牌建设，实现质量基础设施协同服务成熟高效</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right"/>
              <w:rPr>
                <w:rFonts w:ascii="仿宋_GB2312" w:eastAsia="仿宋_GB2312"/>
                <w:color w:val="000000"/>
                <w:sz w:val="18"/>
                <w:szCs w:val="18"/>
              </w:rPr>
            </w:pPr>
            <w:r>
              <w:rPr>
                <w:rFonts w:hint="eastAsia" w:ascii="仿宋_GB2312" w:eastAsia="仿宋_GB2312"/>
                <w:color w:val="000000"/>
                <w:sz w:val="18"/>
                <w:szCs w:val="18"/>
              </w:rPr>
              <w:t>4</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次</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特种设备使用单位进行监督检查次数</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达到指标值得满分，未达标不得分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检验检查辖区内特种设备单位使用规范情况及特种设备安全情况</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次</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特种设备涉及的重点企业、重点领域排查比例</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达到指标值得权重分的100%，每降低10%扣减权重分的10%，低于60%不得分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Style w:val="34"/>
                <w:rFonts w:hint="default"/>
              </w:rPr>
              <w:t>全面排查特种设备涉及的各类风险隐患，做到重点企业、重点领域全覆盖监管</w:t>
            </w:r>
            <w:r>
              <w:rPr>
                <w:rStyle w:val="35"/>
                <w:rFonts w:hint="default"/>
              </w:rPr>
              <w:t xml:space="preserve"> </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100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478"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对不合格产品核查处置率</w:t>
            </w:r>
          </w:p>
        </w:tc>
        <w:tc>
          <w:tcPr>
            <w:tcW w:w="908"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达到指标值得满分，未达标不得分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对查处的不合格产品处置率</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100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478"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监管执法计划完成率</w:t>
            </w:r>
          </w:p>
        </w:tc>
        <w:tc>
          <w:tcPr>
            <w:tcW w:w="908"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达到指标值得权重分的100%，每降低10%扣减权重分的10%，低于60%不得分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监管执法计划完成数量占总计划数量的比例</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90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廊财行【2021】26号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对抽检不合格产品处理的比率</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达到指标值得满分，未达标不得分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对抽检不合格产品处理的比率</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100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法律法规</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食品相关环节以及成品油环节抽检完成时限。</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达到指标值得满分，未达标不得分</w:t>
            </w:r>
          </w:p>
        </w:tc>
        <w:tc>
          <w:tcPr>
            <w:tcW w:w="1481"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食品相关环节以及流通领域成品油环节抽检完成时限。</w:t>
            </w:r>
          </w:p>
        </w:tc>
        <w:tc>
          <w:tcPr>
            <w:tcW w:w="382"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文字描述</w:t>
            </w:r>
          </w:p>
        </w:tc>
        <w:tc>
          <w:tcPr>
            <w:tcW w:w="334" w:type="pct"/>
            <w:shd w:val="clear" w:color="auto" w:fill="auto"/>
            <w:tcMar>
              <w:top w:w="15" w:type="dxa"/>
              <w:left w:w="15" w:type="dxa"/>
              <w:bottom w:w="0" w:type="dxa"/>
              <w:right w:w="15" w:type="dxa"/>
            </w:tcMar>
          </w:tcPr>
          <w:p>
            <w:pPr>
              <w:rPr>
                <w:rFonts w:ascii="仿宋_GB2312" w:eastAsia="仿宋_GB2312"/>
                <w:color w:val="000000"/>
                <w:sz w:val="18"/>
                <w:szCs w:val="18"/>
              </w:rPr>
            </w:pPr>
          </w:p>
        </w:tc>
        <w:tc>
          <w:tcPr>
            <w:tcW w:w="336" w:type="pct"/>
            <w:shd w:val="clear" w:color="auto" w:fill="auto"/>
            <w:tcMar>
              <w:top w:w="15" w:type="dxa"/>
              <w:left w:w="15" w:type="dxa"/>
              <w:bottom w:w="0" w:type="dxa"/>
              <w:right w:w="15" w:type="dxa"/>
            </w:tcMar>
          </w:tcPr>
          <w:p>
            <w:pPr>
              <w:rPr>
                <w:rFonts w:ascii="仿宋_GB2312" w:hAnsi="宋体" w:eastAsia="仿宋_GB2312" w:cs="宋体"/>
                <w:color w:val="000000"/>
                <w:sz w:val="18"/>
                <w:szCs w:val="18"/>
              </w:rPr>
            </w:pPr>
            <w:r>
              <w:rPr>
                <w:rFonts w:hint="eastAsia" w:ascii="仿宋_GB2312" w:eastAsia="仿宋_GB2312"/>
                <w:color w:val="000000"/>
                <w:sz w:val="18"/>
                <w:szCs w:val="18"/>
              </w:rPr>
              <w:t>12月底前</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日常公用经费开支标准</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每超过一项规定标准扣标准分值的10%。</w:t>
            </w:r>
          </w:p>
        </w:tc>
        <w:tc>
          <w:tcPr>
            <w:tcW w:w="1481"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办公费、水电费及其他公用经费的开支标准</w:t>
            </w:r>
          </w:p>
        </w:tc>
        <w:tc>
          <w:tcPr>
            <w:tcW w:w="382"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文字描述</w:t>
            </w:r>
          </w:p>
        </w:tc>
        <w:tc>
          <w:tcPr>
            <w:tcW w:w="334" w:type="pct"/>
            <w:shd w:val="clear" w:color="auto" w:fill="auto"/>
            <w:tcMar>
              <w:top w:w="15" w:type="dxa"/>
              <w:left w:w="15" w:type="dxa"/>
              <w:bottom w:w="0" w:type="dxa"/>
              <w:right w:w="15" w:type="dxa"/>
            </w:tcMar>
          </w:tcPr>
          <w:p>
            <w:pPr>
              <w:rPr>
                <w:rFonts w:ascii="仿宋_GB2312" w:eastAsia="仿宋_GB2312"/>
                <w:color w:val="000000"/>
                <w:sz w:val="18"/>
                <w:szCs w:val="18"/>
              </w:rPr>
            </w:pPr>
          </w:p>
        </w:tc>
        <w:tc>
          <w:tcPr>
            <w:tcW w:w="336" w:type="pct"/>
            <w:shd w:val="clear" w:color="auto" w:fill="auto"/>
            <w:tcMar>
              <w:top w:w="15" w:type="dxa"/>
              <w:left w:w="15" w:type="dxa"/>
              <w:bottom w:w="0" w:type="dxa"/>
              <w:right w:w="15" w:type="dxa"/>
            </w:tcMar>
          </w:tcPr>
          <w:p>
            <w:pPr>
              <w:rPr>
                <w:rFonts w:ascii="仿宋_GB2312" w:hAnsi="宋体" w:eastAsia="仿宋_GB2312" w:cs="宋体"/>
                <w:color w:val="000000"/>
                <w:sz w:val="18"/>
                <w:szCs w:val="18"/>
              </w:rPr>
            </w:pPr>
            <w:r>
              <w:rPr>
                <w:rFonts w:hint="eastAsia" w:ascii="仿宋_GB2312" w:eastAsia="仿宋_GB2312"/>
                <w:color w:val="000000"/>
                <w:sz w:val="18"/>
                <w:szCs w:val="18"/>
              </w:rPr>
              <w:t>按统一规定执行</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全年开展打击传销宣传活动</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达到指标值得满分，未达标不得分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打击传销组织，防止传销泛滥，切实增强人民群众辨别能力和防范意识</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次</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辖区重大事故发生数量</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达到指标值得满分，未达标不得分</w:t>
            </w:r>
          </w:p>
        </w:tc>
        <w:tc>
          <w:tcPr>
            <w:tcW w:w="1481"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辖区重大事故发生数量</w:t>
            </w:r>
          </w:p>
        </w:tc>
        <w:tc>
          <w:tcPr>
            <w:tcW w:w="382" w:type="pct"/>
            <w:shd w:val="clear" w:color="auto" w:fill="auto"/>
            <w:tcMar>
              <w:top w:w="15" w:type="dxa"/>
              <w:left w:w="15" w:type="dxa"/>
              <w:bottom w:w="0" w:type="dxa"/>
              <w:right w:w="15" w:type="dxa"/>
            </w:tcMar>
            <w:vAlign w:val="center"/>
          </w:tcPr>
          <w:p>
            <w:pPr>
              <w:jc w:val="center"/>
              <w:rPr>
                <w:rFonts w:eastAsia="宋体"/>
                <w:color w:val="000000"/>
                <w:sz w:val="22"/>
                <w:szCs w:val="22"/>
              </w:rPr>
            </w:pPr>
            <w:r>
              <w:rPr>
                <w:color w:val="000000"/>
                <w:sz w:val="22"/>
                <w:szCs w:val="22"/>
              </w:rPr>
              <w:t>=</w:t>
            </w:r>
          </w:p>
        </w:tc>
        <w:tc>
          <w:tcPr>
            <w:tcW w:w="334" w:type="pc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0</w:t>
            </w:r>
          </w:p>
        </w:tc>
        <w:tc>
          <w:tcPr>
            <w:tcW w:w="336" w:type="pc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次</w:t>
            </w:r>
          </w:p>
        </w:tc>
        <w:tc>
          <w:tcPr>
            <w:tcW w:w="550"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知识产权贯标企业数量</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达到指标值得权重分的100%，每降低10%扣减权重分的10%，低于60%不得分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知识产权贯标企业数量</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20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家</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部门计划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生态</w:t>
            </w:r>
          </w:p>
          <w:p>
            <w:pPr>
              <w:jc w:val="center"/>
              <w:rPr>
                <w:rFonts w:ascii="方正书宋_GBK" w:eastAsia="方正书宋_GBK"/>
                <w:color w:val="000000"/>
              </w:rPr>
            </w:pPr>
            <w:r>
              <w:rPr>
                <w:rFonts w:hint="eastAsia" w:ascii="方正书宋_GBK" w:eastAsia="方正书宋_GBK"/>
                <w:color w:val="000000"/>
              </w:rPr>
              <w:t>效益</w:t>
            </w:r>
          </w:p>
        </w:tc>
        <w:tc>
          <w:tcPr>
            <w:tcW w:w="478"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全年抽查市场主体数量</w:t>
            </w:r>
          </w:p>
        </w:tc>
        <w:tc>
          <w:tcPr>
            <w:tcW w:w="908"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达到指标值得满分，未达标不得分</w:t>
            </w:r>
          </w:p>
        </w:tc>
        <w:tc>
          <w:tcPr>
            <w:tcW w:w="1481"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优化完善市场监管治理体系, 通过查处市场主体违反信用监管案件，加大市场监管和规范</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72"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478" w:type="pct"/>
            <w:shd w:val="clear" w:color="auto" w:fill="auto"/>
            <w:tcMar>
              <w:top w:w="15" w:type="dxa"/>
              <w:left w:w="15" w:type="dxa"/>
              <w:bottom w:w="0" w:type="dxa"/>
              <w:right w:w="15" w:type="dxa"/>
            </w:tcMar>
          </w:tcPr>
          <w:p>
            <w:pPr>
              <w:rPr>
                <w:rFonts w:ascii="仿宋_GB2312" w:eastAsia="仿宋_GB2312"/>
                <w:color w:val="000000"/>
                <w:sz w:val="18"/>
                <w:szCs w:val="18"/>
              </w:rPr>
            </w:pPr>
            <w:r>
              <w:rPr>
                <w:rFonts w:hint="eastAsia" w:ascii="仿宋_GB2312" w:eastAsia="仿宋_GB2312"/>
                <w:color w:val="000000"/>
                <w:sz w:val="18"/>
                <w:szCs w:val="18"/>
              </w:rPr>
              <w:t>监督抽查信息公示及时率</w:t>
            </w:r>
          </w:p>
        </w:tc>
        <w:tc>
          <w:tcPr>
            <w:tcW w:w="908" w:type="pct"/>
            <w:shd w:val="clear" w:color="auto" w:fill="auto"/>
            <w:tcMar>
              <w:top w:w="15" w:type="dxa"/>
              <w:left w:w="15" w:type="dxa"/>
              <w:bottom w:w="0" w:type="dxa"/>
              <w:right w:w="15" w:type="dxa"/>
            </w:tcMar>
          </w:tcPr>
          <w:p>
            <w:pPr>
              <w:rPr>
                <w:rFonts w:ascii="仿宋_GB2312" w:eastAsia="仿宋_GB2312"/>
                <w:color w:val="000000"/>
                <w:sz w:val="18"/>
                <w:szCs w:val="18"/>
              </w:rPr>
            </w:pPr>
          </w:p>
        </w:tc>
        <w:tc>
          <w:tcPr>
            <w:tcW w:w="1481" w:type="pct"/>
            <w:shd w:val="clear" w:color="auto" w:fill="auto"/>
            <w:tcMar>
              <w:top w:w="15" w:type="dxa"/>
              <w:left w:w="15" w:type="dxa"/>
              <w:bottom w:w="0" w:type="dxa"/>
              <w:right w:w="15" w:type="dxa"/>
            </w:tcMar>
          </w:tcPr>
          <w:p>
            <w:pPr>
              <w:rPr>
                <w:rFonts w:ascii="仿宋_GB2312" w:hAnsi="宋体" w:eastAsia="仿宋_GB2312" w:cs="宋体"/>
                <w:color w:val="000000"/>
                <w:sz w:val="18"/>
                <w:szCs w:val="18"/>
              </w:rPr>
            </w:pPr>
            <w:r>
              <w:rPr>
                <w:rFonts w:hint="eastAsia" w:ascii="仿宋_GB2312" w:eastAsia="仿宋_GB2312"/>
                <w:color w:val="000000"/>
                <w:sz w:val="18"/>
                <w:szCs w:val="18"/>
              </w:rPr>
              <w:t>监督抽查信息公示时间</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30</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天</w:t>
            </w:r>
          </w:p>
        </w:tc>
        <w:tc>
          <w:tcPr>
            <w:tcW w:w="550"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工作计划流程</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color w:val="000000"/>
              </w:rPr>
            </w:pPr>
          </w:p>
        </w:tc>
        <w:tc>
          <w:tcPr>
            <w:tcW w:w="335" w:type="pc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478" w:type="pct"/>
            <w:shd w:val="clear" w:color="auto" w:fill="auto"/>
            <w:noWrap/>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社会群众满意度</w:t>
            </w:r>
          </w:p>
        </w:tc>
        <w:tc>
          <w:tcPr>
            <w:tcW w:w="908" w:type="pct"/>
            <w:shd w:val="clear" w:color="auto" w:fill="auto"/>
            <w:noWrap/>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达到目标得权重分的100%，每降低5%扣减权重分的10%，低于60%不得分</w:t>
            </w:r>
          </w:p>
        </w:tc>
        <w:tc>
          <w:tcPr>
            <w:tcW w:w="1481" w:type="pct"/>
            <w:shd w:val="clear" w:color="auto" w:fill="auto"/>
            <w:noWrap/>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考察社会群众对市场局相关工作综合满意度</w:t>
            </w:r>
          </w:p>
        </w:tc>
        <w:tc>
          <w:tcPr>
            <w:tcW w:w="382"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95</w:t>
            </w:r>
          </w:p>
        </w:tc>
        <w:tc>
          <w:tcPr>
            <w:tcW w:w="336" w:type="pc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550" w:type="pct"/>
            <w:shd w:val="clear" w:color="auto" w:fill="auto"/>
            <w:tcMar>
              <w:top w:w="15" w:type="dxa"/>
              <w:left w:w="15" w:type="dxa"/>
              <w:bottom w:w="0" w:type="dxa"/>
              <w:right w:w="15" w:type="dxa"/>
            </w:tcMar>
            <w:vAlign w:val="center"/>
          </w:tcPr>
          <w:p>
            <w:pPr>
              <w:rPr>
                <w:rFonts w:ascii="仿宋_GB2312" w:eastAsia="仿宋_GB2312"/>
                <w:color w:val="000000"/>
                <w:sz w:val="18"/>
                <w:szCs w:val="18"/>
              </w:rPr>
            </w:pPr>
            <w:r>
              <w:rPr>
                <w:rFonts w:hint="eastAsia" w:ascii="仿宋_GB2312" w:eastAsia="仿宋_GB2312"/>
                <w:color w:val="000000"/>
                <w:sz w:val="18"/>
                <w:szCs w:val="18"/>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1、抽检抽查经费绩效目标表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1.按计划对辖区内食品相关环节、特殊食品相关环节、药品以及流通领域成品油环节进行抽检。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抽检批次</w:t>
            </w:r>
          </w:p>
        </w:tc>
        <w:tc>
          <w:tcPr>
            <w:tcW w:w="2835" w:type="dxa"/>
            <w:vAlign w:val="center"/>
          </w:tcPr>
          <w:p>
            <w:pPr>
              <w:pStyle w:val="17"/>
            </w:pPr>
            <w:r>
              <w:t>年度抽检批次</w:t>
            </w:r>
          </w:p>
        </w:tc>
        <w:tc>
          <w:tcPr>
            <w:tcW w:w="2551" w:type="dxa"/>
            <w:vAlign w:val="center"/>
          </w:tcPr>
          <w:p>
            <w:pPr>
              <w:pStyle w:val="17"/>
            </w:pPr>
            <w:r>
              <w:t>≥2500批次</w:t>
            </w:r>
          </w:p>
        </w:tc>
        <w:tc>
          <w:tcPr>
            <w:tcW w:w="2268" w:type="dxa"/>
            <w:vAlign w:val="center"/>
          </w:tcPr>
          <w:p>
            <w:pPr>
              <w:pStyle w:val="17"/>
            </w:pPr>
            <w: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不合格产品处置率</w:t>
            </w:r>
          </w:p>
        </w:tc>
        <w:tc>
          <w:tcPr>
            <w:tcW w:w="2835" w:type="dxa"/>
            <w:vAlign w:val="center"/>
          </w:tcPr>
          <w:p>
            <w:pPr>
              <w:pStyle w:val="17"/>
            </w:pPr>
            <w:r>
              <w:t>不合格产品处置率</w:t>
            </w:r>
          </w:p>
        </w:tc>
        <w:tc>
          <w:tcPr>
            <w:tcW w:w="2551" w:type="dxa"/>
            <w:vAlign w:val="center"/>
          </w:tcPr>
          <w:p>
            <w:pPr>
              <w:pStyle w:val="17"/>
            </w:pPr>
            <w:r>
              <w:t>100百分比</w:t>
            </w:r>
          </w:p>
        </w:tc>
        <w:tc>
          <w:tcPr>
            <w:tcW w:w="2268" w:type="dxa"/>
            <w:vAlign w:val="center"/>
          </w:tcPr>
          <w:p>
            <w:pPr>
              <w:pStyle w:val="17"/>
            </w:pPr>
            <w: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项目完成时限</w:t>
            </w:r>
          </w:p>
        </w:tc>
        <w:tc>
          <w:tcPr>
            <w:tcW w:w="2835" w:type="dxa"/>
            <w:vAlign w:val="center"/>
          </w:tcPr>
          <w:p>
            <w:pPr>
              <w:pStyle w:val="17"/>
            </w:pPr>
            <w:r>
              <w:t>项目完成时间</w:t>
            </w:r>
          </w:p>
        </w:tc>
        <w:tc>
          <w:tcPr>
            <w:tcW w:w="2551" w:type="dxa"/>
            <w:vAlign w:val="center"/>
          </w:tcPr>
          <w:p>
            <w:pPr>
              <w:pStyle w:val="17"/>
            </w:pPr>
            <w:r>
              <w:t>≤12个月</w:t>
            </w:r>
          </w:p>
        </w:tc>
        <w:tc>
          <w:tcPr>
            <w:tcW w:w="2268" w:type="dxa"/>
            <w:vAlign w:val="center"/>
          </w:tcPr>
          <w:p>
            <w:pPr>
              <w:pStyle w:val="17"/>
            </w:pPr>
            <w:r>
              <w:t>部门计划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监督抽查费用</w:t>
            </w:r>
          </w:p>
        </w:tc>
        <w:tc>
          <w:tcPr>
            <w:tcW w:w="2835" w:type="dxa"/>
            <w:vAlign w:val="center"/>
          </w:tcPr>
          <w:p>
            <w:pPr>
              <w:pStyle w:val="17"/>
            </w:pPr>
            <w:r>
              <w:t>抽检费用</w:t>
            </w:r>
          </w:p>
        </w:tc>
        <w:tc>
          <w:tcPr>
            <w:tcW w:w="2551" w:type="dxa"/>
            <w:vAlign w:val="center"/>
          </w:tcPr>
          <w:p>
            <w:pPr>
              <w:pStyle w:val="17"/>
            </w:pPr>
            <w:r>
              <w:t>150万元</w:t>
            </w:r>
          </w:p>
        </w:tc>
        <w:tc>
          <w:tcPr>
            <w:tcW w:w="2268" w:type="dxa"/>
            <w:vAlign w:val="center"/>
          </w:tcPr>
          <w:p>
            <w:pPr>
              <w:pStyle w:val="17"/>
            </w:pPr>
            <w:r>
              <w:t>市场询价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抽检不合格立案率</w:t>
            </w:r>
          </w:p>
        </w:tc>
        <w:tc>
          <w:tcPr>
            <w:tcW w:w="2835" w:type="dxa"/>
            <w:vAlign w:val="center"/>
          </w:tcPr>
          <w:p>
            <w:pPr>
              <w:pStyle w:val="17"/>
            </w:pPr>
            <w:r>
              <w:t>抽检不合格立案率</w:t>
            </w:r>
          </w:p>
        </w:tc>
        <w:tc>
          <w:tcPr>
            <w:tcW w:w="2551" w:type="dxa"/>
            <w:vAlign w:val="center"/>
          </w:tcPr>
          <w:p>
            <w:pPr>
              <w:pStyle w:val="17"/>
            </w:pPr>
            <w:r>
              <w:t>100百分比</w:t>
            </w:r>
          </w:p>
        </w:tc>
        <w:tc>
          <w:tcPr>
            <w:tcW w:w="2268" w:type="dxa"/>
            <w:vAlign w:val="center"/>
          </w:tcPr>
          <w:p>
            <w:pPr>
              <w:pStyle w:val="17"/>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不合格处置率</w:t>
            </w:r>
          </w:p>
        </w:tc>
        <w:tc>
          <w:tcPr>
            <w:tcW w:w="2835" w:type="dxa"/>
            <w:vAlign w:val="center"/>
          </w:tcPr>
          <w:p>
            <w:pPr>
              <w:pStyle w:val="17"/>
            </w:pPr>
            <w:r>
              <w:t>不合格处置率</w:t>
            </w:r>
          </w:p>
        </w:tc>
        <w:tc>
          <w:tcPr>
            <w:tcW w:w="2551" w:type="dxa"/>
            <w:vAlign w:val="center"/>
          </w:tcPr>
          <w:p>
            <w:pPr>
              <w:pStyle w:val="17"/>
            </w:pPr>
            <w:r>
              <w:t>100百分比</w:t>
            </w:r>
          </w:p>
        </w:tc>
        <w:tc>
          <w:tcPr>
            <w:tcW w:w="2268" w:type="dxa"/>
            <w:vAlign w:val="center"/>
          </w:tcPr>
          <w:p>
            <w:pPr>
              <w:pStyle w:val="17"/>
            </w:pPr>
            <w:r>
              <w:t>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w:t>
            </w:r>
          </w:p>
        </w:tc>
        <w:tc>
          <w:tcPr>
            <w:tcW w:w="2551" w:type="dxa"/>
            <w:vAlign w:val="center"/>
          </w:tcPr>
          <w:p>
            <w:pPr>
              <w:pStyle w:val="17"/>
            </w:pPr>
            <w:r>
              <w:t>≥95百分比</w:t>
            </w:r>
          </w:p>
        </w:tc>
        <w:tc>
          <w:tcPr>
            <w:tcW w:w="2268" w:type="dxa"/>
            <w:vAlign w:val="center"/>
          </w:tcPr>
          <w:p>
            <w:pPr>
              <w:pStyle w:val="17"/>
            </w:pPr>
            <w:r>
              <w:t>调查走访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2、市场监管专项补助经费[省级]绩效目标表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1.持续推进商事制度改革力度，优化营商环境，促进市场主体健康发展。开展专项整治行动，净化市场环境。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市场专项整治行动次数</w:t>
            </w:r>
          </w:p>
        </w:tc>
        <w:tc>
          <w:tcPr>
            <w:tcW w:w="2835" w:type="dxa"/>
            <w:vAlign w:val="center"/>
          </w:tcPr>
          <w:p>
            <w:pPr>
              <w:pStyle w:val="17"/>
            </w:pPr>
            <w:r>
              <w:t>市场专项整治行动次数</w:t>
            </w:r>
          </w:p>
        </w:tc>
        <w:tc>
          <w:tcPr>
            <w:tcW w:w="2551" w:type="dxa"/>
            <w:vAlign w:val="center"/>
          </w:tcPr>
          <w:p>
            <w:pPr>
              <w:pStyle w:val="17"/>
            </w:pPr>
            <w:r>
              <w:t>≥5次</w:t>
            </w:r>
          </w:p>
        </w:tc>
        <w:tc>
          <w:tcPr>
            <w:tcW w:w="2268" w:type="dxa"/>
            <w:vAlign w:val="center"/>
          </w:tcPr>
          <w:p>
            <w:pPr>
              <w:pStyle w:val="17"/>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监管执法计划完成率</w:t>
            </w:r>
          </w:p>
        </w:tc>
        <w:tc>
          <w:tcPr>
            <w:tcW w:w="2835" w:type="dxa"/>
            <w:vAlign w:val="center"/>
          </w:tcPr>
          <w:p>
            <w:pPr>
              <w:pStyle w:val="17"/>
            </w:pPr>
            <w:r>
              <w:t>监管执法计划完成数量占总计划数量的比例</w:t>
            </w:r>
          </w:p>
        </w:tc>
        <w:tc>
          <w:tcPr>
            <w:tcW w:w="2551" w:type="dxa"/>
            <w:vAlign w:val="center"/>
          </w:tcPr>
          <w:p>
            <w:pPr>
              <w:pStyle w:val="17"/>
            </w:pPr>
            <w:r>
              <w:t>≥90%</w:t>
            </w:r>
          </w:p>
        </w:tc>
        <w:tc>
          <w:tcPr>
            <w:tcW w:w="2268" w:type="dxa"/>
            <w:vAlign w:val="center"/>
          </w:tcPr>
          <w:p>
            <w:pPr>
              <w:pStyle w:val="17"/>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工作计划完成及时性</w:t>
            </w:r>
          </w:p>
        </w:tc>
        <w:tc>
          <w:tcPr>
            <w:tcW w:w="2551" w:type="dxa"/>
            <w:vAlign w:val="center"/>
          </w:tcPr>
          <w:p>
            <w:pPr>
              <w:pStyle w:val="17"/>
            </w:pPr>
            <w:r>
              <w:t>按照工作计划时间节点完成</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项目成本</w:t>
            </w:r>
          </w:p>
        </w:tc>
        <w:tc>
          <w:tcPr>
            <w:tcW w:w="2551" w:type="dxa"/>
            <w:vAlign w:val="center"/>
          </w:tcPr>
          <w:p>
            <w:pPr>
              <w:pStyle w:val="17"/>
            </w:pPr>
            <w:r>
              <w:t>14万元</w:t>
            </w:r>
          </w:p>
        </w:tc>
        <w:tc>
          <w:tcPr>
            <w:tcW w:w="2268" w:type="dxa"/>
            <w:vAlign w:val="center"/>
          </w:tcPr>
          <w:p>
            <w:pPr>
              <w:pStyle w:val="17"/>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重大案件发生次数</w:t>
            </w:r>
          </w:p>
        </w:tc>
        <w:tc>
          <w:tcPr>
            <w:tcW w:w="2835" w:type="dxa"/>
            <w:vAlign w:val="center"/>
          </w:tcPr>
          <w:p>
            <w:pPr>
              <w:pStyle w:val="17"/>
            </w:pPr>
            <w:r>
              <w:t>重大案件发生次数</w:t>
            </w:r>
          </w:p>
        </w:tc>
        <w:tc>
          <w:tcPr>
            <w:tcW w:w="2551" w:type="dxa"/>
            <w:vAlign w:val="center"/>
          </w:tcPr>
          <w:p>
            <w:pPr>
              <w:pStyle w:val="17"/>
            </w:pPr>
            <w:r>
              <w:t>&lt;1次</w:t>
            </w:r>
          </w:p>
        </w:tc>
        <w:tc>
          <w:tcPr>
            <w:tcW w:w="2268" w:type="dxa"/>
            <w:vAlign w:val="center"/>
          </w:tcPr>
          <w:p>
            <w:pPr>
              <w:pStyle w:val="17"/>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万台特种设备死亡率</w:t>
            </w:r>
          </w:p>
        </w:tc>
        <w:tc>
          <w:tcPr>
            <w:tcW w:w="2835" w:type="dxa"/>
            <w:vAlign w:val="center"/>
          </w:tcPr>
          <w:p>
            <w:pPr>
              <w:pStyle w:val="17"/>
            </w:pPr>
            <w:r>
              <w:t>万台特种设备死亡人数</w:t>
            </w:r>
          </w:p>
        </w:tc>
        <w:tc>
          <w:tcPr>
            <w:tcW w:w="2551" w:type="dxa"/>
            <w:vAlign w:val="center"/>
          </w:tcPr>
          <w:p>
            <w:pPr>
              <w:pStyle w:val="17"/>
            </w:pPr>
            <w:r>
              <w:t>&lt;0.36人/万台</w:t>
            </w:r>
          </w:p>
        </w:tc>
        <w:tc>
          <w:tcPr>
            <w:tcW w:w="2268" w:type="dxa"/>
            <w:vAlign w:val="center"/>
          </w:tcPr>
          <w:p>
            <w:pPr>
              <w:pStyle w:val="17"/>
            </w:pPr>
            <w:r>
              <w:t>廊财行【2021】26号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社会反馈意见对市场监管工作满意度</w:t>
            </w:r>
          </w:p>
        </w:tc>
        <w:tc>
          <w:tcPr>
            <w:tcW w:w="2835" w:type="dxa"/>
            <w:vAlign w:val="center"/>
          </w:tcPr>
          <w:p>
            <w:pPr>
              <w:pStyle w:val="17"/>
            </w:pPr>
            <w:r>
              <w:t>社会反馈意见对市场监管工作满意度</w:t>
            </w:r>
          </w:p>
        </w:tc>
        <w:tc>
          <w:tcPr>
            <w:tcW w:w="2551" w:type="dxa"/>
            <w:vAlign w:val="center"/>
          </w:tcPr>
          <w:p>
            <w:pPr>
              <w:pStyle w:val="17"/>
            </w:pPr>
            <w:r>
              <w:t>≥85%</w:t>
            </w:r>
          </w:p>
        </w:tc>
        <w:tc>
          <w:tcPr>
            <w:tcW w:w="2268" w:type="dxa"/>
            <w:vAlign w:val="center"/>
          </w:tcPr>
          <w:p>
            <w:pPr>
              <w:pStyle w:val="17"/>
            </w:pPr>
            <w:r>
              <w:t>廊财行【2021】26号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3、市场建工商分流人员经费绩效目标表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1.保障退休人员非统筹工资福利待遇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14人</w:t>
            </w:r>
          </w:p>
        </w:tc>
        <w:tc>
          <w:tcPr>
            <w:tcW w:w="2268" w:type="dxa"/>
            <w:vAlign w:val="center"/>
          </w:tcPr>
          <w:p>
            <w:pPr>
              <w:pStyle w:val="17"/>
            </w:pPr>
            <w: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发放人员范围的精准性和发放数据的准确性</w:t>
            </w:r>
          </w:p>
        </w:tc>
        <w:tc>
          <w:tcPr>
            <w:tcW w:w="2835" w:type="dxa"/>
            <w:vAlign w:val="center"/>
          </w:tcPr>
          <w:p>
            <w:pPr>
              <w:pStyle w:val="17"/>
            </w:pPr>
            <w:r>
              <w:t>发放人员范围的精准性和发放数据的准确性</w:t>
            </w:r>
          </w:p>
        </w:tc>
        <w:tc>
          <w:tcPr>
            <w:tcW w:w="2551" w:type="dxa"/>
            <w:vAlign w:val="center"/>
          </w:tcPr>
          <w:p>
            <w:pPr>
              <w:pStyle w:val="17"/>
            </w:pPr>
            <w:r>
              <w:t>100%</w:t>
            </w:r>
          </w:p>
        </w:tc>
        <w:tc>
          <w:tcPr>
            <w:tcW w:w="2268" w:type="dxa"/>
            <w:vAlign w:val="center"/>
          </w:tcPr>
          <w:p>
            <w:pPr>
              <w:pStyle w:val="17"/>
            </w:pPr>
            <w:r>
              <w:t>发放人员范围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发放标准</w:t>
            </w:r>
          </w:p>
        </w:tc>
        <w:tc>
          <w:tcPr>
            <w:tcW w:w="2835" w:type="dxa"/>
            <w:vAlign w:val="center"/>
          </w:tcPr>
          <w:p>
            <w:pPr>
              <w:pStyle w:val="17"/>
            </w:pPr>
            <w:r>
              <w:t>实际非统筹发放标准</w:t>
            </w:r>
          </w:p>
        </w:tc>
        <w:tc>
          <w:tcPr>
            <w:tcW w:w="2551" w:type="dxa"/>
            <w:vAlign w:val="center"/>
          </w:tcPr>
          <w:p>
            <w:pPr>
              <w:pStyle w:val="17"/>
            </w:pPr>
            <w:r>
              <w:t>全部按规定发放</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工资福利发放</w:t>
            </w:r>
          </w:p>
        </w:tc>
        <w:tc>
          <w:tcPr>
            <w:tcW w:w="2835" w:type="dxa"/>
            <w:vAlign w:val="center"/>
          </w:tcPr>
          <w:p>
            <w:pPr>
              <w:pStyle w:val="17"/>
            </w:pPr>
            <w:r>
              <w:t>退休非统筹发放</w:t>
            </w:r>
          </w:p>
        </w:tc>
        <w:tc>
          <w:tcPr>
            <w:tcW w:w="2551" w:type="dxa"/>
            <w:vAlign w:val="center"/>
          </w:tcPr>
          <w:p>
            <w:pPr>
              <w:pStyle w:val="17"/>
            </w:pPr>
            <w:r>
              <w:t>全部按规定发放</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工作落实率</w:t>
            </w:r>
          </w:p>
        </w:tc>
        <w:tc>
          <w:tcPr>
            <w:tcW w:w="2835" w:type="dxa"/>
            <w:vAlign w:val="center"/>
          </w:tcPr>
          <w:p>
            <w:pPr>
              <w:pStyle w:val="17"/>
            </w:pPr>
            <w:r>
              <w:t>工作落实情况占工作总量的比例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保障职工合法权益</w:t>
            </w:r>
          </w:p>
        </w:tc>
        <w:tc>
          <w:tcPr>
            <w:tcW w:w="2835" w:type="dxa"/>
            <w:vAlign w:val="center"/>
          </w:tcPr>
          <w:p>
            <w:pPr>
              <w:pStyle w:val="17"/>
            </w:pPr>
            <w:r>
              <w:t>保障职工合法权益</w:t>
            </w:r>
          </w:p>
        </w:tc>
        <w:tc>
          <w:tcPr>
            <w:tcW w:w="2551" w:type="dxa"/>
            <w:vAlign w:val="center"/>
          </w:tcPr>
          <w:p>
            <w:pPr>
              <w:pStyle w:val="17"/>
            </w:pPr>
            <w:r>
              <w:t>长期保障</w:t>
            </w:r>
          </w:p>
        </w:tc>
        <w:tc>
          <w:tcPr>
            <w:tcW w:w="2268" w:type="dxa"/>
            <w:vAlign w:val="center"/>
          </w:tcPr>
          <w:p>
            <w:pPr>
              <w:pStyle w:val="17"/>
            </w:pPr>
            <w:r>
              <w:t>非统筹补助发放标准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单位人员满意度</w:t>
            </w:r>
          </w:p>
        </w:tc>
        <w:tc>
          <w:tcPr>
            <w:tcW w:w="2835" w:type="dxa"/>
            <w:vAlign w:val="center"/>
          </w:tcPr>
          <w:p>
            <w:pPr>
              <w:pStyle w:val="17"/>
            </w:pPr>
            <w:r>
              <w:t>单位人员对工资福利等发放工作的满意程度</w:t>
            </w:r>
          </w:p>
        </w:tc>
        <w:tc>
          <w:tcPr>
            <w:tcW w:w="2551" w:type="dxa"/>
            <w:vAlign w:val="center"/>
          </w:tcPr>
          <w:p>
            <w:pPr>
              <w:pStyle w:val="17"/>
            </w:pPr>
            <w:r>
              <w:t>≥95%</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4、质量强区建设及产品质量监管经费绩效目标表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1.开展质量提升培训和质量安全监督检查。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监督抽查批次</w:t>
            </w:r>
          </w:p>
        </w:tc>
        <w:tc>
          <w:tcPr>
            <w:tcW w:w="2835" w:type="dxa"/>
            <w:vAlign w:val="center"/>
          </w:tcPr>
          <w:p>
            <w:pPr>
              <w:pStyle w:val="17"/>
            </w:pPr>
            <w:r>
              <w:t>对抽查企业进行监督抽检次数</w:t>
            </w:r>
          </w:p>
        </w:tc>
        <w:tc>
          <w:tcPr>
            <w:tcW w:w="2551" w:type="dxa"/>
            <w:vAlign w:val="center"/>
          </w:tcPr>
          <w:p>
            <w:pPr>
              <w:pStyle w:val="17"/>
            </w:pPr>
            <w:r>
              <w:t>≥100批次</w:t>
            </w:r>
          </w:p>
        </w:tc>
        <w:tc>
          <w:tcPr>
            <w:tcW w:w="2268" w:type="dxa"/>
            <w:vAlign w:val="center"/>
          </w:tcPr>
          <w:p>
            <w:pPr>
              <w:pStyle w:val="17"/>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不合格产品处理率</w:t>
            </w:r>
          </w:p>
        </w:tc>
        <w:tc>
          <w:tcPr>
            <w:tcW w:w="2835" w:type="dxa"/>
            <w:vAlign w:val="center"/>
          </w:tcPr>
          <w:p>
            <w:pPr>
              <w:pStyle w:val="17"/>
            </w:pPr>
            <w:r>
              <w:t>对抽检不合格产品处理的比率</w:t>
            </w:r>
          </w:p>
        </w:tc>
        <w:tc>
          <w:tcPr>
            <w:tcW w:w="2551" w:type="dxa"/>
            <w:vAlign w:val="center"/>
          </w:tcPr>
          <w:p>
            <w:pPr>
              <w:pStyle w:val="17"/>
            </w:pPr>
            <w:r>
              <w:t>100%</w:t>
            </w:r>
          </w:p>
        </w:tc>
        <w:tc>
          <w:tcPr>
            <w:tcW w:w="2268" w:type="dxa"/>
            <w:vAlign w:val="center"/>
          </w:tcPr>
          <w:p>
            <w:pPr>
              <w:pStyle w:val="17"/>
            </w:pPr>
            <w:r>
              <w:t>法律法规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信息公示及时率</w:t>
            </w:r>
          </w:p>
        </w:tc>
        <w:tc>
          <w:tcPr>
            <w:tcW w:w="2835" w:type="dxa"/>
            <w:vAlign w:val="center"/>
          </w:tcPr>
          <w:p>
            <w:pPr>
              <w:pStyle w:val="17"/>
            </w:pPr>
            <w:r>
              <w:t>监督抽查信息公示时间</w:t>
            </w:r>
          </w:p>
        </w:tc>
        <w:tc>
          <w:tcPr>
            <w:tcW w:w="2551" w:type="dxa"/>
            <w:vAlign w:val="center"/>
          </w:tcPr>
          <w:p>
            <w:pPr>
              <w:pStyle w:val="17"/>
            </w:pPr>
            <w:r>
              <w:t>≤30天</w:t>
            </w:r>
          </w:p>
        </w:tc>
        <w:tc>
          <w:tcPr>
            <w:tcW w:w="2268" w:type="dxa"/>
            <w:vAlign w:val="center"/>
          </w:tcPr>
          <w:p>
            <w:pPr>
              <w:pStyle w:val="17"/>
            </w:pPr>
            <w:r>
              <w:t>工作计划流程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项目总成本</w:t>
            </w:r>
          </w:p>
        </w:tc>
        <w:tc>
          <w:tcPr>
            <w:tcW w:w="2835" w:type="dxa"/>
            <w:vAlign w:val="center"/>
          </w:tcPr>
          <w:p>
            <w:pPr>
              <w:pStyle w:val="17"/>
            </w:pPr>
            <w:r>
              <w:t>项目总成本</w:t>
            </w:r>
          </w:p>
        </w:tc>
        <w:tc>
          <w:tcPr>
            <w:tcW w:w="2551" w:type="dxa"/>
            <w:vAlign w:val="center"/>
          </w:tcPr>
          <w:p>
            <w:pPr>
              <w:pStyle w:val="17"/>
            </w:pPr>
            <w:r>
              <w:t>30万元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质量发展提升</w:t>
            </w:r>
          </w:p>
        </w:tc>
        <w:tc>
          <w:tcPr>
            <w:tcW w:w="2835" w:type="dxa"/>
            <w:vAlign w:val="center"/>
          </w:tcPr>
          <w:p>
            <w:pPr>
              <w:pStyle w:val="17"/>
            </w:pPr>
            <w:r>
              <w:t>质量发展提升</w:t>
            </w:r>
          </w:p>
        </w:tc>
        <w:tc>
          <w:tcPr>
            <w:tcW w:w="2551" w:type="dxa"/>
            <w:vAlign w:val="center"/>
          </w:tcPr>
          <w:p>
            <w:pPr>
              <w:pStyle w:val="17"/>
            </w:pPr>
            <w:r>
              <w:t>得到提升</w:t>
            </w:r>
          </w:p>
        </w:tc>
        <w:tc>
          <w:tcPr>
            <w:tcW w:w="2268" w:type="dxa"/>
            <w:vAlign w:val="center"/>
          </w:tcPr>
          <w:p>
            <w:pPr>
              <w:pStyle w:val="17"/>
            </w:pPr>
            <w:r>
              <w:t>质量考核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质量监管能力和水平</w:t>
            </w:r>
          </w:p>
        </w:tc>
        <w:tc>
          <w:tcPr>
            <w:tcW w:w="2835" w:type="dxa"/>
            <w:vAlign w:val="center"/>
          </w:tcPr>
          <w:p>
            <w:pPr>
              <w:pStyle w:val="17"/>
            </w:pPr>
            <w:r>
              <w:t>质量监管能力和水平</w:t>
            </w:r>
          </w:p>
        </w:tc>
        <w:tc>
          <w:tcPr>
            <w:tcW w:w="2551" w:type="dxa"/>
            <w:vAlign w:val="center"/>
          </w:tcPr>
          <w:p>
            <w:pPr>
              <w:pStyle w:val="17"/>
            </w:pPr>
            <w:r>
              <w:t>逐步提高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5、周捷、韩景悦工伤后续治疗经费绩效目标表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1.保障周捷韩景悦工伤后续治疗，保障职工权益。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享受人数</w:t>
            </w:r>
          </w:p>
        </w:tc>
        <w:tc>
          <w:tcPr>
            <w:tcW w:w="2835" w:type="dxa"/>
            <w:vAlign w:val="center"/>
          </w:tcPr>
          <w:p>
            <w:pPr>
              <w:pStyle w:val="17"/>
            </w:pPr>
            <w:r>
              <w:t>实际享受工伤后续治疗人数</w:t>
            </w:r>
          </w:p>
        </w:tc>
        <w:tc>
          <w:tcPr>
            <w:tcW w:w="2551" w:type="dxa"/>
            <w:vAlign w:val="center"/>
          </w:tcPr>
          <w:p>
            <w:pPr>
              <w:pStyle w:val="17"/>
            </w:pPr>
            <w:r>
              <w:t>2人</w:t>
            </w:r>
          </w:p>
        </w:tc>
        <w:tc>
          <w:tcPr>
            <w:tcW w:w="2268" w:type="dxa"/>
            <w:vAlign w:val="center"/>
          </w:tcPr>
          <w:p>
            <w:pPr>
              <w:pStyle w:val="17"/>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医药费报销合格性</w:t>
            </w:r>
          </w:p>
        </w:tc>
        <w:tc>
          <w:tcPr>
            <w:tcW w:w="2835" w:type="dxa"/>
            <w:vAlign w:val="center"/>
          </w:tcPr>
          <w:p>
            <w:pPr>
              <w:pStyle w:val="17"/>
            </w:pPr>
            <w:r>
              <w:t>医药费报销符合财务制度</w:t>
            </w:r>
          </w:p>
        </w:tc>
        <w:tc>
          <w:tcPr>
            <w:tcW w:w="2551" w:type="dxa"/>
            <w:vAlign w:val="center"/>
          </w:tcPr>
          <w:p>
            <w:pPr>
              <w:pStyle w:val="17"/>
            </w:pPr>
            <w:r>
              <w:t>符合财务报销制度</w:t>
            </w:r>
          </w:p>
        </w:tc>
        <w:tc>
          <w:tcPr>
            <w:tcW w:w="2268" w:type="dxa"/>
            <w:vAlign w:val="center"/>
          </w:tcPr>
          <w:p>
            <w:pPr>
              <w:pStyle w:val="17"/>
            </w:pPr>
            <w:r>
              <w:t>财务制度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医药费报销及时性</w:t>
            </w:r>
          </w:p>
        </w:tc>
        <w:tc>
          <w:tcPr>
            <w:tcW w:w="2835" w:type="dxa"/>
            <w:vAlign w:val="center"/>
          </w:tcPr>
          <w:p>
            <w:pPr>
              <w:pStyle w:val="17"/>
            </w:pPr>
            <w:r>
              <w:t>医药费报销时间</w:t>
            </w:r>
          </w:p>
        </w:tc>
        <w:tc>
          <w:tcPr>
            <w:tcW w:w="2551" w:type="dxa"/>
            <w:vAlign w:val="center"/>
          </w:tcPr>
          <w:p>
            <w:pPr>
              <w:pStyle w:val="17"/>
            </w:pPr>
            <w:r>
              <w:t>实际发生医药费按季度报销</w:t>
            </w:r>
          </w:p>
        </w:tc>
        <w:tc>
          <w:tcPr>
            <w:tcW w:w="2268" w:type="dxa"/>
            <w:vAlign w:val="center"/>
          </w:tcPr>
          <w:p>
            <w:pPr>
              <w:pStyle w:val="17"/>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职工享受金额</w:t>
            </w:r>
          </w:p>
        </w:tc>
        <w:tc>
          <w:tcPr>
            <w:tcW w:w="2835" w:type="dxa"/>
            <w:vAlign w:val="center"/>
          </w:tcPr>
          <w:p>
            <w:pPr>
              <w:pStyle w:val="17"/>
            </w:pPr>
            <w:r>
              <w:t>每人每年享受数额</w:t>
            </w:r>
          </w:p>
        </w:tc>
        <w:tc>
          <w:tcPr>
            <w:tcW w:w="2551" w:type="dxa"/>
            <w:vAlign w:val="center"/>
          </w:tcPr>
          <w:p>
            <w:pPr>
              <w:pStyle w:val="17"/>
            </w:pPr>
            <w:r>
              <w:t>≤3万元</w:t>
            </w:r>
          </w:p>
        </w:tc>
        <w:tc>
          <w:tcPr>
            <w:tcW w:w="2268" w:type="dxa"/>
            <w:vAlign w:val="center"/>
          </w:tcPr>
          <w:p>
            <w:pPr>
              <w:pStyle w:val="17"/>
            </w:pPr>
            <w:r>
              <w:t>年度测算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工作落实率</w:t>
            </w:r>
          </w:p>
        </w:tc>
        <w:tc>
          <w:tcPr>
            <w:tcW w:w="2835" w:type="dxa"/>
            <w:vAlign w:val="center"/>
          </w:tcPr>
          <w:p>
            <w:pPr>
              <w:pStyle w:val="17"/>
            </w:pPr>
            <w:r>
              <w:t>工作落实情况占工作总量的比例</w:t>
            </w:r>
          </w:p>
        </w:tc>
        <w:tc>
          <w:tcPr>
            <w:tcW w:w="2551" w:type="dxa"/>
            <w:vAlign w:val="center"/>
          </w:tcPr>
          <w:p>
            <w:pPr>
              <w:pStyle w:val="17"/>
            </w:pPr>
            <w:r>
              <w:t>100%</w:t>
            </w:r>
          </w:p>
        </w:tc>
        <w:tc>
          <w:tcPr>
            <w:tcW w:w="2268" w:type="dxa"/>
            <w:vAlign w:val="center"/>
          </w:tcPr>
          <w:p>
            <w:pPr>
              <w:pStyle w:val="17"/>
            </w:pPr>
            <w: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保障职工合法权益</w:t>
            </w:r>
          </w:p>
        </w:tc>
        <w:tc>
          <w:tcPr>
            <w:tcW w:w="2835" w:type="dxa"/>
            <w:vAlign w:val="center"/>
          </w:tcPr>
          <w:p>
            <w:pPr>
              <w:pStyle w:val="17"/>
            </w:pPr>
            <w:r>
              <w:t>保障职工合法权益</w:t>
            </w:r>
          </w:p>
        </w:tc>
        <w:tc>
          <w:tcPr>
            <w:tcW w:w="2551" w:type="dxa"/>
            <w:vAlign w:val="center"/>
          </w:tcPr>
          <w:p>
            <w:pPr>
              <w:pStyle w:val="17"/>
            </w:pPr>
            <w:r>
              <w:t>长期保障</w:t>
            </w:r>
          </w:p>
        </w:tc>
        <w:tc>
          <w:tcPr>
            <w:tcW w:w="2268" w:type="dxa"/>
            <w:vAlign w:val="center"/>
          </w:tcPr>
          <w:p>
            <w:pPr>
              <w:pStyle w:val="17"/>
            </w:pPr>
            <w:r>
              <w:t>工伤保险条例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工伤治疗费</w:t>
            </w:r>
          </w:p>
        </w:tc>
        <w:tc>
          <w:tcPr>
            <w:tcW w:w="2835" w:type="dxa"/>
            <w:vAlign w:val="center"/>
          </w:tcPr>
          <w:p>
            <w:pPr>
              <w:pStyle w:val="17"/>
            </w:pPr>
            <w:r>
              <w:t>工伤后续治疗费</w:t>
            </w:r>
          </w:p>
        </w:tc>
        <w:tc>
          <w:tcPr>
            <w:tcW w:w="2551" w:type="dxa"/>
            <w:vAlign w:val="center"/>
          </w:tcPr>
          <w:p>
            <w:pPr>
              <w:pStyle w:val="17"/>
            </w:pPr>
            <w:r>
              <w:t>医药费</w:t>
            </w:r>
          </w:p>
        </w:tc>
        <w:tc>
          <w:tcPr>
            <w:tcW w:w="2268" w:type="dxa"/>
            <w:vAlign w:val="center"/>
          </w:tcPr>
          <w:p>
            <w:pPr>
              <w:pStyle w:val="17"/>
            </w:pPr>
            <w:r>
              <w:t>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享受待遇对象满意度</w:t>
            </w:r>
          </w:p>
        </w:tc>
        <w:tc>
          <w:tcPr>
            <w:tcW w:w="2835" w:type="dxa"/>
            <w:vAlign w:val="center"/>
          </w:tcPr>
          <w:p>
            <w:pPr>
              <w:pStyle w:val="17"/>
            </w:pPr>
            <w:r>
              <w:t>满意人员占享受人员的比例</w:t>
            </w:r>
          </w:p>
        </w:tc>
        <w:tc>
          <w:tcPr>
            <w:tcW w:w="2551" w:type="dxa"/>
            <w:vAlign w:val="center"/>
          </w:tcPr>
          <w:p>
            <w:pPr>
              <w:pStyle w:val="17"/>
            </w:pPr>
            <w:r>
              <w:t>≥95%</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2023年，廊坊市广阳区市场监督管理局安排政府采购预算150.00万元。具体内容见下表。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150.00</w:t>
            </w:r>
          </w:p>
        </w:tc>
        <w:tc>
          <w:tcPr>
            <w:tcW w:w="964" w:type="dxa"/>
            <w:vAlign w:val="center"/>
          </w:tcPr>
          <w:p>
            <w:pPr>
              <w:pStyle w:val="20"/>
            </w:pPr>
            <w:r>
              <w:t>150.00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廊坊市广阳区市场监督管理局本级小计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150.00</w:t>
            </w:r>
          </w:p>
        </w:tc>
        <w:tc>
          <w:tcPr>
            <w:tcW w:w="964" w:type="dxa"/>
            <w:vAlign w:val="center"/>
          </w:tcPr>
          <w:p>
            <w:pPr>
              <w:pStyle w:val="20"/>
            </w:pPr>
            <w:r>
              <w:t>150.00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抽检抽查经费</w:t>
            </w:r>
          </w:p>
        </w:tc>
        <w:tc>
          <w:tcPr>
            <w:tcW w:w="964" w:type="dxa"/>
            <w:vAlign w:val="center"/>
          </w:tcPr>
          <w:p>
            <w:pPr>
              <w:pStyle w:val="16"/>
            </w:pPr>
            <w:r>
              <w:t>150.00</w:t>
            </w:r>
          </w:p>
        </w:tc>
        <w:tc>
          <w:tcPr>
            <w:tcW w:w="1134" w:type="dxa"/>
            <w:vAlign w:val="center"/>
          </w:tcPr>
          <w:p>
            <w:pPr>
              <w:pStyle w:val="17"/>
            </w:pPr>
            <w:r>
              <w:t>技术测试和分析服务</w:t>
            </w:r>
          </w:p>
        </w:tc>
        <w:tc>
          <w:tcPr>
            <w:tcW w:w="1134" w:type="dxa"/>
            <w:vAlign w:val="center"/>
          </w:tcPr>
          <w:p>
            <w:pPr>
              <w:pStyle w:val="17"/>
            </w:pPr>
            <w:r>
              <w:t>C19010000</w:t>
            </w:r>
          </w:p>
        </w:tc>
        <w:tc>
          <w:tcPr>
            <w:tcW w:w="709" w:type="dxa"/>
            <w:vAlign w:val="center"/>
          </w:tcPr>
          <w:p>
            <w:pPr>
              <w:pStyle w:val="18"/>
            </w:pPr>
            <w:r>
              <w:t>批</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廊坊市广阳区市场监督管理局（含所属单位）上年末固定资产金额为1286.77万元（详见下表）。本年度拟购置固定资产总额为7.00万元，已按要求列入政府采购预算，详见政府采购预算表。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240廊坊市广阳区市场监督管理局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1286.77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5993.68</w:t>
            </w:r>
          </w:p>
        </w:tc>
        <w:tc>
          <w:tcPr>
            <w:tcW w:w="2835" w:type="dxa"/>
            <w:vAlign w:val="center"/>
          </w:tcPr>
          <w:p>
            <w:pPr>
              <w:pStyle w:val="16"/>
            </w:pPr>
            <w:r>
              <w:t>337.10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5748.45</w:t>
            </w:r>
          </w:p>
        </w:tc>
        <w:tc>
          <w:tcPr>
            <w:tcW w:w="2835" w:type="dxa"/>
            <w:vAlign w:val="center"/>
          </w:tcPr>
          <w:p>
            <w:pPr>
              <w:pStyle w:val="16"/>
            </w:pPr>
            <w:r>
              <w:t>316.45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23</w:t>
            </w:r>
          </w:p>
        </w:tc>
        <w:tc>
          <w:tcPr>
            <w:tcW w:w="2835" w:type="dxa"/>
            <w:vAlign w:val="center"/>
          </w:tcPr>
          <w:p>
            <w:pPr>
              <w:pStyle w:val="16"/>
            </w:pPr>
            <w:r>
              <w:t>371.88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1257</w:t>
            </w:r>
          </w:p>
        </w:tc>
        <w:tc>
          <w:tcPr>
            <w:tcW w:w="2835" w:type="dxa"/>
            <w:vAlign w:val="center"/>
          </w:tcPr>
          <w:p>
            <w:pPr>
              <w:pStyle w:val="16"/>
            </w:pPr>
            <w:r>
              <w:t>577.79</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F63FD"/>
    <w:rsid w:val="001F63FD"/>
    <w:rsid w:val="00480BF5"/>
    <w:rsid w:val="005D621E"/>
    <w:rsid w:val="00624F1A"/>
    <w:rsid w:val="00902061"/>
    <w:rsid w:val="00A02C0A"/>
    <w:rsid w:val="00E06953"/>
    <w:rsid w:val="00EF6AAC"/>
    <w:rsid w:val="019E7FF6"/>
    <w:rsid w:val="596F5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uiPriority w:val="99"/>
    <w:pPr>
      <w:tabs>
        <w:tab w:val="center" w:pos="4153"/>
        <w:tab w:val="right" w:pos="8306"/>
      </w:tabs>
      <w:snapToGrid w:val="0"/>
    </w:pPr>
    <w:rPr>
      <w:sz w:val="18"/>
      <w:szCs w:val="18"/>
    </w:rPr>
  </w:style>
  <w:style w:type="paragraph" w:styleId="4">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uiPriority w:val="0"/>
    <w:rPr>
      <w:rFonts w:hint="eastAsia" w:ascii="仿宋_GB2312" w:eastAsia="仿宋_GB2312"/>
      <w:color w:val="000000"/>
      <w:sz w:val="18"/>
      <w:szCs w:val="18"/>
      <w:u w:val="none"/>
    </w:rPr>
  </w:style>
  <w:style w:type="character" w:customStyle="1" w:styleId="35">
    <w:name w:val="font41"/>
    <w:basedOn w:val="10"/>
    <w:uiPriority w:val="0"/>
    <w:rPr>
      <w:rFonts w:hint="eastAsia" w:ascii="仿宋_GB2312" w:eastAsia="仿宋_GB2312"/>
      <w:color w:val="000000"/>
      <w:sz w:val="18"/>
      <w:szCs w:val="18"/>
      <w:u w:val="none"/>
    </w:rPr>
  </w:style>
  <w:style w:type="character" w:customStyle="1" w:styleId="36">
    <w:name w:val="页眉 Char"/>
    <w:basedOn w:val="10"/>
    <w:link w:val="4"/>
    <w:uiPriority w:val="99"/>
    <w:rPr>
      <w:rFonts w:eastAsia="Times New Roman"/>
      <w:sz w:val="18"/>
      <w:szCs w:val="18"/>
      <w:lang w:eastAsia="uk-UA"/>
    </w:rPr>
  </w:style>
  <w:style w:type="character" w:customStyle="1" w:styleId="37">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2023-03-13T11:04:25Z</dcterms:created>
  <dcterms:modified xsi:type="dcterms:W3CDTF">2023-03-13T03:04:25Z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2023-03-13T11:04:25Z</dcterms:created>
  <dcterms:modified xsi:type="dcterms:W3CDTF">2023-03-13T03:04:25Z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2023-03-13T11:04:21Z</dcterms:created>
  <dcterms:modified xsi:type="dcterms:W3CDTF">2023-03-13T03:04:21Z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AE2D6E6-C792-4E27-A3C0-19806B75476F}">
  <ds:schemaRefs/>
</ds:datastoreItem>
</file>

<file path=customXml/itemProps10.xml><?xml version="1.0" encoding="utf-8"?>
<ds:datastoreItem xmlns:ds="http://schemas.openxmlformats.org/officeDocument/2006/customXml" ds:itemID="{28856D22-C00F-427C-8504-04B8B3E34496}">
  <ds:schemaRefs/>
</ds:datastoreItem>
</file>

<file path=customXml/itemProps11.xml><?xml version="1.0" encoding="utf-8"?>
<ds:datastoreItem xmlns:ds="http://schemas.openxmlformats.org/officeDocument/2006/customXml" ds:itemID="{48FEE2D3-FCAA-41F4-B6EF-D2BBE5AC4C3F}">
  <ds:schemaRefs/>
</ds:datastoreItem>
</file>

<file path=customXml/itemProps12.xml><?xml version="1.0" encoding="utf-8"?>
<ds:datastoreItem xmlns:ds="http://schemas.openxmlformats.org/officeDocument/2006/customXml" ds:itemID="{BA9F7C78-E73E-47E9-A1E2-E28D6B24BAE3}">
  <ds:schemaRefs/>
</ds:datastoreItem>
</file>

<file path=customXml/itemProps13.xml><?xml version="1.0" encoding="utf-8"?>
<ds:datastoreItem xmlns:ds="http://schemas.openxmlformats.org/officeDocument/2006/customXml" ds:itemID="{3275A5D4-0279-4D68-B6A5-1CAB791D332A}">
  <ds:schemaRefs/>
</ds:datastoreItem>
</file>

<file path=customXml/itemProps14.xml><?xml version="1.0" encoding="utf-8"?>
<ds:datastoreItem xmlns:ds="http://schemas.openxmlformats.org/officeDocument/2006/customXml" ds:itemID="{BE98BF12-1AA4-4B31-84EF-516D28355C45}">
  <ds:schemaRefs/>
</ds:datastoreItem>
</file>

<file path=customXml/itemProps15.xml><?xml version="1.0" encoding="utf-8"?>
<ds:datastoreItem xmlns:ds="http://schemas.openxmlformats.org/officeDocument/2006/customXml" ds:itemID="{2505152E-C14D-4543-9A29-4AE2E8AA7EAF}">
  <ds:schemaRefs/>
</ds:datastoreItem>
</file>

<file path=customXml/itemProps16.xml><?xml version="1.0" encoding="utf-8"?>
<ds:datastoreItem xmlns:ds="http://schemas.openxmlformats.org/officeDocument/2006/customXml" ds:itemID="{716A77B9-08AF-4B10-9047-4FE8CB573873}">
  <ds:schemaRefs/>
</ds:datastoreItem>
</file>

<file path=customXml/itemProps17.xml><?xml version="1.0" encoding="utf-8"?>
<ds:datastoreItem xmlns:ds="http://schemas.openxmlformats.org/officeDocument/2006/customXml" ds:itemID="{5167890F-D2E3-43A0-A539-41192D3D3838}">
  <ds:schemaRefs/>
</ds:datastoreItem>
</file>

<file path=customXml/itemProps18.xml><?xml version="1.0" encoding="utf-8"?>
<ds:datastoreItem xmlns:ds="http://schemas.openxmlformats.org/officeDocument/2006/customXml" ds:itemID="{F46D566A-12D1-4860-83A3-E543DF4DF1D9}">
  <ds:schemaRefs/>
</ds:datastoreItem>
</file>

<file path=customXml/itemProps19.xml><?xml version="1.0" encoding="utf-8"?>
<ds:datastoreItem xmlns:ds="http://schemas.openxmlformats.org/officeDocument/2006/customXml" ds:itemID="{33E29E2A-CABD-470B-9955-124A1A6E7F26}">
  <ds:schemaRefs/>
</ds:datastoreItem>
</file>

<file path=customXml/itemProps2.xml><?xml version="1.0" encoding="utf-8"?>
<ds:datastoreItem xmlns:ds="http://schemas.openxmlformats.org/officeDocument/2006/customXml" ds:itemID="{FFC20507-AA7C-4280-AC76-1D64094BD6CA}">
  <ds:schemaRefs/>
</ds:datastoreItem>
</file>

<file path=customXml/itemProps20.xml><?xml version="1.0" encoding="utf-8"?>
<ds:datastoreItem xmlns:ds="http://schemas.openxmlformats.org/officeDocument/2006/customXml" ds:itemID="{A0A8CF0A-A849-470D-B9C4-54B35976BF8A}">
  <ds:schemaRefs/>
</ds:datastoreItem>
</file>

<file path=customXml/itemProps21.xml><?xml version="1.0" encoding="utf-8"?>
<ds:datastoreItem xmlns:ds="http://schemas.openxmlformats.org/officeDocument/2006/customXml" ds:itemID="{C9BA729D-2784-443E-8CE8-84CCD584388F}">
  <ds:schemaRefs/>
</ds:datastoreItem>
</file>

<file path=customXml/itemProps22.xml><?xml version="1.0" encoding="utf-8"?>
<ds:datastoreItem xmlns:ds="http://schemas.openxmlformats.org/officeDocument/2006/customXml" ds:itemID="{9F5AE4AB-4D47-4927-A8DC-EB85005BEC9D}">
  <ds:schemaRefs/>
</ds:datastoreItem>
</file>

<file path=customXml/itemProps23.xml><?xml version="1.0" encoding="utf-8"?>
<ds:datastoreItem xmlns:ds="http://schemas.openxmlformats.org/officeDocument/2006/customXml" ds:itemID="{676724AF-4136-40AB-80D9-BA2B0BA8B049}">
  <ds:schemaRefs/>
</ds:datastoreItem>
</file>

<file path=customXml/itemProps24.xml><?xml version="1.0" encoding="utf-8"?>
<ds:datastoreItem xmlns:ds="http://schemas.openxmlformats.org/officeDocument/2006/customXml" ds:itemID="{73F9E109-0EE5-4A76-9E3F-DB7759E46F84}">
  <ds:schemaRefs/>
</ds:datastoreItem>
</file>

<file path=customXml/itemProps25.xml><?xml version="1.0" encoding="utf-8"?>
<ds:datastoreItem xmlns:ds="http://schemas.openxmlformats.org/officeDocument/2006/customXml" ds:itemID="{3AC09D4B-A5B4-4B14-82AF-61BBDF4601FF}">
  <ds:schemaRefs/>
</ds:datastoreItem>
</file>

<file path=customXml/itemProps26.xml><?xml version="1.0" encoding="utf-8"?>
<ds:datastoreItem xmlns:ds="http://schemas.openxmlformats.org/officeDocument/2006/customXml" ds:itemID="{A59C3B1E-89DA-43A3-95B7-795AC2F8BFC3}">
  <ds:schemaRefs/>
</ds:datastoreItem>
</file>

<file path=customXml/itemProps27.xml><?xml version="1.0" encoding="utf-8"?>
<ds:datastoreItem xmlns:ds="http://schemas.openxmlformats.org/officeDocument/2006/customXml" ds:itemID="{1D2255DA-8260-4E4B-9E02-54B8082C2119}">
  <ds:schemaRefs/>
</ds:datastoreItem>
</file>

<file path=customXml/itemProps28.xml><?xml version="1.0" encoding="utf-8"?>
<ds:datastoreItem xmlns:ds="http://schemas.openxmlformats.org/officeDocument/2006/customXml" ds:itemID="{B1774084-AF88-4941-911F-4C784F986004}">
  <ds:schemaRefs/>
</ds:datastoreItem>
</file>

<file path=customXml/itemProps29.xml><?xml version="1.0" encoding="utf-8"?>
<ds:datastoreItem xmlns:ds="http://schemas.openxmlformats.org/officeDocument/2006/customXml" ds:itemID="{0F876431-6AA7-4084-9CF5-F6A9CF937A5E}">
  <ds:schemaRefs/>
</ds:datastoreItem>
</file>

<file path=customXml/itemProps3.xml><?xml version="1.0" encoding="utf-8"?>
<ds:datastoreItem xmlns:ds="http://schemas.openxmlformats.org/officeDocument/2006/customXml" ds:itemID="{2A116A36-F729-4F18-8C83-51FA5158A4CE}">
  <ds:schemaRefs/>
</ds:datastoreItem>
</file>

<file path=customXml/itemProps30.xml><?xml version="1.0" encoding="utf-8"?>
<ds:datastoreItem xmlns:ds="http://schemas.openxmlformats.org/officeDocument/2006/customXml" ds:itemID="{CCDFE430-4EF2-45BE-9FF5-557CACD0D9AA}">
  <ds:schemaRefs/>
</ds:datastoreItem>
</file>

<file path=customXml/itemProps4.xml><?xml version="1.0" encoding="utf-8"?>
<ds:datastoreItem xmlns:ds="http://schemas.openxmlformats.org/officeDocument/2006/customXml" ds:itemID="{485178A7-2587-451F-B5BA-8CA3013192EB}">
  <ds:schemaRefs/>
</ds:datastoreItem>
</file>

<file path=customXml/itemProps5.xml><?xml version="1.0" encoding="utf-8"?>
<ds:datastoreItem xmlns:ds="http://schemas.openxmlformats.org/officeDocument/2006/customXml" ds:itemID="{00FF14AA-CEAF-4D12-AE08-CF216464465F}">
  <ds:schemaRefs/>
</ds:datastoreItem>
</file>

<file path=customXml/itemProps6.xml><?xml version="1.0" encoding="utf-8"?>
<ds:datastoreItem xmlns:ds="http://schemas.openxmlformats.org/officeDocument/2006/customXml" ds:itemID="{C31551C2-AF9A-4D33-8FCC-E8FE6B16F8F2}">
  <ds:schemaRefs/>
</ds:datastoreItem>
</file>

<file path=customXml/itemProps7.xml><?xml version="1.0" encoding="utf-8"?>
<ds:datastoreItem xmlns:ds="http://schemas.openxmlformats.org/officeDocument/2006/customXml" ds:itemID="{53B13EDD-2E1D-47E8-B746-E98420EBD021}">
  <ds:schemaRefs/>
</ds:datastoreItem>
</file>

<file path=customXml/itemProps8.xml><?xml version="1.0" encoding="utf-8"?>
<ds:datastoreItem xmlns:ds="http://schemas.openxmlformats.org/officeDocument/2006/customXml" ds:itemID="{9103FA7F-EDB2-4477-B130-DA61AD4C346C}">
  <ds:schemaRefs/>
</ds:datastoreItem>
</file>

<file path=customXml/itemProps9.xml><?xml version="1.0" encoding="utf-8"?>
<ds:datastoreItem xmlns:ds="http://schemas.openxmlformats.org/officeDocument/2006/customXml" ds:itemID="{D76DDDDF-37E1-4CB6-9D88-67E1307C4D1F}">
  <ds:schemaRefs/>
</ds:datastoreItem>
</file>

<file path=docProps/app.xml><?xml version="1.0" encoding="utf-8"?>
<Properties xmlns="http://schemas.openxmlformats.org/officeDocument/2006/extended-properties" xmlns:vt="http://schemas.openxmlformats.org/officeDocument/2006/docPropsVTypes">
  <Template>Normal</Template>
  <Pages>37</Pages>
  <Words>2720</Words>
  <Characters>15508</Characters>
  <Lines>129</Lines>
  <Paragraphs>36</Paragraphs>
  <TotalTime>5</TotalTime>
  <ScaleCrop>false</ScaleCrop>
  <LinksUpToDate>false</LinksUpToDate>
  <CharactersWithSpaces>18192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111</dc:creator>
  <cp:lastModifiedBy>Administrator</cp:lastModifiedBy>
  <dcterms:modified xsi:type="dcterms:W3CDTF">2024-01-10T09:10:44Z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8774D1DA1CF149CE8CD1992B1089BD35</vt:lpwstr>
  </property>
</Properties>
</file>