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32</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1956.08</w:t>
            </w:r>
          </w:p>
        </w:tc>
        <w:tc>
          <w:tcPr>
            <w:tcW w:w="4535" w:type="dxa"/>
            <w:vAlign w:val="center"/>
          </w:tcPr>
          <w:p>
            <w:pPr>
              <w:pStyle w:val="17"/>
            </w:pPr>
            <w:r>
              <w:t>一、一般公共服务支出</w:t>
            </w:r>
          </w:p>
        </w:tc>
        <w:tc>
          <w:tcPr>
            <w:tcW w:w="2126" w:type="dxa"/>
            <w:vAlign w:val="center"/>
          </w:tcPr>
          <w:p>
            <w:pPr>
              <w:pStyle w:val="16"/>
            </w:pPr>
            <w:r>
              <w:t>1544.33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244.36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1956.08</w:t>
            </w:r>
          </w:p>
        </w:tc>
        <w:tc>
          <w:tcPr>
            <w:tcW w:w="4535" w:type="dxa"/>
            <w:vAlign w:val="center"/>
          </w:tcPr>
          <w:p>
            <w:pPr>
              <w:pStyle w:val="19"/>
            </w:pPr>
            <w:r>
              <w:t>本年支出合计</w:t>
            </w:r>
          </w:p>
        </w:tc>
        <w:tc>
          <w:tcPr>
            <w:tcW w:w="2126" w:type="dxa"/>
            <w:vAlign w:val="center"/>
          </w:tcPr>
          <w:p>
            <w:pPr>
              <w:pStyle w:val="20"/>
            </w:pPr>
            <w:r>
              <w:t>1956.08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1956.08</w:t>
            </w:r>
          </w:p>
        </w:tc>
        <w:tc>
          <w:tcPr>
            <w:tcW w:w="4535" w:type="dxa"/>
            <w:vAlign w:val="center"/>
          </w:tcPr>
          <w:p>
            <w:pPr>
              <w:pStyle w:val="19"/>
            </w:pPr>
            <w:r>
              <w:t>支出总计</w:t>
            </w:r>
          </w:p>
        </w:tc>
        <w:tc>
          <w:tcPr>
            <w:tcW w:w="2126" w:type="dxa"/>
            <w:vAlign w:val="center"/>
          </w:tcPr>
          <w:p>
            <w:pPr>
              <w:pStyle w:val="20"/>
            </w:pPr>
            <w:r>
              <w:t>1956.08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1956.08</w:t>
            </w:r>
          </w:p>
        </w:tc>
        <w:tc>
          <w:tcPr>
            <w:tcW w:w="1134" w:type="dxa"/>
            <w:vAlign w:val="center"/>
          </w:tcPr>
          <w:p>
            <w:pPr>
              <w:pStyle w:val="20"/>
            </w:pPr>
            <w:r>
              <w:t>1956.08</w:t>
            </w:r>
          </w:p>
        </w:tc>
        <w:tc>
          <w:tcPr>
            <w:tcW w:w="1134" w:type="dxa"/>
            <w:vAlign w:val="center"/>
          </w:tcPr>
          <w:p>
            <w:pPr>
              <w:pStyle w:val="20"/>
            </w:pPr>
            <w:r>
              <w:t>1956.08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2011101</w:t>
            </w:r>
          </w:p>
        </w:tc>
        <w:tc>
          <w:tcPr>
            <w:tcW w:w="1559" w:type="dxa"/>
            <w:vAlign w:val="center"/>
          </w:tcPr>
          <w:p>
            <w:pPr>
              <w:pStyle w:val="17"/>
            </w:pPr>
            <w:r>
              <w:t>行政运行</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r>
              <w:t>1544.33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244.36</w:t>
            </w:r>
          </w:p>
        </w:tc>
        <w:tc>
          <w:tcPr>
            <w:tcW w:w="1134" w:type="dxa"/>
            <w:vAlign w:val="center"/>
          </w:tcPr>
          <w:p>
            <w:pPr>
              <w:pStyle w:val="16"/>
            </w:pPr>
            <w:r>
              <w:t>244.36</w:t>
            </w:r>
          </w:p>
        </w:tc>
        <w:tc>
          <w:tcPr>
            <w:tcW w:w="1134" w:type="dxa"/>
            <w:vAlign w:val="center"/>
          </w:tcPr>
          <w:p>
            <w:pPr>
              <w:pStyle w:val="16"/>
            </w:pPr>
            <w:r>
              <w:t>244.36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244.36</w:t>
            </w:r>
          </w:p>
        </w:tc>
        <w:tc>
          <w:tcPr>
            <w:tcW w:w="1134" w:type="dxa"/>
            <w:vAlign w:val="center"/>
          </w:tcPr>
          <w:p>
            <w:pPr>
              <w:pStyle w:val="16"/>
            </w:pPr>
            <w:r>
              <w:t>244.36</w:t>
            </w:r>
          </w:p>
        </w:tc>
        <w:tc>
          <w:tcPr>
            <w:tcW w:w="1134" w:type="dxa"/>
            <w:vAlign w:val="center"/>
          </w:tcPr>
          <w:p>
            <w:pPr>
              <w:pStyle w:val="16"/>
            </w:pPr>
            <w:r>
              <w:t>244.36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96.89</w:t>
            </w:r>
          </w:p>
        </w:tc>
        <w:tc>
          <w:tcPr>
            <w:tcW w:w="1134" w:type="dxa"/>
            <w:vAlign w:val="center"/>
          </w:tcPr>
          <w:p>
            <w:pPr>
              <w:pStyle w:val="16"/>
            </w:pPr>
            <w:r>
              <w:t>96.89</w:t>
            </w:r>
          </w:p>
        </w:tc>
        <w:tc>
          <w:tcPr>
            <w:tcW w:w="1134" w:type="dxa"/>
            <w:vAlign w:val="center"/>
          </w:tcPr>
          <w:p>
            <w:pPr>
              <w:pStyle w:val="16"/>
            </w:pPr>
            <w:r>
              <w:t>96.89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147.47</w:t>
            </w:r>
          </w:p>
        </w:tc>
        <w:tc>
          <w:tcPr>
            <w:tcW w:w="1134" w:type="dxa"/>
            <w:vAlign w:val="center"/>
          </w:tcPr>
          <w:p>
            <w:pPr>
              <w:pStyle w:val="16"/>
            </w:pPr>
            <w:r>
              <w:t>147.47</w:t>
            </w:r>
          </w:p>
        </w:tc>
        <w:tc>
          <w:tcPr>
            <w:tcW w:w="1134" w:type="dxa"/>
            <w:vAlign w:val="center"/>
          </w:tcPr>
          <w:p>
            <w:pPr>
              <w:pStyle w:val="16"/>
            </w:pPr>
            <w:r>
              <w:t>147.47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r>
              <w:t>45.73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r>
              <w:t>121.67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1956.08</w:t>
            </w:r>
          </w:p>
        </w:tc>
        <w:tc>
          <w:tcPr>
            <w:tcW w:w="1361" w:type="dxa"/>
            <w:vAlign w:val="center"/>
          </w:tcPr>
          <w:p>
            <w:pPr>
              <w:pStyle w:val="20"/>
            </w:pPr>
            <w:r>
              <w:t>1956.08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1544.33</w:t>
            </w:r>
          </w:p>
        </w:tc>
        <w:tc>
          <w:tcPr>
            <w:tcW w:w="1361" w:type="dxa"/>
            <w:vAlign w:val="center"/>
          </w:tcPr>
          <w:p>
            <w:pPr>
              <w:pStyle w:val="16"/>
            </w:pPr>
            <w:r>
              <w:t>1544.33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5" w:type="dxa"/>
            <w:vAlign w:val="center"/>
          </w:tcPr>
          <w:p>
            <w:pPr>
              <w:pStyle w:val="17"/>
            </w:pPr>
            <w:r>
              <w:t>纪检监察事务</w:t>
            </w:r>
          </w:p>
        </w:tc>
        <w:tc>
          <w:tcPr>
            <w:tcW w:w="1361" w:type="dxa"/>
            <w:vAlign w:val="center"/>
          </w:tcPr>
          <w:p>
            <w:pPr>
              <w:pStyle w:val="16"/>
            </w:pPr>
            <w:r>
              <w:t>1544.33</w:t>
            </w:r>
          </w:p>
        </w:tc>
        <w:tc>
          <w:tcPr>
            <w:tcW w:w="1361" w:type="dxa"/>
            <w:vAlign w:val="center"/>
          </w:tcPr>
          <w:p>
            <w:pPr>
              <w:pStyle w:val="16"/>
            </w:pPr>
            <w:r>
              <w:t>1544.33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2011101</w:t>
            </w:r>
          </w:p>
        </w:tc>
        <w:tc>
          <w:tcPr>
            <w:tcW w:w="4535" w:type="dxa"/>
            <w:vAlign w:val="center"/>
          </w:tcPr>
          <w:p>
            <w:pPr>
              <w:pStyle w:val="17"/>
            </w:pPr>
            <w:r>
              <w:t>行政运行</w:t>
            </w:r>
          </w:p>
        </w:tc>
        <w:tc>
          <w:tcPr>
            <w:tcW w:w="1361" w:type="dxa"/>
            <w:vAlign w:val="center"/>
          </w:tcPr>
          <w:p>
            <w:pPr>
              <w:pStyle w:val="16"/>
            </w:pPr>
            <w:r>
              <w:t>1544.33</w:t>
            </w:r>
          </w:p>
        </w:tc>
        <w:tc>
          <w:tcPr>
            <w:tcW w:w="1361" w:type="dxa"/>
            <w:vAlign w:val="center"/>
          </w:tcPr>
          <w:p>
            <w:pPr>
              <w:pStyle w:val="16"/>
            </w:pPr>
            <w:r>
              <w:t>1544.33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244.36</w:t>
            </w:r>
          </w:p>
        </w:tc>
        <w:tc>
          <w:tcPr>
            <w:tcW w:w="1361" w:type="dxa"/>
            <w:vAlign w:val="center"/>
          </w:tcPr>
          <w:p>
            <w:pPr>
              <w:pStyle w:val="16"/>
            </w:pPr>
            <w:r>
              <w:t>244.36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244.36</w:t>
            </w:r>
          </w:p>
        </w:tc>
        <w:tc>
          <w:tcPr>
            <w:tcW w:w="1361" w:type="dxa"/>
            <w:vAlign w:val="center"/>
          </w:tcPr>
          <w:p>
            <w:pPr>
              <w:pStyle w:val="16"/>
            </w:pPr>
            <w:r>
              <w:t>244.36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96.89</w:t>
            </w:r>
          </w:p>
        </w:tc>
        <w:tc>
          <w:tcPr>
            <w:tcW w:w="1361" w:type="dxa"/>
            <w:vAlign w:val="center"/>
          </w:tcPr>
          <w:p>
            <w:pPr>
              <w:pStyle w:val="16"/>
            </w:pPr>
            <w:r>
              <w:t>96.89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147.47</w:t>
            </w:r>
          </w:p>
        </w:tc>
        <w:tc>
          <w:tcPr>
            <w:tcW w:w="1361" w:type="dxa"/>
            <w:vAlign w:val="center"/>
          </w:tcPr>
          <w:p>
            <w:pPr>
              <w:pStyle w:val="16"/>
            </w:pPr>
            <w:r>
              <w:t>147.47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45.73</w:t>
            </w:r>
          </w:p>
        </w:tc>
        <w:tc>
          <w:tcPr>
            <w:tcW w:w="1361" w:type="dxa"/>
            <w:vAlign w:val="center"/>
          </w:tcPr>
          <w:p>
            <w:pPr>
              <w:pStyle w:val="16"/>
            </w:pPr>
            <w:r>
              <w:t>45.73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45.73</w:t>
            </w:r>
          </w:p>
        </w:tc>
        <w:tc>
          <w:tcPr>
            <w:tcW w:w="1361" w:type="dxa"/>
            <w:vAlign w:val="center"/>
          </w:tcPr>
          <w:p>
            <w:pPr>
              <w:pStyle w:val="16"/>
            </w:pPr>
            <w:r>
              <w:t>45.73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45.73</w:t>
            </w:r>
          </w:p>
        </w:tc>
        <w:tc>
          <w:tcPr>
            <w:tcW w:w="1361" w:type="dxa"/>
            <w:vAlign w:val="center"/>
          </w:tcPr>
          <w:p>
            <w:pPr>
              <w:pStyle w:val="16"/>
            </w:pPr>
            <w:r>
              <w:t>45.73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121.67</w:t>
            </w:r>
          </w:p>
        </w:tc>
        <w:tc>
          <w:tcPr>
            <w:tcW w:w="1361" w:type="dxa"/>
            <w:vAlign w:val="center"/>
          </w:tcPr>
          <w:p>
            <w:pPr>
              <w:pStyle w:val="16"/>
            </w:pPr>
            <w:r>
              <w:t>121.67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121.67</w:t>
            </w:r>
          </w:p>
        </w:tc>
        <w:tc>
          <w:tcPr>
            <w:tcW w:w="1361" w:type="dxa"/>
            <w:vAlign w:val="center"/>
          </w:tcPr>
          <w:p>
            <w:pPr>
              <w:pStyle w:val="16"/>
            </w:pPr>
            <w:r>
              <w:t>121.67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121.67</w:t>
            </w:r>
          </w:p>
        </w:tc>
        <w:tc>
          <w:tcPr>
            <w:tcW w:w="1361" w:type="dxa"/>
            <w:vAlign w:val="center"/>
          </w:tcPr>
          <w:p>
            <w:pPr>
              <w:pStyle w:val="16"/>
            </w:pPr>
            <w:r>
              <w:t>121.67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1956.08</w:t>
            </w:r>
          </w:p>
        </w:tc>
        <w:tc>
          <w:tcPr>
            <w:tcW w:w="3402" w:type="dxa"/>
            <w:vAlign w:val="center"/>
          </w:tcPr>
          <w:p>
            <w:pPr>
              <w:pStyle w:val="17"/>
            </w:pPr>
            <w:r>
              <w:t>一、一般公共服务支出</w:t>
            </w:r>
          </w:p>
        </w:tc>
        <w:tc>
          <w:tcPr>
            <w:tcW w:w="1474" w:type="dxa"/>
            <w:vAlign w:val="center"/>
          </w:tcPr>
          <w:p>
            <w:pPr>
              <w:pStyle w:val="16"/>
            </w:pPr>
            <w:r>
              <w:t>1544.33</w:t>
            </w:r>
          </w:p>
        </w:tc>
        <w:tc>
          <w:tcPr>
            <w:tcW w:w="1474" w:type="dxa"/>
            <w:vAlign w:val="center"/>
          </w:tcPr>
          <w:p>
            <w:pPr>
              <w:pStyle w:val="16"/>
            </w:pPr>
            <w:r>
              <w:t>1544.33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244.36</w:t>
            </w:r>
          </w:p>
        </w:tc>
        <w:tc>
          <w:tcPr>
            <w:tcW w:w="1474" w:type="dxa"/>
            <w:vAlign w:val="center"/>
          </w:tcPr>
          <w:p>
            <w:pPr>
              <w:pStyle w:val="16"/>
            </w:pPr>
            <w:r>
              <w:t>244.36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45.73</w:t>
            </w:r>
          </w:p>
        </w:tc>
        <w:tc>
          <w:tcPr>
            <w:tcW w:w="1474" w:type="dxa"/>
            <w:vAlign w:val="center"/>
          </w:tcPr>
          <w:p>
            <w:pPr>
              <w:pStyle w:val="16"/>
            </w:pPr>
            <w:r>
              <w:t>45.73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121.67</w:t>
            </w:r>
          </w:p>
        </w:tc>
        <w:tc>
          <w:tcPr>
            <w:tcW w:w="1474" w:type="dxa"/>
            <w:vAlign w:val="center"/>
          </w:tcPr>
          <w:p>
            <w:pPr>
              <w:pStyle w:val="16"/>
            </w:pPr>
            <w:r>
              <w:t>121.67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1956.08</w:t>
            </w:r>
          </w:p>
        </w:tc>
        <w:tc>
          <w:tcPr>
            <w:tcW w:w="3402" w:type="dxa"/>
            <w:vAlign w:val="center"/>
          </w:tcPr>
          <w:p>
            <w:pPr>
              <w:pStyle w:val="19"/>
            </w:pPr>
            <w:r>
              <w:t>本年支出合计</w:t>
            </w:r>
          </w:p>
        </w:tc>
        <w:tc>
          <w:tcPr>
            <w:tcW w:w="1474" w:type="dxa"/>
            <w:vAlign w:val="center"/>
          </w:tcPr>
          <w:p>
            <w:pPr>
              <w:pStyle w:val="20"/>
            </w:pPr>
            <w:r>
              <w:t>1956.08</w:t>
            </w:r>
          </w:p>
        </w:tc>
        <w:tc>
          <w:tcPr>
            <w:tcW w:w="1474" w:type="dxa"/>
            <w:vAlign w:val="center"/>
          </w:tcPr>
          <w:p>
            <w:pPr>
              <w:pStyle w:val="20"/>
            </w:pPr>
            <w:r>
              <w:t>1956.08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1956.08</w:t>
            </w:r>
          </w:p>
        </w:tc>
        <w:tc>
          <w:tcPr>
            <w:tcW w:w="3402" w:type="dxa"/>
            <w:vAlign w:val="center"/>
          </w:tcPr>
          <w:p>
            <w:pPr>
              <w:pStyle w:val="19"/>
            </w:pPr>
            <w:r>
              <w:t>支出总计</w:t>
            </w:r>
          </w:p>
        </w:tc>
        <w:tc>
          <w:tcPr>
            <w:tcW w:w="1474" w:type="dxa"/>
            <w:vAlign w:val="center"/>
          </w:tcPr>
          <w:p>
            <w:pPr>
              <w:pStyle w:val="20"/>
            </w:pPr>
            <w:r>
              <w:t>1956.08</w:t>
            </w:r>
          </w:p>
        </w:tc>
        <w:tc>
          <w:tcPr>
            <w:tcW w:w="1474" w:type="dxa"/>
            <w:vAlign w:val="center"/>
          </w:tcPr>
          <w:p>
            <w:pPr>
              <w:pStyle w:val="20"/>
            </w:pPr>
            <w:r>
              <w:t>1956.08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1956.08</w:t>
            </w:r>
          </w:p>
        </w:tc>
        <w:tc>
          <w:tcPr>
            <w:tcW w:w="2551" w:type="dxa"/>
            <w:vAlign w:val="center"/>
          </w:tcPr>
          <w:p>
            <w:pPr>
              <w:pStyle w:val="20"/>
            </w:pPr>
            <w:r>
              <w:t>1956.08</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1544.33</w:t>
            </w:r>
          </w:p>
        </w:tc>
        <w:tc>
          <w:tcPr>
            <w:tcW w:w="2551" w:type="dxa"/>
            <w:vAlign w:val="center"/>
          </w:tcPr>
          <w:p>
            <w:pPr>
              <w:pStyle w:val="16"/>
            </w:pPr>
            <w:r>
              <w:t>1544.33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1544.33</w:t>
            </w:r>
          </w:p>
        </w:tc>
        <w:tc>
          <w:tcPr>
            <w:tcW w:w="2551" w:type="dxa"/>
            <w:vAlign w:val="center"/>
          </w:tcPr>
          <w:p>
            <w:pPr>
              <w:pStyle w:val="16"/>
            </w:pPr>
            <w:r>
              <w:t>1544.33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2011101</w:t>
            </w:r>
          </w:p>
        </w:tc>
        <w:tc>
          <w:tcPr>
            <w:tcW w:w="4535" w:type="dxa"/>
            <w:vAlign w:val="center"/>
          </w:tcPr>
          <w:p>
            <w:pPr>
              <w:pStyle w:val="17"/>
            </w:pPr>
            <w:r>
              <w:t>行政运行</w:t>
            </w:r>
          </w:p>
        </w:tc>
        <w:tc>
          <w:tcPr>
            <w:tcW w:w="2551" w:type="dxa"/>
            <w:vAlign w:val="center"/>
          </w:tcPr>
          <w:p>
            <w:pPr>
              <w:pStyle w:val="16"/>
            </w:pPr>
            <w:r>
              <w:t>1544.33</w:t>
            </w:r>
          </w:p>
        </w:tc>
        <w:tc>
          <w:tcPr>
            <w:tcW w:w="2551" w:type="dxa"/>
            <w:vAlign w:val="center"/>
          </w:tcPr>
          <w:p>
            <w:pPr>
              <w:pStyle w:val="16"/>
            </w:pPr>
            <w:r>
              <w:t>1544.33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244.36</w:t>
            </w:r>
          </w:p>
        </w:tc>
        <w:tc>
          <w:tcPr>
            <w:tcW w:w="2551" w:type="dxa"/>
            <w:vAlign w:val="center"/>
          </w:tcPr>
          <w:p>
            <w:pPr>
              <w:pStyle w:val="16"/>
            </w:pPr>
            <w:r>
              <w:t>244.36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244.36</w:t>
            </w:r>
          </w:p>
        </w:tc>
        <w:tc>
          <w:tcPr>
            <w:tcW w:w="2551" w:type="dxa"/>
            <w:vAlign w:val="center"/>
          </w:tcPr>
          <w:p>
            <w:pPr>
              <w:pStyle w:val="16"/>
            </w:pPr>
            <w:r>
              <w:t>244.36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96.89</w:t>
            </w:r>
          </w:p>
        </w:tc>
        <w:tc>
          <w:tcPr>
            <w:tcW w:w="2551" w:type="dxa"/>
            <w:vAlign w:val="center"/>
          </w:tcPr>
          <w:p>
            <w:pPr>
              <w:pStyle w:val="16"/>
            </w:pPr>
            <w:r>
              <w:t>96.89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147.47</w:t>
            </w:r>
          </w:p>
        </w:tc>
        <w:tc>
          <w:tcPr>
            <w:tcW w:w="2551" w:type="dxa"/>
            <w:vAlign w:val="center"/>
          </w:tcPr>
          <w:p>
            <w:pPr>
              <w:pStyle w:val="16"/>
            </w:pPr>
            <w:r>
              <w:t>147.47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45.73</w:t>
            </w:r>
          </w:p>
        </w:tc>
        <w:tc>
          <w:tcPr>
            <w:tcW w:w="2551" w:type="dxa"/>
            <w:vAlign w:val="center"/>
          </w:tcPr>
          <w:p>
            <w:pPr>
              <w:pStyle w:val="16"/>
            </w:pPr>
            <w:r>
              <w:t>45.73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45.73</w:t>
            </w:r>
          </w:p>
        </w:tc>
        <w:tc>
          <w:tcPr>
            <w:tcW w:w="2551" w:type="dxa"/>
            <w:vAlign w:val="center"/>
          </w:tcPr>
          <w:p>
            <w:pPr>
              <w:pStyle w:val="16"/>
            </w:pPr>
            <w:r>
              <w:t>45.73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45.73</w:t>
            </w:r>
          </w:p>
        </w:tc>
        <w:tc>
          <w:tcPr>
            <w:tcW w:w="2551" w:type="dxa"/>
            <w:vAlign w:val="center"/>
          </w:tcPr>
          <w:p>
            <w:pPr>
              <w:pStyle w:val="16"/>
            </w:pPr>
            <w:r>
              <w:t>45.73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121.67</w:t>
            </w:r>
          </w:p>
        </w:tc>
        <w:tc>
          <w:tcPr>
            <w:tcW w:w="2551" w:type="dxa"/>
            <w:vAlign w:val="center"/>
          </w:tcPr>
          <w:p>
            <w:pPr>
              <w:pStyle w:val="16"/>
            </w:pPr>
            <w:r>
              <w:t>121.67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121.67</w:t>
            </w:r>
          </w:p>
        </w:tc>
        <w:tc>
          <w:tcPr>
            <w:tcW w:w="2551" w:type="dxa"/>
            <w:vAlign w:val="center"/>
          </w:tcPr>
          <w:p>
            <w:pPr>
              <w:pStyle w:val="16"/>
            </w:pPr>
            <w:r>
              <w:t>121.67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121.67</w:t>
            </w:r>
          </w:p>
        </w:tc>
        <w:tc>
          <w:tcPr>
            <w:tcW w:w="2551" w:type="dxa"/>
            <w:vAlign w:val="center"/>
          </w:tcPr>
          <w:p>
            <w:pPr>
              <w:pStyle w:val="16"/>
            </w:pPr>
            <w:r>
              <w:t>121.67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1956.08</w:t>
            </w:r>
          </w:p>
        </w:tc>
        <w:tc>
          <w:tcPr>
            <w:tcW w:w="2551" w:type="dxa"/>
            <w:vAlign w:val="center"/>
          </w:tcPr>
          <w:p>
            <w:pPr>
              <w:pStyle w:val="20"/>
            </w:pPr>
            <w:r>
              <w:t>1675.40</w:t>
            </w:r>
          </w:p>
        </w:tc>
        <w:tc>
          <w:tcPr>
            <w:tcW w:w="2551" w:type="dxa"/>
            <w:vAlign w:val="center"/>
          </w:tcPr>
          <w:p>
            <w:pPr>
              <w:pStyle w:val="20"/>
            </w:pPr>
            <w:r>
              <w:t>280.68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1577.46</w:t>
            </w:r>
          </w:p>
        </w:tc>
        <w:tc>
          <w:tcPr>
            <w:tcW w:w="2551" w:type="dxa"/>
            <w:vAlign w:val="center"/>
          </w:tcPr>
          <w:p>
            <w:pPr>
              <w:pStyle w:val="16"/>
            </w:pPr>
            <w:r>
              <w:t>1577.46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426.93</w:t>
            </w:r>
          </w:p>
        </w:tc>
        <w:tc>
          <w:tcPr>
            <w:tcW w:w="2551" w:type="dxa"/>
            <w:vAlign w:val="center"/>
          </w:tcPr>
          <w:p>
            <w:pPr>
              <w:pStyle w:val="16"/>
            </w:pPr>
            <w:r>
              <w:t>426.93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512.76</w:t>
            </w:r>
          </w:p>
        </w:tc>
        <w:tc>
          <w:tcPr>
            <w:tcW w:w="2551" w:type="dxa"/>
            <w:vAlign w:val="center"/>
          </w:tcPr>
          <w:p>
            <w:pPr>
              <w:pStyle w:val="16"/>
            </w:pPr>
            <w:r>
              <w:t>512.76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304.41</w:t>
            </w:r>
          </w:p>
        </w:tc>
        <w:tc>
          <w:tcPr>
            <w:tcW w:w="2551" w:type="dxa"/>
            <w:vAlign w:val="center"/>
          </w:tcPr>
          <w:p>
            <w:pPr>
              <w:pStyle w:val="16"/>
            </w:pPr>
            <w:r>
              <w:t>304.41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13.13</w:t>
            </w:r>
          </w:p>
        </w:tc>
        <w:tc>
          <w:tcPr>
            <w:tcW w:w="2551" w:type="dxa"/>
            <w:vAlign w:val="center"/>
          </w:tcPr>
          <w:p>
            <w:pPr>
              <w:pStyle w:val="16"/>
            </w:pPr>
            <w:r>
              <w:t>13.13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147.47</w:t>
            </w:r>
          </w:p>
        </w:tc>
        <w:tc>
          <w:tcPr>
            <w:tcW w:w="2551" w:type="dxa"/>
            <w:vAlign w:val="center"/>
          </w:tcPr>
          <w:p>
            <w:pPr>
              <w:pStyle w:val="16"/>
            </w:pPr>
            <w:r>
              <w:t>147.47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45.15</w:t>
            </w:r>
          </w:p>
        </w:tc>
        <w:tc>
          <w:tcPr>
            <w:tcW w:w="2551" w:type="dxa"/>
            <w:vAlign w:val="center"/>
          </w:tcPr>
          <w:p>
            <w:pPr>
              <w:pStyle w:val="16"/>
            </w:pPr>
            <w:r>
              <w:t>45.15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4.29</w:t>
            </w:r>
          </w:p>
        </w:tc>
        <w:tc>
          <w:tcPr>
            <w:tcW w:w="2551" w:type="dxa"/>
            <w:vAlign w:val="center"/>
          </w:tcPr>
          <w:p>
            <w:pPr>
              <w:pStyle w:val="16"/>
            </w:pPr>
            <w:r>
              <w:t>4.29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121.67</w:t>
            </w:r>
          </w:p>
        </w:tc>
        <w:tc>
          <w:tcPr>
            <w:tcW w:w="2551" w:type="dxa"/>
            <w:vAlign w:val="center"/>
          </w:tcPr>
          <w:p>
            <w:pPr>
              <w:pStyle w:val="16"/>
            </w:pPr>
            <w:r>
              <w:t>121.67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1.66</w:t>
            </w:r>
          </w:p>
        </w:tc>
        <w:tc>
          <w:tcPr>
            <w:tcW w:w="2551" w:type="dxa"/>
            <w:vAlign w:val="center"/>
          </w:tcPr>
          <w:p>
            <w:pPr>
              <w:pStyle w:val="16"/>
            </w:pPr>
            <w:r>
              <w:t>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280.68</w:t>
            </w:r>
          </w:p>
        </w:tc>
        <w:tc>
          <w:tcPr>
            <w:tcW w:w="2551" w:type="dxa"/>
            <w:vAlign w:val="center"/>
          </w:tcPr>
          <w:p>
            <w:pPr>
              <w:pStyle w:val="16"/>
            </w:pPr>
          </w:p>
        </w:tc>
        <w:tc>
          <w:tcPr>
            <w:tcW w:w="2551" w:type="dxa"/>
            <w:vAlign w:val="center"/>
          </w:tcPr>
          <w:p>
            <w:pPr>
              <w:pStyle w:val="16"/>
            </w:pPr>
            <w:r>
              <w:t>280.68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20.74</w:t>
            </w:r>
          </w:p>
        </w:tc>
        <w:tc>
          <w:tcPr>
            <w:tcW w:w="2551" w:type="dxa"/>
            <w:vAlign w:val="center"/>
          </w:tcPr>
          <w:p>
            <w:pPr>
              <w:pStyle w:val="16"/>
            </w:pPr>
          </w:p>
        </w:tc>
        <w:tc>
          <w:tcPr>
            <w:tcW w:w="2551" w:type="dxa"/>
            <w:vAlign w:val="center"/>
          </w:tcPr>
          <w:p>
            <w:pPr>
              <w:pStyle w:val="16"/>
            </w:pPr>
            <w:r>
              <w:t>20.74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2.59</w:t>
            </w:r>
          </w:p>
        </w:tc>
        <w:tc>
          <w:tcPr>
            <w:tcW w:w="2551" w:type="dxa"/>
            <w:vAlign w:val="center"/>
          </w:tcPr>
          <w:p>
            <w:pPr>
              <w:pStyle w:val="16"/>
            </w:pPr>
          </w:p>
        </w:tc>
        <w:tc>
          <w:tcPr>
            <w:tcW w:w="2551" w:type="dxa"/>
            <w:vAlign w:val="center"/>
          </w:tcPr>
          <w:p>
            <w:pPr>
              <w:pStyle w:val="16"/>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3.07</w:t>
            </w:r>
          </w:p>
        </w:tc>
        <w:tc>
          <w:tcPr>
            <w:tcW w:w="2551" w:type="dxa"/>
            <w:vAlign w:val="center"/>
          </w:tcPr>
          <w:p>
            <w:pPr>
              <w:pStyle w:val="16"/>
            </w:pPr>
          </w:p>
        </w:tc>
        <w:tc>
          <w:tcPr>
            <w:tcW w:w="2551" w:type="dxa"/>
            <w:vAlign w:val="center"/>
          </w:tcPr>
          <w:p>
            <w:pPr>
              <w:pStyle w:val="16"/>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8.64</w:t>
            </w:r>
          </w:p>
        </w:tc>
        <w:tc>
          <w:tcPr>
            <w:tcW w:w="2551" w:type="dxa"/>
            <w:vAlign w:val="center"/>
          </w:tcPr>
          <w:p>
            <w:pPr>
              <w:pStyle w:val="16"/>
            </w:pPr>
          </w:p>
        </w:tc>
        <w:tc>
          <w:tcPr>
            <w:tcW w:w="2551" w:type="dxa"/>
            <w:vAlign w:val="center"/>
          </w:tcPr>
          <w:p>
            <w:pPr>
              <w:pStyle w:val="16"/>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59.84</w:t>
            </w:r>
          </w:p>
        </w:tc>
        <w:tc>
          <w:tcPr>
            <w:tcW w:w="2551" w:type="dxa"/>
            <w:vAlign w:val="center"/>
          </w:tcPr>
          <w:p>
            <w:pPr>
              <w:pStyle w:val="16"/>
            </w:pPr>
          </w:p>
        </w:tc>
        <w:tc>
          <w:tcPr>
            <w:tcW w:w="2551" w:type="dxa"/>
            <w:vAlign w:val="center"/>
          </w:tcPr>
          <w:p>
            <w:pPr>
              <w:pStyle w:val="16"/>
            </w:pPr>
            <w:r>
              <w:t>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13.46</w:t>
            </w:r>
          </w:p>
        </w:tc>
        <w:tc>
          <w:tcPr>
            <w:tcW w:w="2551" w:type="dxa"/>
            <w:vAlign w:val="center"/>
          </w:tcPr>
          <w:p>
            <w:pPr>
              <w:pStyle w:val="16"/>
            </w:pPr>
          </w:p>
        </w:tc>
        <w:tc>
          <w:tcPr>
            <w:tcW w:w="2551" w:type="dxa"/>
            <w:vAlign w:val="center"/>
          </w:tcPr>
          <w:p>
            <w:pPr>
              <w:pStyle w:val="16"/>
            </w:pPr>
            <w:r>
              <w:t>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5.57</w:t>
            </w:r>
          </w:p>
        </w:tc>
        <w:tc>
          <w:tcPr>
            <w:tcW w:w="2551" w:type="dxa"/>
            <w:vAlign w:val="center"/>
          </w:tcPr>
          <w:p>
            <w:pPr>
              <w:pStyle w:val="16"/>
            </w:pPr>
          </w:p>
        </w:tc>
        <w:tc>
          <w:tcPr>
            <w:tcW w:w="2551" w:type="dxa"/>
            <w:vAlign w:val="center"/>
          </w:tcPr>
          <w:p>
            <w:pPr>
              <w:pStyle w:val="16"/>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19.97</w:t>
            </w:r>
          </w:p>
        </w:tc>
        <w:tc>
          <w:tcPr>
            <w:tcW w:w="2551" w:type="dxa"/>
            <w:vAlign w:val="center"/>
          </w:tcPr>
          <w:p>
            <w:pPr>
              <w:pStyle w:val="16"/>
            </w:pPr>
          </w:p>
        </w:tc>
        <w:tc>
          <w:tcPr>
            <w:tcW w:w="2551" w:type="dxa"/>
            <w:vAlign w:val="center"/>
          </w:tcPr>
          <w:p>
            <w:pPr>
              <w:pStyle w:val="16"/>
            </w:pPr>
            <w:r>
              <w:t>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1.54</w:t>
            </w:r>
          </w:p>
        </w:tc>
        <w:tc>
          <w:tcPr>
            <w:tcW w:w="2551" w:type="dxa"/>
            <w:vAlign w:val="center"/>
          </w:tcPr>
          <w:p>
            <w:pPr>
              <w:pStyle w:val="16"/>
            </w:pPr>
          </w:p>
        </w:tc>
        <w:tc>
          <w:tcPr>
            <w:tcW w:w="2551" w:type="dxa"/>
            <w:vAlign w:val="center"/>
          </w:tcPr>
          <w:p>
            <w:pPr>
              <w:pStyle w:val="16"/>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8.54</w:t>
            </w:r>
          </w:p>
        </w:tc>
        <w:tc>
          <w:tcPr>
            <w:tcW w:w="2551" w:type="dxa"/>
            <w:vAlign w:val="center"/>
          </w:tcPr>
          <w:p>
            <w:pPr>
              <w:pStyle w:val="16"/>
            </w:pPr>
          </w:p>
        </w:tc>
        <w:tc>
          <w:tcPr>
            <w:tcW w:w="2551" w:type="dxa"/>
            <w:vAlign w:val="center"/>
          </w:tcPr>
          <w:p>
            <w:pPr>
              <w:pStyle w:val="16"/>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8.81</w:t>
            </w:r>
          </w:p>
        </w:tc>
        <w:tc>
          <w:tcPr>
            <w:tcW w:w="2551" w:type="dxa"/>
            <w:vAlign w:val="center"/>
          </w:tcPr>
          <w:p>
            <w:pPr>
              <w:pStyle w:val="16"/>
            </w:pPr>
          </w:p>
        </w:tc>
        <w:tc>
          <w:tcPr>
            <w:tcW w:w="2551" w:type="dxa"/>
            <w:vAlign w:val="center"/>
          </w:tcPr>
          <w:p>
            <w:pPr>
              <w:pStyle w:val="16"/>
            </w:pPr>
            <w:r>
              <w:t>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19.71</w:t>
            </w:r>
          </w:p>
        </w:tc>
        <w:tc>
          <w:tcPr>
            <w:tcW w:w="2551" w:type="dxa"/>
            <w:vAlign w:val="center"/>
          </w:tcPr>
          <w:p>
            <w:pPr>
              <w:pStyle w:val="16"/>
            </w:pPr>
          </w:p>
        </w:tc>
        <w:tc>
          <w:tcPr>
            <w:tcW w:w="2551" w:type="dxa"/>
            <w:vAlign w:val="center"/>
          </w:tcPr>
          <w:p>
            <w:pPr>
              <w:pStyle w:val="16"/>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58.20</w:t>
            </w:r>
          </w:p>
        </w:tc>
        <w:tc>
          <w:tcPr>
            <w:tcW w:w="2551" w:type="dxa"/>
            <w:vAlign w:val="center"/>
          </w:tcPr>
          <w:p>
            <w:pPr>
              <w:pStyle w:val="16"/>
            </w:pPr>
          </w:p>
        </w:tc>
        <w:tc>
          <w:tcPr>
            <w:tcW w:w="2551" w:type="dxa"/>
            <w:vAlign w:val="center"/>
          </w:tcPr>
          <w:p>
            <w:pPr>
              <w:pStyle w:val="16"/>
            </w:pPr>
            <w:r>
              <w:t>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97.94</w:t>
            </w:r>
          </w:p>
        </w:tc>
        <w:tc>
          <w:tcPr>
            <w:tcW w:w="2551" w:type="dxa"/>
            <w:vAlign w:val="center"/>
          </w:tcPr>
          <w:p>
            <w:pPr>
              <w:pStyle w:val="16"/>
            </w:pPr>
            <w:r>
              <w:t>97.94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96.89</w:t>
            </w:r>
          </w:p>
        </w:tc>
        <w:tc>
          <w:tcPr>
            <w:tcW w:w="2551" w:type="dxa"/>
            <w:vAlign w:val="center"/>
          </w:tcPr>
          <w:p>
            <w:pPr>
              <w:pStyle w:val="16"/>
            </w:pPr>
            <w:r>
              <w:t>96.89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19.71</w:t>
            </w:r>
          </w:p>
        </w:tc>
        <w:tc>
          <w:tcPr>
            <w:tcW w:w="2381" w:type="dxa"/>
            <w:vAlign w:val="center"/>
          </w:tcPr>
          <w:p>
            <w:pPr>
              <w:pStyle w:val="20"/>
            </w:pPr>
            <w:r>
              <w:t>19.71</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19.71</w:t>
            </w:r>
          </w:p>
        </w:tc>
        <w:tc>
          <w:tcPr>
            <w:tcW w:w="2381" w:type="dxa"/>
            <w:vAlign w:val="center"/>
          </w:tcPr>
          <w:p>
            <w:pPr>
              <w:pStyle w:val="16"/>
            </w:pPr>
            <w:r>
              <w:t>19.71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19.71</w:t>
            </w:r>
          </w:p>
        </w:tc>
        <w:tc>
          <w:tcPr>
            <w:tcW w:w="2381" w:type="dxa"/>
            <w:vAlign w:val="center"/>
          </w:tcPr>
          <w:p>
            <w:pPr>
              <w:pStyle w:val="16"/>
            </w:pPr>
            <w:r>
              <w:t>19.71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中共廊坊市广阳区纪律检查委员会2023年部门预算信息公开情况说明</w:t>
      </w:r>
    </w:p>
    <w:p>
      <w:pPr>
        <w:jc w:val="center"/>
      </w:pPr>
      <w:bookmarkStart w:id="36" w:name="_GoBack"/>
      <w:r>
        <w:rPr>
          <w:rFonts w:ascii="方正小标宋_GBK" w:hAnsi="方正小标宋_GBK" w:eastAsia="方正小标宋_GBK" w:cs="方正小标宋_GBK"/>
          <w:color w:val="000000"/>
          <w:sz w:val="44"/>
        </w:rPr>
        <w:t>中共廊坊市广阳区纪律检查委员会2023年部门预算信息公开情况说明</w:t>
      </w:r>
    </w:p>
    <w:bookmarkEnd w:id="36"/>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预算法》、《地方预决算公开操作规程》和《关于进一步推进预算公开工作的实施意见》规定，现将中共廊坊市广阳区纪律检查委员会2023年部门预算公开如下：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pStyle w:val="22"/>
      </w:pPr>
      <w:r>
        <w:t>（二）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pStyle w:val="22"/>
      </w:pPr>
      <w:r>
        <w:t>（三）宣传部。负责组织协调全面从严治党、党风廉政建设和反腐败宣传教育以及廉洁文化建设工作；负责区纪委监委机关的新闻事务和有关网络信息工作等。</w:t>
      </w:r>
    </w:p>
    <w:p>
      <w:pPr>
        <w:pStyle w:val="22"/>
      </w:pPr>
      <w:r>
        <w:t>（四）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pStyle w:val="22"/>
      </w:pPr>
      <w:r>
        <w:t>（五）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部门；受理党员对区纪委作出的党纪处分或者其他处理不服的申述、监察对象对区监委做出的涉及本人的处理决定不服的复审申请；综合分析信访举报情况；接待群众来访，处理群众来信和电话网络举报事项等。</w:t>
      </w:r>
    </w:p>
    <w:p>
      <w:pPr>
        <w:pStyle w:val="22"/>
      </w:pPr>
      <w:r>
        <w:t>（六）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pStyle w:val="22"/>
      </w:pPr>
      <w: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pStyle w:val="22"/>
      </w:pPr>
      <w:r>
        <w:t>（七）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pStyle w:val="22"/>
      </w:pPr>
      <w:r>
        <w:t>（八）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pStyle w:val="22"/>
      </w:pPr>
      <w:r>
        <w:t>（九）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pStyle w:val="22"/>
      </w:pPr>
      <w:r>
        <w:t>（十）纪检监察干部监督室。负责监督检查全区纪检监察系统干部遵守和执行党的章程和其他党内法规，遵守和执行党的路线方针政策和决议、国家法律法规等方面的情况；受理对区纪委监委机关各部门、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pStyle w:val="22"/>
      </w:pPr>
      <w:r>
        <w:t>（十一）机关党委。负责区纪委监委机关及派驻机构党的建设和群团工作；承担区纪委监委机关精神文明建设委员会办公室的日常工作；领导机关纪委工作；负责离退休干部工作。</w:t>
      </w:r>
    </w:p>
    <w:p>
      <w:pPr>
        <w:pStyle w:val="22"/>
      </w:pPr>
      <w:r>
        <w:t>(十二)区纪委监委廉政教育培训中心。负责组织协调全区党风廉政建设和反腐败教育工作，开展对党员、公务员的理想信念和宗旨教育、党风党纪和廉洁自律教育，组织协调廉洁教育及纪检监察电化教育工作；负责组织开展相关法律法规、理论政策、形势任务、决策部署、成效经验和先进典型等教育引导工作；负责本部门干部日常管理和监督，承办领导交办的其他事项。</w:t>
      </w:r>
    </w:p>
    <w:p>
      <w:pPr>
        <w:pStyle w:val="22"/>
      </w:pPr>
      <w:r>
        <w:t>(十三)区委巡察办职责。</w:t>
      </w:r>
    </w:p>
    <w:p>
      <w:pPr>
        <w:pStyle w:val="22"/>
      </w:pPr>
      <w:r>
        <w:t>（1）贯彻落实党中央、省委、市委、区委和区委巡察工作领导小组的决策部署，向市委巡察工作领导小组办公室和区委巡察工作领导小组报告工作情况。</w:t>
      </w:r>
    </w:p>
    <w:p>
      <w:pPr>
        <w:pStyle w:val="22"/>
      </w:pPr>
      <w:r>
        <w:t>（2）统筹、协调、指导开展巡察工作。</w:t>
      </w:r>
    </w:p>
    <w:p>
      <w:pPr>
        <w:pStyle w:val="22"/>
      </w:pPr>
      <w:r>
        <w:t>（3）承担政策研究、制度建设等工作。</w:t>
      </w:r>
    </w:p>
    <w:p>
      <w:pPr>
        <w:pStyle w:val="22"/>
      </w:pPr>
      <w:r>
        <w:t>（4）对区委、区委巡察工作领导小组决定的事项进行督办，会同巡察组对巡察整改工作进行专项检查。</w:t>
      </w:r>
    </w:p>
    <w:p>
      <w:pPr>
        <w:pStyle w:val="22"/>
      </w:pPr>
      <w:r>
        <w:t>（5）配合有关部门对巡察工作人员进行培训、考核、监督和管理。</w:t>
      </w:r>
    </w:p>
    <w:p>
      <w:pPr>
        <w:pStyle w:val="22"/>
      </w:pPr>
      <w:r>
        <w:t>（6）管理巡察工作专项经费。</w:t>
      </w:r>
    </w:p>
    <w:p>
      <w:pPr>
        <w:pStyle w:val="22"/>
      </w:pPr>
      <w:r>
        <w:t>（7）完成省委、市委巡视巡察工作领导小组办公室和区委巡察工作领导小组交办的其他任务。</w:t>
      </w:r>
    </w:p>
    <w:p>
      <w:pPr>
        <w:pStyle w:val="22"/>
      </w:pPr>
      <w:r>
        <w:t>(十四)派驻纪检组职责。</w:t>
      </w:r>
    </w:p>
    <w:p>
      <w:pPr>
        <w:pStyle w:val="22"/>
      </w:pPr>
      <w:r>
        <w:t>（1）监督促进驻在部门领导班子落实全面从严治党主体责任，监督促进驻在部门党政一把手当好第一责任人。监督检查驻在部门领导班子及其成员遵守党章党规党纪、执行党的路线方针政策和决议、推进党风廉政建设和反腐败斗争及廉洁自律等情况，经常、及时向区纪委监委报告上述情况及发现的重要问题。受理对驻在部门党的组织和党员的检举、控告。</w:t>
      </w:r>
    </w:p>
    <w:p>
      <w:pPr>
        <w:pStyle w:val="22"/>
      </w:pPr>
      <w:r>
        <w:t>（2）经区纪委监委批准，初步核实反映驻在部门领导班子及区委管理干部的问题线索；参与审查驻在部门领导班子及区委管理干部违反党纪的案件。负责审查驻在部门管理的领导班子及其成员和股级干部违反党纪的案件，指导驻在部门机关党委（纪委）审查股级以下干部违反党纪的案件，必要时可以直接审查股级以下干部违反党纪的案件。受理驻在部门党的组织和党员的申诉。</w:t>
      </w:r>
    </w:p>
    <w:p>
      <w:pPr>
        <w:pStyle w:val="22"/>
      </w:pPr>
      <w:r>
        <w:t>（3）对违反党章和其他党内法规，不履行或者不正确履行职责的驻在部门党的组织和负有责任的党的领导干部，按照管理权限对其作出问责决定，或者向有权作出问责决定的党的组织提出问责建议。</w:t>
      </w:r>
    </w:p>
    <w:p>
      <w:pPr>
        <w:pStyle w:val="22"/>
      </w:pPr>
      <w:r>
        <w:t>（4）协助驻在部门党组（党委）做好巡察工作，不承担驻在部门开展巡察的日常工作。</w:t>
      </w:r>
    </w:p>
    <w:p>
      <w:pPr>
        <w:pStyle w:val="22"/>
      </w:pPr>
      <w:r>
        <w:t>（5）推动驻在部门开展廉政教育。依法对驻在部门的领导班子和行使公权力的公职人员进行监督，维护宪法法律，对其依法履职、秉公用权、廉洁从政以及道德操守情况进行监督检查。发现领导班子和区委管理的公职人员存在问题的，及时向区纪委监委报告；发现其他公职人员存在问题的，会同驻在部门开展调查处置，强化监督职责。受理对驻在部门监察对象的检举、控告。</w:t>
      </w:r>
    </w:p>
    <w:p>
      <w:pPr>
        <w:pStyle w:val="22"/>
      </w:pPr>
      <w:r>
        <w:t>（6）负责调查驻在部门非区委管理的股级及以下公职人员涉嫌职务违法案件。在开展职务违法调查时，可以派驻机构名义采取不限制人身和财产权利的措施，确需采取冻结、查封、扣押等限制人身和财产权利的措施的，报区纪委监委批准后，以区纪委监委名义实施。发现涉嫌职务犯罪问题的，及时报区纪委监委处理。受理驻在部门监察对象不服派驻纪检监察组所作涉及本人的处理决定的复审申请。</w:t>
      </w:r>
    </w:p>
    <w:p>
      <w:pPr>
        <w:pStyle w:val="22"/>
      </w:pPr>
      <w:r>
        <w:t>（7）按照管理权限，对驻在部门违法的公职人员依法作出政务处分决定。对不履行或者不正确履行职责负有责任的领导人员，按照管理权限对其作出问责决定，或者向有权作出问责决定的机关提出问责建议。根据监察结果，对驻在部门廉政建设和履行职责存在的问题等提出监察建议。</w:t>
      </w:r>
    </w:p>
    <w:p>
      <w:pPr>
        <w:pStyle w:val="22"/>
      </w:pPr>
      <w:r>
        <w:t>（8）负责对本派驻机构干部的日常管理和监督。</w:t>
      </w:r>
    </w:p>
    <w:p>
      <w:pPr>
        <w:pStyle w:val="22"/>
      </w:pPr>
      <w:r>
        <w:t>（9）完成区纪委监委交办的其他任务。</w:t>
      </w:r>
    </w:p>
    <w:p>
      <w:pPr>
        <w:pStyle w:val="22"/>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中共廊坊市广阳区纪律检查委员会本级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按照预算管理有关规定，目前我区部门预算的编制实行综合预算管理，即全部收入和支出都反映在预算中。中共廊坊市广阳区纪律检查委员会机关及所属事业单位的收支包含在部门预算中。</w:t>
      </w:r>
    </w:p>
    <w:p>
      <w:pPr>
        <w:pStyle w:val="23"/>
      </w:pPr>
      <w:r>
        <w:t>1、收入说明</w:t>
      </w:r>
    </w:p>
    <w:p>
      <w:pPr>
        <w:pStyle w:val="23"/>
      </w:pPr>
      <w:r>
        <w:t>反映本部门当年全部收入。2023年预算收入1956.08万元，其中：一般公共预算收入1956.08万元，基金预算收入0万元，财政专户核拨收入0万元，其他来源收入0万元，上年结转0万元。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纪律检查委员会2023年度部门预算中支出预算的总体情况。2023年支出预算1956.08万元，其中：基本支出1956.08万元，包括人员经费1675.40万元和日常公用经费280.68万元；项目支出0万元。</w:t>
      </w:r>
    </w:p>
    <w:p>
      <w:pPr>
        <w:pStyle w:val="23"/>
      </w:pPr>
      <w:r>
        <w:t>3、比上年增减情况</w:t>
      </w:r>
    </w:p>
    <w:p>
      <w:pPr>
        <w:pStyle w:val="23"/>
      </w:pPr>
      <w:r>
        <w:t>2023年预算收支安排1956.08万元，较2022年预算减少83.45万元，其中：基本支出增加367.5万元，增加原因主要为人员经费及日常公用支出增加；项目支出减少450.95万元，减少原因主要为办公用房房租未列入项目预算。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2023年，我部门运行经费共计安排280.68万元，主要用于办公区的日常维修、办公费用、办公用房水电费、办公用房取暖费、邮电费、差旅费、办公用房物业管理费、公务用车运行维护费等日常运行支出。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19.71万元。其中，因公出国（境）费0万元；公务用车购置及运维费19.71万元（其中：公务用车购置费为0万元，公务用车运维费19.71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2022年，在市纪委监委和区委坚强领导下，区纪委监委紧紧围绕迎接、宣传、贯彻党的二十大这条主线，以习近平新时代中国特色社会主义思想为指导，认真履行党章、宪法和监察法赋予的职责，忠诚捍卫“两个确立”、坚决做到“两个维护”，聚焦“国之大者”，更加突出政治监督，严格执纪问责。2023年我部门总体发展规划目标是：通过重点推进监督检查和审查调查工作、2轮巡视巡察工作、区纪委监委网站运行维护工作及区纪委日常运行等工作，坚定不移全面从严治党，发挥监督保障执行、促进完善发展作用，为推动广阳在京津冀协同发展上走在全市前列保驾护航。</w:t>
      </w:r>
    </w:p>
    <w:p>
      <w:pPr>
        <w:spacing w:line="500" w:lineRule="exact"/>
        <w:ind w:firstLine="560"/>
      </w:pPr>
      <w:r>
        <w:rPr>
          <w:rFonts w:eastAsia="方正仿宋_GBK"/>
          <w:color w:val="000000"/>
          <w:sz w:val="28"/>
        </w:rPr>
        <w:t>（二）分项绩效目标</w:t>
      </w:r>
    </w:p>
    <w:p>
      <w:pPr>
        <w:pStyle w:val="27"/>
      </w:pPr>
      <w:r>
        <w:t>1.监督检查和审查调查工作</w:t>
      </w:r>
    </w:p>
    <w:p>
      <w:pPr>
        <w:pStyle w:val="27"/>
      </w:pPr>
      <w:r>
        <w:t>绩效目标： 2023年，区纪委监委将持续加大审查调查工作力度，立足“不敢”，始终保持“惩”的有力威慑；立足“不能”，着力强化“治”的综合效能；立足“不想”，充分释放“警”的预防作用。</w:t>
      </w:r>
    </w:p>
    <w:p>
      <w:pPr>
        <w:pStyle w:val="27"/>
      </w:pPr>
      <w:r>
        <w:t>绩效指标：预计留置目标5人，目标安全事故率为0，留置时间在6个月以内。</w:t>
      </w:r>
    </w:p>
    <w:p>
      <w:pPr>
        <w:pStyle w:val="27"/>
      </w:pPr>
      <w:r>
        <w:t>2.巡视巡察工作</w:t>
      </w:r>
    </w:p>
    <w:p>
      <w:pPr>
        <w:pStyle w:val="27"/>
      </w:pPr>
      <w:r>
        <w:t>绩效目标：坚决落实巡察要求，提升全覆盖质量；对群众反映强烈、问题突出的某一领域，联动开展专项巡察；逐级压实整改责任，做实“后半篇文章”。</w:t>
      </w:r>
    </w:p>
    <w:p>
      <w:pPr>
        <w:pStyle w:val="27"/>
      </w:pPr>
      <w:r>
        <w:t>绩效指标：每轮组建4个巡察组，每轮巡察不超过2个月，共开展2轮巡察。</w:t>
      </w:r>
    </w:p>
    <w:p>
      <w:pPr>
        <w:pStyle w:val="27"/>
      </w:pPr>
      <w:r>
        <w:t>3.纪检监察信息化运行维护工作</w:t>
      </w:r>
    </w:p>
    <w:p>
      <w:pPr>
        <w:pStyle w:val="27"/>
      </w:pPr>
      <w:r>
        <w:t>绩效目标：通过区纪委监委信息化建设，切实增强纪检监察工作的信息化水平，进一步强化网络安全工作、网络保障工作、视频保障工作等信息化工作。</w:t>
      </w:r>
    </w:p>
    <w:p>
      <w:pPr>
        <w:pStyle w:val="27"/>
      </w:pPr>
      <w:r>
        <w:t>绩效指标：广阳区纪委有专人负责对网站运行维护工作，确保信息工作高效运行.</w:t>
      </w:r>
    </w:p>
    <w:p>
      <w:pPr>
        <w:pStyle w:val="27"/>
      </w:pPr>
      <w:r>
        <w:t>4.机关综合事务管理工作</w:t>
      </w:r>
    </w:p>
    <w:p>
      <w:pPr>
        <w:pStyle w:val="27"/>
      </w:pPr>
      <w:r>
        <w:t>绩效目标：保证区纪委监委能够正常运转，能够正常开展各项工作。</w:t>
      </w:r>
    </w:p>
    <w:p>
      <w:pPr>
        <w:pStyle w:val="27"/>
      </w:pPr>
      <w:r>
        <w:t>绩效指标：全年组织并召开至少4次会议，主要包括省市纪委视频会、研讨会等会议，确保机关纪检监察、巡视巡察等工作的正常运转.</w:t>
      </w:r>
    </w:p>
    <w:p>
      <w:pPr>
        <w:spacing w:line="500" w:lineRule="exact"/>
        <w:ind w:firstLine="560"/>
      </w:pPr>
      <w:r>
        <w:rPr>
          <w:rFonts w:eastAsia="方正仿宋_GBK"/>
          <w:color w:val="000000"/>
          <w:sz w:val="28"/>
        </w:rPr>
        <w:t>（三）工作保障措施</w:t>
      </w:r>
    </w:p>
    <w:p>
      <w:pPr>
        <w:pStyle w:val="28"/>
      </w:pPr>
      <w:r>
        <w:t>1.完善制度建设。制定广阳区纪委预算绩效管理办法，成立由主要负责同志任组长、相关分管领导任副组长、各处室负责同志为成员的预算绩效管理工作领导小组。</w:t>
      </w:r>
    </w:p>
    <w:p>
      <w:pPr>
        <w:pStyle w:val="28"/>
      </w:pPr>
      <w:r>
        <w:t>2.加强支出管理。不断调整优化支出结构；财务科根据本部门实际需要编细编实预算，提高预算编制的科学性。严格按照《</w:t>
      </w:r>
      <w:r>
        <w:rPr>
          <w:rFonts w:hint="eastAsia"/>
          <w:lang w:eastAsia="zh-CN"/>
        </w:rPr>
        <w:t>中华人民共和国</w:t>
      </w:r>
      <w:r>
        <w:t>预算法》的要求，强化预算执行的严肃性，杜绝预算管理的随意性，没有列入预算的项目不得列支，超预算范围、超预算额度的，一律不得开支。强化预算执行的合法合规意识和绩效意识，提高财政资金使用效益。</w:t>
      </w:r>
    </w:p>
    <w:p>
      <w:pPr>
        <w:pStyle w:val="28"/>
      </w:pPr>
      <w:r>
        <w:t>3.加强绩效运行监控。财务科在预算执行全阶段，要严格执行支出承诺制度，根据年初资金支出计划，对本部门政策和项目执行进度开展月度监控，指导、督促本部门开展预算执行进度监控，确保财政资金按计划支出，提高资金使用效益。</w:t>
      </w:r>
    </w:p>
    <w:p>
      <w:pPr>
        <w:pStyle w:val="28"/>
      </w:pPr>
      <w:r>
        <w:t>4.做好绩效自评。办公室会同各科室根据年初确定的整体绩效目标，对本部门使用财政资金所实现的整体产出和效果开展年度自评，指导所属单位开展本单位整体绩效自评工作，对评价中发现的问题及时整改，不断优化支出结构，提高财政资金的使用效益。</w:t>
      </w:r>
    </w:p>
    <w:p>
      <w:pPr>
        <w:pStyle w:val="28"/>
      </w:pPr>
      <w:r>
        <w:t>5.规范财务资产管理。完善区委监委财务管理制度，严格审批程序，切实加强对项目经费开支的审核和控制，加强固定资产登记、使用和报废处置管理，做到支出合理，物尽其用。</w:t>
      </w:r>
    </w:p>
    <w:p>
      <w:pPr>
        <w:pStyle w:val="28"/>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8"/>
      </w:pPr>
      <w:r>
        <w:t>7.加强宣传培训调研等。加强人员培训，提高本部门职工业务素质；加强调研，提出优化财政资金配置、提高资金使用效益的意见和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6"/>
        <w:gridCol w:w="991"/>
        <w:gridCol w:w="2693"/>
        <w:gridCol w:w="2269"/>
        <w:gridCol w:w="3402"/>
        <w:gridCol w:w="1136"/>
        <w:gridCol w:w="851"/>
        <w:gridCol w:w="991"/>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92"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90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76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14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04"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5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92" w:type="pct"/>
            <w:vMerge w:val="continue"/>
            <w:shd w:val="clear" w:color="auto" w:fill="auto"/>
            <w:vAlign w:val="center"/>
          </w:tcPr>
          <w:p>
            <w:pPr>
              <w:rPr>
                <w:rFonts w:ascii="方正书宋_GBK" w:hAnsi="宋体" w:eastAsia="方正书宋_GBK" w:cs="宋体"/>
                <w:b/>
                <w:bCs/>
                <w:color w:val="000000"/>
              </w:rPr>
            </w:pPr>
          </w:p>
        </w:tc>
        <w:tc>
          <w:tcPr>
            <w:tcW w:w="334"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908" w:type="pct"/>
            <w:vMerge w:val="continue"/>
            <w:shd w:val="clear" w:color="auto" w:fill="auto"/>
            <w:vAlign w:val="center"/>
          </w:tcPr>
          <w:p>
            <w:pPr>
              <w:rPr>
                <w:rFonts w:ascii="方正书宋_GBK" w:hAnsi="宋体" w:eastAsia="方正书宋_GBK" w:cs="宋体"/>
                <w:b/>
                <w:bCs/>
                <w:color w:val="000000"/>
              </w:rPr>
            </w:pPr>
          </w:p>
        </w:tc>
        <w:tc>
          <w:tcPr>
            <w:tcW w:w="765" w:type="pct"/>
            <w:vMerge w:val="continue"/>
            <w:shd w:val="clear" w:color="auto" w:fill="auto"/>
            <w:vAlign w:val="center"/>
          </w:tcPr>
          <w:p>
            <w:pPr>
              <w:rPr>
                <w:rFonts w:ascii="方正书宋_GBK" w:hAnsi="宋体" w:eastAsia="方正书宋_GBK" w:cs="宋体"/>
                <w:b/>
                <w:bCs/>
                <w:color w:val="000000"/>
              </w:rPr>
            </w:pPr>
          </w:p>
        </w:tc>
        <w:tc>
          <w:tcPr>
            <w:tcW w:w="1147" w:type="pct"/>
            <w:vMerge w:val="continue"/>
            <w:shd w:val="clear" w:color="auto" w:fill="auto"/>
            <w:vAlign w:val="center"/>
          </w:tcPr>
          <w:p>
            <w:pPr>
              <w:rPr>
                <w:rFonts w:ascii="方正书宋_GBK" w:hAnsi="宋体" w:eastAsia="方正书宋_GBK" w:cs="宋体"/>
                <w:b/>
                <w:bCs/>
                <w:color w:val="000000"/>
              </w:rPr>
            </w:pPr>
          </w:p>
        </w:tc>
        <w:tc>
          <w:tcPr>
            <w:tcW w:w="383"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5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案件数量</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达到标准得满分，每少1件，扣权重分数的10%，扣完为止。</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全年案件数量</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60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件</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巡察组数量</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达到标准得满分，每少1组，扣权重分数的10%，扣完为止。</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每轮巡察工作组建巡察组的数量</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4</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组</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2"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设备维护</w:t>
            </w:r>
          </w:p>
          <w:p>
            <w:pPr>
              <w:jc w:val="center"/>
              <w:rPr>
                <w:rFonts w:ascii="仿宋_GB2312" w:eastAsia="仿宋_GB2312"/>
                <w:color w:val="000000"/>
                <w:sz w:val="20"/>
                <w:szCs w:val="20"/>
              </w:rPr>
            </w:pPr>
            <w:r>
              <w:rPr>
                <w:rFonts w:hint="eastAsia" w:ascii="仿宋_GB2312" w:eastAsia="仿宋_GB2312"/>
                <w:color w:val="000000"/>
                <w:sz w:val="20"/>
                <w:szCs w:val="20"/>
              </w:rPr>
              <w:t>数量</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办案保障设备维护</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台（套）</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4"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合格率</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设施修缮</w:t>
            </w:r>
          </w:p>
          <w:p>
            <w:pPr>
              <w:jc w:val="center"/>
              <w:rPr>
                <w:rFonts w:ascii="仿宋_GB2312" w:eastAsia="仿宋_GB2312"/>
                <w:color w:val="000000"/>
                <w:sz w:val="20"/>
                <w:szCs w:val="20"/>
              </w:rPr>
            </w:pPr>
            <w:r>
              <w:rPr>
                <w:rFonts w:hint="eastAsia" w:ascii="仿宋_GB2312" w:eastAsia="仿宋_GB2312"/>
                <w:color w:val="000000"/>
                <w:sz w:val="20"/>
                <w:szCs w:val="20"/>
              </w:rPr>
              <w:t>合格率</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验收单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安全率</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全年案件安全、无责任事故发生</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4"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合格率</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内网设备</w:t>
            </w:r>
          </w:p>
          <w:p>
            <w:pPr>
              <w:jc w:val="center"/>
              <w:rPr>
                <w:rFonts w:ascii="仿宋_GB2312" w:eastAsia="仿宋_GB2312"/>
                <w:color w:val="000000"/>
                <w:sz w:val="20"/>
                <w:szCs w:val="20"/>
              </w:rPr>
            </w:pPr>
            <w:r>
              <w:rPr>
                <w:rFonts w:hint="eastAsia" w:ascii="仿宋_GB2312" w:eastAsia="仿宋_GB2312"/>
                <w:color w:val="000000"/>
                <w:sz w:val="20"/>
                <w:szCs w:val="20"/>
              </w:rPr>
              <w:t>验收合格率</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合格率</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办案保障设备验收合格率</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验收单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4"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巡察</w:t>
            </w:r>
          </w:p>
          <w:p>
            <w:pPr>
              <w:jc w:val="center"/>
              <w:rPr>
                <w:rFonts w:ascii="仿宋_GB2312" w:eastAsia="仿宋_GB2312"/>
                <w:color w:val="000000"/>
                <w:sz w:val="20"/>
                <w:szCs w:val="20"/>
              </w:rPr>
            </w:pPr>
            <w:r>
              <w:rPr>
                <w:rFonts w:hint="eastAsia" w:ascii="仿宋_GB2312" w:eastAsia="仿宋_GB2312"/>
                <w:color w:val="000000"/>
                <w:sz w:val="20"/>
                <w:szCs w:val="20"/>
              </w:rPr>
              <w:t>时间</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考察每轮巡察时间长度</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月</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经费保障及时性</w:t>
            </w:r>
          </w:p>
        </w:tc>
        <w:tc>
          <w:tcPr>
            <w:tcW w:w="765"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及时保障得满分，否则不得分。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及时保障各项日常办公需要</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文字描述</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334"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及时保障</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公用经费控制率</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“三公”经费决算数、日常公用经费决算数均小于调整预算数。</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预算文本、决算报表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908" w:type="pct"/>
            <w:shd w:val="clear" w:color="auto" w:fill="auto"/>
            <w:tcMar>
              <w:top w:w="15" w:type="dxa"/>
              <w:left w:w="15" w:type="dxa"/>
              <w:bottom w:w="0" w:type="dxa"/>
              <w:right w:w="15" w:type="dxa"/>
            </w:tcMar>
          </w:tcPr>
          <w:p>
            <w:pPr>
              <w:jc w:val="center"/>
              <w:rPr>
                <w:rFonts w:ascii="仿宋_GB2312" w:eastAsia="仿宋_GB2312"/>
                <w:color w:val="000000"/>
                <w:sz w:val="20"/>
                <w:szCs w:val="20"/>
              </w:rPr>
            </w:pPr>
            <w:r>
              <w:rPr>
                <w:rFonts w:hint="eastAsia" w:ascii="仿宋_GB2312" w:eastAsia="仿宋_GB2312"/>
                <w:color w:val="000000"/>
                <w:sz w:val="20"/>
                <w:szCs w:val="20"/>
              </w:rPr>
              <w:t>工资（福利）、社会保障（公积金）等发放（缴纳）标准</w:t>
            </w:r>
          </w:p>
        </w:tc>
        <w:tc>
          <w:tcPr>
            <w:tcW w:w="765" w:type="pct"/>
            <w:shd w:val="clear" w:color="auto" w:fill="auto"/>
            <w:tcMar>
              <w:top w:w="15" w:type="dxa"/>
              <w:left w:w="15" w:type="dxa"/>
              <w:bottom w:w="0" w:type="dxa"/>
              <w:right w:w="15" w:type="dxa"/>
            </w:tcMar>
          </w:tcPr>
          <w:p>
            <w:pPr>
              <w:jc w:val="center"/>
              <w:rPr>
                <w:rFonts w:ascii="仿宋_GB2312" w:eastAsia="仿宋_GB2312"/>
                <w:color w:val="000000"/>
                <w:sz w:val="20"/>
                <w:szCs w:val="20"/>
              </w:rPr>
            </w:pPr>
            <w:r>
              <w:rPr>
                <w:rFonts w:hint="eastAsia" w:ascii="仿宋_GB2312" w:eastAsia="仿宋_GB2312"/>
                <w:color w:val="000000"/>
                <w:sz w:val="20"/>
                <w:szCs w:val="20"/>
              </w:rPr>
              <w:t>按规定执行得满分，否则不得分</w:t>
            </w:r>
          </w:p>
        </w:tc>
        <w:tc>
          <w:tcPr>
            <w:tcW w:w="1147" w:type="pct"/>
            <w:shd w:val="clear" w:color="auto" w:fill="auto"/>
            <w:tcMar>
              <w:top w:w="15" w:type="dxa"/>
              <w:left w:w="15" w:type="dxa"/>
              <w:bottom w:w="0" w:type="dxa"/>
              <w:right w:w="15" w:type="dxa"/>
            </w:tcMar>
          </w:tcPr>
          <w:p>
            <w:pPr>
              <w:jc w:val="center"/>
              <w:rPr>
                <w:rFonts w:ascii="仿宋_GB2312" w:eastAsia="仿宋_GB2312"/>
                <w:color w:val="000000"/>
                <w:sz w:val="20"/>
                <w:szCs w:val="20"/>
              </w:rPr>
            </w:pPr>
            <w:r>
              <w:rPr>
                <w:rFonts w:hint="eastAsia" w:ascii="仿宋_GB2312" w:eastAsia="仿宋_GB2312"/>
                <w:color w:val="000000"/>
                <w:sz w:val="20"/>
                <w:szCs w:val="20"/>
              </w:rPr>
              <w:t>工资（福利）、社会保障（公积金）等发放（缴纳）标准</w:t>
            </w:r>
          </w:p>
        </w:tc>
        <w:tc>
          <w:tcPr>
            <w:tcW w:w="383" w:type="pct"/>
            <w:shd w:val="clear" w:color="auto" w:fill="auto"/>
            <w:tcMar>
              <w:top w:w="15" w:type="dxa"/>
              <w:left w:w="15" w:type="dxa"/>
              <w:bottom w:w="0" w:type="dxa"/>
              <w:right w:w="15" w:type="dxa"/>
            </w:tcMar>
          </w:tcPr>
          <w:p>
            <w:pPr>
              <w:jc w:val="center"/>
              <w:rPr>
                <w:rFonts w:ascii="仿宋_GB2312" w:eastAsia="仿宋_GB2312"/>
                <w:color w:val="000000"/>
                <w:sz w:val="20"/>
                <w:szCs w:val="20"/>
              </w:rPr>
            </w:pPr>
            <w:r>
              <w:rPr>
                <w:rFonts w:hint="eastAsia" w:ascii="仿宋_GB2312" w:eastAsia="仿宋_GB2312"/>
                <w:color w:val="000000"/>
                <w:sz w:val="20"/>
                <w:szCs w:val="20"/>
              </w:rPr>
              <w:t>文字描述</w:t>
            </w:r>
          </w:p>
        </w:tc>
        <w:tc>
          <w:tcPr>
            <w:tcW w:w="287" w:type="pct"/>
            <w:shd w:val="clear" w:color="auto" w:fill="auto"/>
            <w:tcMar>
              <w:top w:w="15" w:type="dxa"/>
              <w:left w:w="15" w:type="dxa"/>
              <w:bottom w:w="0" w:type="dxa"/>
              <w:right w:w="15" w:type="dxa"/>
            </w:tcMar>
          </w:tcPr>
          <w:p>
            <w:pPr>
              <w:jc w:val="center"/>
              <w:rPr>
                <w:rFonts w:ascii="仿宋_GB2312" w:eastAsia="仿宋_GB2312"/>
                <w:color w:val="000000"/>
                <w:sz w:val="20"/>
                <w:szCs w:val="20"/>
              </w:rPr>
            </w:pPr>
          </w:p>
        </w:tc>
        <w:tc>
          <w:tcPr>
            <w:tcW w:w="334" w:type="pct"/>
            <w:shd w:val="clear" w:color="auto" w:fill="auto"/>
            <w:tcMar>
              <w:top w:w="15" w:type="dxa"/>
              <w:left w:w="15" w:type="dxa"/>
              <w:bottom w:w="0" w:type="dxa"/>
              <w:right w:w="15" w:type="dxa"/>
            </w:tcMa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按规定执行</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92"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整治腐败和不正之风</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整治群众身边腐败和不正之风</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文字</w:t>
            </w:r>
          </w:p>
          <w:p>
            <w:pPr>
              <w:jc w:val="center"/>
              <w:rPr>
                <w:rFonts w:ascii="仿宋_GB2312" w:eastAsia="仿宋_GB2312"/>
                <w:color w:val="000000"/>
                <w:sz w:val="20"/>
                <w:szCs w:val="20"/>
              </w:rPr>
            </w:pPr>
            <w:r>
              <w:rPr>
                <w:rFonts w:hint="eastAsia" w:ascii="仿宋_GB2312" w:eastAsia="仿宋_GB2312"/>
                <w:color w:val="000000"/>
                <w:sz w:val="20"/>
                <w:szCs w:val="20"/>
              </w:rPr>
              <w:t>描述</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334"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提升</w:t>
            </w:r>
          </w:p>
          <w:p>
            <w:pPr>
              <w:jc w:val="center"/>
              <w:rPr>
                <w:rFonts w:ascii="仿宋_GB2312" w:hAnsi="宋体" w:eastAsia="仿宋_GB2312" w:cs="宋体"/>
                <w:color w:val="000000"/>
                <w:sz w:val="20"/>
                <w:szCs w:val="20"/>
              </w:rPr>
            </w:pPr>
            <w:r>
              <w:rPr>
                <w:rFonts w:hint="eastAsia" w:ascii="仿宋_GB2312" w:eastAsia="仿宋_GB2312"/>
                <w:color w:val="000000"/>
                <w:sz w:val="20"/>
                <w:szCs w:val="20"/>
              </w:rPr>
              <w:t>整治</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部门总结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满足办案人员需求　</w:t>
            </w:r>
          </w:p>
        </w:tc>
        <w:tc>
          <w:tcPr>
            <w:tcW w:w="765" w:type="pct"/>
            <w:shd w:val="clear" w:color="auto" w:fill="auto"/>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满足驻点办案单位需求</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文字</w:t>
            </w:r>
          </w:p>
          <w:p>
            <w:pPr>
              <w:jc w:val="center"/>
              <w:rPr>
                <w:rFonts w:ascii="仿宋_GB2312" w:eastAsia="仿宋_GB2312"/>
                <w:color w:val="000000"/>
                <w:sz w:val="20"/>
                <w:szCs w:val="20"/>
              </w:rPr>
            </w:pPr>
            <w:r>
              <w:rPr>
                <w:rFonts w:hint="eastAsia" w:ascii="仿宋_GB2312" w:eastAsia="仿宋_GB2312"/>
                <w:color w:val="000000"/>
                <w:sz w:val="20"/>
                <w:szCs w:val="20"/>
              </w:rPr>
              <w:t>描述</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334"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满足</w:t>
            </w:r>
          </w:p>
          <w:p>
            <w:pPr>
              <w:jc w:val="center"/>
              <w:rPr>
                <w:rFonts w:ascii="仿宋_GB2312" w:hAnsi="宋体" w:eastAsia="仿宋_GB2312" w:cs="宋体"/>
                <w:color w:val="000000"/>
                <w:sz w:val="20"/>
                <w:szCs w:val="20"/>
              </w:rPr>
            </w:pPr>
            <w:r>
              <w:rPr>
                <w:rFonts w:hint="eastAsia" w:ascii="仿宋_GB2312" w:eastAsia="仿宋_GB2312"/>
                <w:color w:val="000000"/>
                <w:sz w:val="20"/>
                <w:szCs w:val="20"/>
              </w:rPr>
              <w:t>需求</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工作成果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78"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908"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加强工作人员归属感，保持干部队伍稳定</w:t>
            </w:r>
          </w:p>
        </w:tc>
        <w:tc>
          <w:tcPr>
            <w:tcW w:w="765"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保持相对稳定得满分，否则不得分</w:t>
            </w:r>
          </w:p>
        </w:tc>
        <w:tc>
          <w:tcPr>
            <w:tcW w:w="114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通过按时按标准发放工资福利等，进一步增强干部职工得归属感，保持职工队伍相对稳定，保障办公正常运转</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文字描述</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334"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保持职工队伍相对稳定</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92"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908" w:type="pct"/>
            <w:shd w:val="clear" w:color="auto" w:fill="auto"/>
            <w:noWrap/>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社会群众的满意度</w:t>
            </w:r>
          </w:p>
        </w:tc>
        <w:tc>
          <w:tcPr>
            <w:tcW w:w="765" w:type="pct"/>
            <w:shd w:val="clear" w:color="auto" w:fill="auto"/>
            <w:noWrap/>
            <w:tcMar>
              <w:top w:w="15" w:type="dxa"/>
              <w:left w:w="15" w:type="dxa"/>
              <w:bottom w:w="0" w:type="dxa"/>
              <w:right w:w="15" w:type="dxa"/>
            </w:tcMar>
            <w:vAlign w:val="center"/>
          </w:tcPr>
          <w:p>
            <w:pPr>
              <w:rPr>
                <w:rFonts w:ascii="仿宋_GB2312" w:eastAsia="仿宋_GB2312"/>
                <w:color w:val="000000"/>
                <w:sz w:val="20"/>
                <w:szCs w:val="20"/>
              </w:rPr>
            </w:pPr>
            <w:r>
              <w:rPr>
                <w:rFonts w:hint="eastAsia" w:ascii="仿宋_GB2312" w:eastAsia="仿宋_GB2312"/>
                <w:color w:val="000000"/>
                <w:sz w:val="20"/>
                <w:szCs w:val="20"/>
              </w:rPr>
              <w:t>达到标准得满分，每降低10%，扣权重分数的10%，扣完为止。</w:t>
            </w:r>
          </w:p>
        </w:tc>
        <w:tc>
          <w:tcPr>
            <w:tcW w:w="1147" w:type="pct"/>
            <w:shd w:val="clear" w:color="auto" w:fill="auto"/>
            <w:noWrap/>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对纪检监察工作的满意度</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w:t>
            </w: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90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百分比</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2"/>
        <w:rPr>
          <w:rFonts w:ascii="方正楷体_GBK" w:hAnsi="方正楷体_GBK" w:eastAsia="方正楷体_GBK" w:cs="方正楷体_GBK"/>
          <w:b/>
          <w:color w:val="000000"/>
          <w:sz w:val="32"/>
          <w:lang w:eastAsia="zh-CN"/>
        </w:rPr>
      </w:pPr>
      <w:bookmarkStart w:id="28" w:name="_Toc_3_3_0000000015"/>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2023年，中共廊坊市广阳区纪律检查委员会安排政府采购预算0.00万元。具体内容见下表。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中共廊坊市广阳区纪律检查委员会（含所属单位）上年末固定资产金额为515.74万元（详见下表）。本年度拟购置固定资产总额为0.00万元，已按要求列入政府采购预算，详见政府采购预算表。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237中共廊坊市广阳区纪律检查委员会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35</w:t>
            </w:r>
          </w:p>
        </w:tc>
        <w:tc>
          <w:tcPr>
            <w:tcW w:w="2835" w:type="dxa"/>
            <w:vAlign w:val="center"/>
          </w:tcPr>
          <w:p>
            <w:pPr>
              <w:pStyle w:val="16"/>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9</w:t>
            </w:r>
          </w:p>
        </w:tc>
        <w:tc>
          <w:tcPr>
            <w:tcW w:w="2835" w:type="dxa"/>
            <w:vAlign w:val="center"/>
          </w:tcPr>
          <w:p>
            <w:pPr>
              <w:pStyle w:val="16"/>
            </w:pPr>
            <w:r>
              <w:t>162.70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350</w:t>
            </w:r>
          </w:p>
        </w:tc>
        <w:tc>
          <w:tcPr>
            <w:tcW w:w="2835" w:type="dxa"/>
            <w:vAlign w:val="center"/>
          </w:tcPr>
          <w:p>
            <w:pPr>
              <w:pStyle w:val="16"/>
            </w:pPr>
            <w:r>
              <w:t>352.37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3B"/>
    <w:rsid w:val="0014703B"/>
    <w:rsid w:val="0074782A"/>
    <w:rsid w:val="00B1175B"/>
    <w:rsid w:val="00B523B7"/>
    <w:rsid w:val="00B76A32"/>
    <w:rsid w:val="00BE750F"/>
    <w:rsid w:val="00DD1CD6"/>
    <w:rsid w:val="00DE6484"/>
    <w:rsid w:val="17EB498F"/>
    <w:rsid w:val="3EA85064"/>
    <w:rsid w:val="49891435"/>
    <w:rsid w:val="658C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5608222-2718-4C1B-A2DD-F6A34B4A1B8B}">
  <ds:schemaRefs/>
</ds:datastoreItem>
</file>

<file path=customXml/itemProps10.xml><?xml version="1.0" encoding="utf-8"?>
<ds:datastoreItem xmlns:ds="http://schemas.openxmlformats.org/officeDocument/2006/customXml" ds:itemID="{4AE29F88-1223-416E-B4A0-985D22525E56}">
  <ds:schemaRefs/>
</ds:datastoreItem>
</file>

<file path=customXml/itemProps2.xml><?xml version="1.0" encoding="utf-8"?>
<ds:datastoreItem xmlns:ds="http://schemas.openxmlformats.org/officeDocument/2006/customXml" ds:itemID="{6DA4B97B-9F14-4C14-90FE-E030BA9217B8}">
  <ds:schemaRefs/>
</ds:datastoreItem>
</file>

<file path=customXml/itemProps3.xml><?xml version="1.0" encoding="utf-8"?>
<ds:datastoreItem xmlns:ds="http://schemas.openxmlformats.org/officeDocument/2006/customXml" ds:itemID="{02B806D9-8C30-47DD-BEEB-7C921EB039A6}">
  <ds:schemaRefs/>
</ds:datastoreItem>
</file>

<file path=customXml/itemProps4.xml><?xml version="1.0" encoding="utf-8"?>
<ds:datastoreItem xmlns:ds="http://schemas.openxmlformats.org/officeDocument/2006/customXml" ds:itemID="{432559C6-E7E4-403F-B9CC-B5070CAD4FF3}">
  <ds:schemaRefs/>
</ds:datastoreItem>
</file>

<file path=customXml/itemProps5.xml><?xml version="1.0" encoding="utf-8"?>
<ds:datastoreItem xmlns:ds="http://schemas.openxmlformats.org/officeDocument/2006/customXml" ds:itemID="{F579DF5E-8F02-474D-8744-E61B44C24A8B}">
  <ds:schemaRefs/>
</ds:datastoreItem>
</file>

<file path=customXml/itemProps6.xml><?xml version="1.0" encoding="utf-8"?>
<ds:datastoreItem xmlns:ds="http://schemas.openxmlformats.org/officeDocument/2006/customXml" ds:itemID="{5C976FEB-1CBB-4E15-9F05-F833BCAECEEC}">
  <ds:schemaRefs/>
</ds:datastoreItem>
</file>

<file path=customXml/itemProps7.xml><?xml version="1.0" encoding="utf-8"?>
<ds:datastoreItem xmlns:ds="http://schemas.openxmlformats.org/officeDocument/2006/customXml" ds:itemID="{4BAB2E4D-9A8E-42B9-A791-5071787022D2}">
  <ds:schemaRefs/>
</ds:datastoreItem>
</file>

<file path=customXml/itemProps8.xml><?xml version="1.0" encoding="utf-8"?>
<ds:datastoreItem xmlns:ds="http://schemas.openxmlformats.org/officeDocument/2006/customXml" ds:itemID="{54A83328-6A5A-45B3-B2FD-86121D2E1C43}">
  <ds:schemaRefs/>
</ds:datastoreItem>
</file>

<file path=customXml/itemProps9.xml><?xml version="1.0" encoding="utf-8"?>
<ds:datastoreItem xmlns:ds="http://schemas.openxmlformats.org/officeDocument/2006/customXml" ds:itemID="{79713DDE-F302-442F-AA30-3BE31E363216}">
  <ds:schemaRefs/>
</ds:datastoreItem>
</file>

<file path=docProps/app.xml><?xml version="1.0" encoding="utf-8"?>
<Properties xmlns="http://schemas.openxmlformats.org/officeDocument/2006/extended-properties" xmlns:vt="http://schemas.openxmlformats.org/officeDocument/2006/docPropsVTypes">
  <Template>Normal</Template>
  <Pages>32</Pages>
  <Words>2298</Words>
  <Characters>13101</Characters>
  <Lines>109</Lines>
  <Paragraphs>30</Paragraphs>
  <TotalTime>9</TotalTime>
  <ScaleCrop>false</ScaleCrop>
  <LinksUpToDate>false</LinksUpToDate>
  <CharactersWithSpaces>15369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111</cp:lastModifiedBy>
  <dcterms:modified xsi:type="dcterms:W3CDTF">2024-07-22T01:54:41Z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4C86C7E833C844018277240B5898D431</vt:lpwstr>
  </property>
</Properties>
</file>