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231廊坊市广阳区审计局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398.64</w:t>
            </w:r>
          </w:p>
        </w:tc>
        <w:tc>
          <w:tcPr>
            <w:tcW w:w="4535" w:type="dxa"/>
            <w:vAlign w:val="center"/>
          </w:tcPr>
          <w:p>
            <w:pPr>
              <w:pStyle w:val="17"/>
            </w:pPr>
            <w:r>
              <w:t>一、一般公共服务支出</w:t>
            </w:r>
          </w:p>
        </w:tc>
        <w:tc>
          <w:tcPr>
            <w:tcW w:w="2126" w:type="dxa"/>
            <w:vAlign w:val="center"/>
          </w:tcPr>
          <w:p>
            <w:pPr>
              <w:pStyle w:val="16"/>
            </w:pPr>
            <w:r>
              <w:t>300.96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70.02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398.64</w:t>
            </w:r>
          </w:p>
        </w:tc>
        <w:tc>
          <w:tcPr>
            <w:tcW w:w="4535" w:type="dxa"/>
            <w:vAlign w:val="center"/>
          </w:tcPr>
          <w:p>
            <w:pPr>
              <w:pStyle w:val="19"/>
            </w:pPr>
            <w:r>
              <w:t>本年支出合计</w:t>
            </w:r>
          </w:p>
        </w:tc>
        <w:tc>
          <w:tcPr>
            <w:tcW w:w="2126" w:type="dxa"/>
            <w:vAlign w:val="center"/>
          </w:tcPr>
          <w:p>
            <w:pPr>
              <w:pStyle w:val="20"/>
            </w:pPr>
            <w:r>
              <w:t>398.64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398.64</w:t>
            </w:r>
          </w:p>
        </w:tc>
        <w:tc>
          <w:tcPr>
            <w:tcW w:w="4535" w:type="dxa"/>
            <w:vAlign w:val="center"/>
          </w:tcPr>
          <w:p>
            <w:pPr>
              <w:pStyle w:val="19"/>
            </w:pPr>
            <w:r>
              <w:t>支出总计</w:t>
            </w:r>
          </w:p>
        </w:tc>
        <w:tc>
          <w:tcPr>
            <w:tcW w:w="2126" w:type="dxa"/>
            <w:vAlign w:val="center"/>
          </w:tcPr>
          <w:p>
            <w:pPr>
              <w:pStyle w:val="20"/>
            </w:pPr>
            <w:r>
              <w:t>398.64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231廊坊市广阳区审计局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398.64</w:t>
            </w:r>
          </w:p>
        </w:tc>
        <w:tc>
          <w:tcPr>
            <w:tcW w:w="1134" w:type="dxa"/>
            <w:vAlign w:val="center"/>
          </w:tcPr>
          <w:p>
            <w:pPr>
              <w:pStyle w:val="20"/>
            </w:pPr>
            <w:r>
              <w:t>398.64</w:t>
            </w:r>
          </w:p>
        </w:tc>
        <w:tc>
          <w:tcPr>
            <w:tcW w:w="1134" w:type="dxa"/>
            <w:vAlign w:val="center"/>
          </w:tcPr>
          <w:p>
            <w:pPr>
              <w:pStyle w:val="20"/>
            </w:pPr>
            <w:r>
              <w:t>398.64</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300.96</w:t>
            </w:r>
          </w:p>
        </w:tc>
        <w:tc>
          <w:tcPr>
            <w:tcW w:w="1134" w:type="dxa"/>
            <w:vAlign w:val="center"/>
          </w:tcPr>
          <w:p>
            <w:pPr>
              <w:pStyle w:val="16"/>
            </w:pPr>
            <w:r>
              <w:t>300.96</w:t>
            </w:r>
          </w:p>
        </w:tc>
        <w:tc>
          <w:tcPr>
            <w:tcW w:w="1134" w:type="dxa"/>
            <w:vAlign w:val="center"/>
          </w:tcPr>
          <w:p>
            <w:pPr>
              <w:pStyle w:val="16"/>
            </w:pPr>
            <w:r>
              <w:t>300.96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20108</w:t>
            </w:r>
          </w:p>
        </w:tc>
        <w:tc>
          <w:tcPr>
            <w:tcW w:w="1559" w:type="dxa"/>
            <w:vAlign w:val="center"/>
          </w:tcPr>
          <w:p>
            <w:pPr>
              <w:pStyle w:val="17"/>
            </w:pPr>
            <w:r>
              <w:t>审计事务</w:t>
            </w:r>
          </w:p>
        </w:tc>
        <w:tc>
          <w:tcPr>
            <w:tcW w:w="1134" w:type="dxa"/>
            <w:vAlign w:val="center"/>
          </w:tcPr>
          <w:p>
            <w:pPr>
              <w:pStyle w:val="16"/>
            </w:pPr>
            <w:r>
              <w:t>300.96</w:t>
            </w:r>
          </w:p>
        </w:tc>
        <w:tc>
          <w:tcPr>
            <w:tcW w:w="1134" w:type="dxa"/>
            <w:vAlign w:val="center"/>
          </w:tcPr>
          <w:p>
            <w:pPr>
              <w:pStyle w:val="16"/>
            </w:pPr>
            <w:r>
              <w:t>300.96</w:t>
            </w:r>
          </w:p>
        </w:tc>
        <w:tc>
          <w:tcPr>
            <w:tcW w:w="1134" w:type="dxa"/>
            <w:vAlign w:val="center"/>
          </w:tcPr>
          <w:p>
            <w:pPr>
              <w:pStyle w:val="16"/>
            </w:pPr>
            <w:r>
              <w:t>300.96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2010801</w:t>
            </w:r>
          </w:p>
        </w:tc>
        <w:tc>
          <w:tcPr>
            <w:tcW w:w="1559" w:type="dxa"/>
            <w:vAlign w:val="center"/>
          </w:tcPr>
          <w:p>
            <w:pPr>
              <w:pStyle w:val="17"/>
            </w:pPr>
            <w:r>
              <w:t>行政运行</w:t>
            </w:r>
          </w:p>
        </w:tc>
        <w:tc>
          <w:tcPr>
            <w:tcW w:w="1134" w:type="dxa"/>
            <w:vAlign w:val="center"/>
          </w:tcPr>
          <w:p>
            <w:pPr>
              <w:pStyle w:val="16"/>
            </w:pPr>
            <w:r>
              <w:t>300.96</w:t>
            </w:r>
          </w:p>
        </w:tc>
        <w:tc>
          <w:tcPr>
            <w:tcW w:w="1134" w:type="dxa"/>
            <w:vAlign w:val="center"/>
          </w:tcPr>
          <w:p>
            <w:pPr>
              <w:pStyle w:val="16"/>
            </w:pPr>
            <w:r>
              <w:t>300.96</w:t>
            </w:r>
          </w:p>
        </w:tc>
        <w:tc>
          <w:tcPr>
            <w:tcW w:w="1134" w:type="dxa"/>
            <w:vAlign w:val="center"/>
          </w:tcPr>
          <w:p>
            <w:pPr>
              <w:pStyle w:val="16"/>
            </w:pPr>
            <w:r>
              <w:t>300.96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70.02</w:t>
            </w:r>
          </w:p>
        </w:tc>
        <w:tc>
          <w:tcPr>
            <w:tcW w:w="1134" w:type="dxa"/>
            <w:vAlign w:val="center"/>
          </w:tcPr>
          <w:p>
            <w:pPr>
              <w:pStyle w:val="16"/>
            </w:pPr>
            <w:r>
              <w:t>70.02</w:t>
            </w:r>
          </w:p>
        </w:tc>
        <w:tc>
          <w:tcPr>
            <w:tcW w:w="1134" w:type="dxa"/>
            <w:vAlign w:val="center"/>
          </w:tcPr>
          <w:p>
            <w:pPr>
              <w:pStyle w:val="16"/>
            </w:pPr>
            <w:r>
              <w:t>70.02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70.02</w:t>
            </w:r>
          </w:p>
        </w:tc>
        <w:tc>
          <w:tcPr>
            <w:tcW w:w="1134" w:type="dxa"/>
            <w:vAlign w:val="center"/>
          </w:tcPr>
          <w:p>
            <w:pPr>
              <w:pStyle w:val="16"/>
            </w:pPr>
            <w:r>
              <w:t>70.02</w:t>
            </w:r>
          </w:p>
        </w:tc>
        <w:tc>
          <w:tcPr>
            <w:tcW w:w="1134" w:type="dxa"/>
            <w:vAlign w:val="center"/>
          </w:tcPr>
          <w:p>
            <w:pPr>
              <w:pStyle w:val="16"/>
            </w:pPr>
            <w:r>
              <w:t>70.02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45.78</w:t>
            </w:r>
          </w:p>
        </w:tc>
        <w:tc>
          <w:tcPr>
            <w:tcW w:w="1134" w:type="dxa"/>
            <w:vAlign w:val="center"/>
          </w:tcPr>
          <w:p>
            <w:pPr>
              <w:pStyle w:val="16"/>
            </w:pPr>
            <w:r>
              <w:t>45.78</w:t>
            </w:r>
          </w:p>
        </w:tc>
        <w:tc>
          <w:tcPr>
            <w:tcW w:w="1134" w:type="dxa"/>
            <w:vAlign w:val="center"/>
          </w:tcPr>
          <w:p>
            <w:pPr>
              <w:pStyle w:val="16"/>
            </w:pPr>
            <w:r>
              <w:t>45.78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24.24</w:t>
            </w:r>
          </w:p>
        </w:tc>
        <w:tc>
          <w:tcPr>
            <w:tcW w:w="1134" w:type="dxa"/>
            <w:vAlign w:val="center"/>
          </w:tcPr>
          <w:p>
            <w:pPr>
              <w:pStyle w:val="16"/>
            </w:pPr>
            <w:r>
              <w:t>24.24</w:t>
            </w:r>
          </w:p>
        </w:tc>
        <w:tc>
          <w:tcPr>
            <w:tcW w:w="1134" w:type="dxa"/>
            <w:vAlign w:val="center"/>
          </w:tcPr>
          <w:p>
            <w:pPr>
              <w:pStyle w:val="16"/>
            </w:pPr>
            <w:r>
              <w:t>24.24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7.63</w:t>
            </w:r>
          </w:p>
        </w:tc>
        <w:tc>
          <w:tcPr>
            <w:tcW w:w="1134" w:type="dxa"/>
            <w:vAlign w:val="center"/>
          </w:tcPr>
          <w:p>
            <w:pPr>
              <w:pStyle w:val="16"/>
            </w:pPr>
            <w:r>
              <w:t>7.63</w:t>
            </w:r>
          </w:p>
        </w:tc>
        <w:tc>
          <w:tcPr>
            <w:tcW w:w="1134" w:type="dxa"/>
            <w:vAlign w:val="center"/>
          </w:tcPr>
          <w:p>
            <w:pPr>
              <w:pStyle w:val="16"/>
            </w:pPr>
            <w:r>
              <w:t>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7.63</w:t>
            </w:r>
          </w:p>
        </w:tc>
        <w:tc>
          <w:tcPr>
            <w:tcW w:w="1134" w:type="dxa"/>
            <w:vAlign w:val="center"/>
          </w:tcPr>
          <w:p>
            <w:pPr>
              <w:pStyle w:val="16"/>
            </w:pPr>
            <w:r>
              <w:t>7.63</w:t>
            </w:r>
          </w:p>
        </w:tc>
        <w:tc>
          <w:tcPr>
            <w:tcW w:w="1134" w:type="dxa"/>
            <w:vAlign w:val="center"/>
          </w:tcPr>
          <w:p>
            <w:pPr>
              <w:pStyle w:val="16"/>
            </w:pPr>
            <w:r>
              <w:t>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7.63</w:t>
            </w:r>
          </w:p>
        </w:tc>
        <w:tc>
          <w:tcPr>
            <w:tcW w:w="1134" w:type="dxa"/>
            <w:vAlign w:val="center"/>
          </w:tcPr>
          <w:p>
            <w:pPr>
              <w:pStyle w:val="16"/>
            </w:pPr>
            <w:r>
              <w:t>7.63</w:t>
            </w:r>
          </w:p>
        </w:tc>
        <w:tc>
          <w:tcPr>
            <w:tcW w:w="1134" w:type="dxa"/>
            <w:vAlign w:val="center"/>
          </w:tcPr>
          <w:p>
            <w:pPr>
              <w:pStyle w:val="16"/>
            </w:pPr>
            <w:r>
              <w:t>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20.03</w:t>
            </w:r>
          </w:p>
        </w:tc>
        <w:tc>
          <w:tcPr>
            <w:tcW w:w="1134" w:type="dxa"/>
            <w:vAlign w:val="center"/>
          </w:tcPr>
          <w:p>
            <w:pPr>
              <w:pStyle w:val="16"/>
            </w:pPr>
            <w:r>
              <w:t>20.03</w:t>
            </w:r>
          </w:p>
        </w:tc>
        <w:tc>
          <w:tcPr>
            <w:tcW w:w="1134" w:type="dxa"/>
            <w:vAlign w:val="center"/>
          </w:tcPr>
          <w:p>
            <w:pPr>
              <w:pStyle w:val="16"/>
            </w:pPr>
            <w:r>
              <w:t>20.03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20.03</w:t>
            </w:r>
          </w:p>
        </w:tc>
        <w:tc>
          <w:tcPr>
            <w:tcW w:w="1134" w:type="dxa"/>
            <w:vAlign w:val="center"/>
          </w:tcPr>
          <w:p>
            <w:pPr>
              <w:pStyle w:val="16"/>
            </w:pPr>
            <w:r>
              <w:t>20.03</w:t>
            </w:r>
          </w:p>
        </w:tc>
        <w:tc>
          <w:tcPr>
            <w:tcW w:w="1134" w:type="dxa"/>
            <w:vAlign w:val="center"/>
          </w:tcPr>
          <w:p>
            <w:pPr>
              <w:pStyle w:val="16"/>
            </w:pPr>
            <w:r>
              <w:t>20.03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20.03</w:t>
            </w:r>
          </w:p>
        </w:tc>
        <w:tc>
          <w:tcPr>
            <w:tcW w:w="1134" w:type="dxa"/>
            <w:vAlign w:val="center"/>
          </w:tcPr>
          <w:p>
            <w:pPr>
              <w:pStyle w:val="16"/>
            </w:pPr>
            <w:r>
              <w:t>20.03</w:t>
            </w:r>
          </w:p>
        </w:tc>
        <w:tc>
          <w:tcPr>
            <w:tcW w:w="1134" w:type="dxa"/>
            <w:vAlign w:val="center"/>
          </w:tcPr>
          <w:p>
            <w:pPr>
              <w:pStyle w:val="16"/>
            </w:pPr>
            <w:r>
              <w:t>20.03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231廊坊市广阳区审计局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398.64</w:t>
            </w:r>
          </w:p>
        </w:tc>
        <w:tc>
          <w:tcPr>
            <w:tcW w:w="1361" w:type="dxa"/>
            <w:vAlign w:val="center"/>
          </w:tcPr>
          <w:p>
            <w:pPr>
              <w:pStyle w:val="20"/>
            </w:pPr>
            <w:r>
              <w:t>398.64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300.96</w:t>
            </w:r>
          </w:p>
        </w:tc>
        <w:tc>
          <w:tcPr>
            <w:tcW w:w="1361" w:type="dxa"/>
            <w:vAlign w:val="center"/>
          </w:tcPr>
          <w:p>
            <w:pPr>
              <w:pStyle w:val="16"/>
            </w:pPr>
            <w:r>
              <w:t>300.96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20108</w:t>
            </w:r>
          </w:p>
        </w:tc>
        <w:tc>
          <w:tcPr>
            <w:tcW w:w="4535" w:type="dxa"/>
            <w:vAlign w:val="center"/>
          </w:tcPr>
          <w:p>
            <w:pPr>
              <w:pStyle w:val="17"/>
            </w:pPr>
            <w:r>
              <w:t>审计事务</w:t>
            </w:r>
          </w:p>
        </w:tc>
        <w:tc>
          <w:tcPr>
            <w:tcW w:w="1361" w:type="dxa"/>
            <w:vAlign w:val="center"/>
          </w:tcPr>
          <w:p>
            <w:pPr>
              <w:pStyle w:val="16"/>
            </w:pPr>
            <w:r>
              <w:t>300.96</w:t>
            </w:r>
          </w:p>
        </w:tc>
        <w:tc>
          <w:tcPr>
            <w:tcW w:w="1361" w:type="dxa"/>
            <w:vAlign w:val="center"/>
          </w:tcPr>
          <w:p>
            <w:pPr>
              <w:pStyle w:val="16"/>
            </w:pPr>
            <w:r>
              <w:t>300.96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2010801</w:t>
            </w:r>
          </w:p>
        </w:tc>
        <w:tc>
          <w:tcPr>
            <w:tcW w:w="4535" w:type="dxa"/>
            <w:vAlign w:val="center"/>
          </w:tcPr>
          <w:p>
            <w:pPr>
              <w:pStyle w:val="17"/>
            </w:pPr>
            <w:r>
              <w:t>行政运行</w:t>
            </w:r>
          </w:p>
        </w:tc>
        <w:tc>
          <w:tcPr>
            <w:tcW w:w="1361" w:type="dxa"/>
            <w:vAlign w:val="center"/>
          </w:tcPr>
          <w:p>
            <w:pPr>
              <w:pStyle w:val="16"/>
            </w:pPr>
            <w:r>
              <w:t>300.96</w:t>
            </w:r>
          </w:p>
        </w:tc>
        <w:tc>
          <w:tcPr>
            <w:tcW w:w="1361" w:type="dxa"/>
            <w:vAlign w:val="center"/>
          </w:tcPr>
          <w:p>
            <w:pPr>
              <w:pStyle w:val="16"/>
            </w:pPr>
            <w:r>
              <w:t>300.96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70.02</w:t>
            </w:r>
          </w:p>
        </w:tc>
        <w:tc>
          <w:tcPr>
            <w:tcW w:w="1361" w:type="dxa"/>
            <w:vAlign w:val="center"/>
          </w:tcPr>
          <w:p>
            <w:pPr>
              <w:pStyle w:val="16"/>
            </w:pPr>
            <w:r>
              <w:t>70.02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70.02</w:t>
            </w:r>
          </w:p>
        </w:tc>
        <w:tc>
          <w:tcPr>
            <w:tcW w:w="1361" w:type="dxa"/>
            <w:vAlign w:val="center"/>
          </w:tcPr>
          <w:p>
            <w:pPr>
              <w:pStyle w:val="16"/>
            </w:pPr>
            <w:r>
              <w:t>70.02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45.78</w:t>
            </w:r>
          </w:p>
        </w:tc>
        <w:tc>
          <w:tcPr>
            <w:tcW w:w="1361" w:type="dxa"/>
            <w:vAlign w:val="center"/>
          </w:tcPr>
          <w:p>
            <w:pPr>
              <w:pStyle w:val="16"/>
            </w:pPr>
            <w:r>
              <w:t>45.78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24.24</w:t>
            </w:r>
          </w:p>
        </w:tc>
        <w:tc>
          <w:tcPr>
            <w:tcW w:w="1361" w:type="dxa"/>
            <w:vAlign w:val="center"/>
          </w:tcPr>
          <w:p>
            <w:pPr>
              <w:pStyle w:val="16"/>
            </w:pPr>
            <w:r>
              <w:t>24.24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7.63</w:t>
            </w:r>
          </w:p>
        </w:tc>
        <w:tc>
          <w:tcPr>
            <w:tcW w:w="1361" w:type="dxa"/>
            <w:vAlign w:val="center"/>
          </w:tcPr>
          <w:p>
            <w:pPr>
              <w:pStyle w:val="16"/>
            </w:pPr>
            <w:r>
              <w:t>7.63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7.63</w:t>
            </w:r>
          </w:p>
        </w:tc>
        <w:tc>
          <w:tcPr>
            <w:tcW w:w="1361" w:type="dxa"/>
            <w:vAlign w:val="center"/>
          </w:tcPr>
          <w:p>
            <w:pPr>
              <w:pStyle w:val="16"/>
            </w:pPr>
            <w:r>
              <w:t>7.63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7.63</w:t>
            </w:r>
          </w:p>
        </w:tc>
        <w:tc>
          <w:tcPr>
            <w:tcW w:w="1361" w:type="dxa"/>
            <w:vAlign w:val="center"/>
          </w:tcPr>
          <w:p>
            <w:pPr>
              <w:pStyle w:val="16"/>
            </w:pPr>
            <w:r>
              <w:t>7.63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20.03</w:t>
            </w:r>
          </w:p>
        </w:tc>
        <w:tc>
          <w:tcPr>
            <w:tcW w:w="1361" w:type="dxa"/>
            <w:vAlign w:val="center"/>
          </w:tcPr>
          <w:p>
            <w:pPr>
              <w:pStyle w:val="16"/>
            </w:pPr>
            <w:r>
              <w:t>20.03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20.03</w:t>
            </w:r>
          </w:p>
        </w:tc>
        <w:tc>
          <w:tcPr>
            <w:tcW w:w="1361" w:type="dxa"/>
            <w:vAlign w:val="center"/>
          </w:tcPr>
          <w:p>
            <w:pPr>
              <w:pStyle w:val="16"/>
            </w:pPr>
            <w:r>
              <w:t>20.03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20.03</w:t>
            </w:r>
          </w:p>
        </w:tc>
        <w:tc>
          <w:tcPr>
            <w:tcW w:w="1361" w:type="dxa"/>
            <w:vAlign w:val="center"/>
          </w:tcPr>
          <w:p>
            <w:pPr>
              <w:pStyle w:val="16"/>
            </w:pPr>
            <w:r>
              <w:t>20.03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231廊坊市广阳区审计局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398.64</w:t>
            </w:r>
          </w:p>
        </w:tc>
        <w:tc>
          <w:tcPr>
            <w:tcW w:w="3402" w:type="dxa"/>
            <w:vAlign w:val="center"/>
          </w:tcPr>
          <w:p>
            <w:pPr>
              <w:pStyle w:val="17"/>
            </w:pPr>
            <w:r>
              <w:t>一、一般公共服务支出</w:t>
            </w:r>
          </w:p>
        </w:tc>
        <w:tc>
          <w:tcPr>
            <w:tcW w:w="1474" w:type="dxa"/>
            <w:vAlign w:val="center"/>
          </w:tcPr>
          <w:p>
            <w:pPr>
              <w:pStyle w:val="16"/>
            </w:pPr>
            <w:r>
              <w:t>300.96</w:t>
            </w:r>
          </w:p>
        </w:tc>
        <w:tc>
          <w:tcPr>
            <w:tcW w:w="1474" w:type="dxa"/>
            <w:vAlign w:val="center"/>
          </w:tcPr>
          <w:p>
            <w:pPr>
              <w:pStyle w:val="16"/>
            </w:pPr>
            <w:r>
              <w:t>300.96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70.02</w:t>
            </w:r>
          </w:p>
        </w:tc>
        <w:tc>
          <w:tcPr>
            <w:tcW w:w="1474" w:type="dxa"/>
            <w:vAlign w:val="center"/>
          </w:tcPr>
          <w:p>
            <w:pPr>
              <w:pStyle w:val="16"/>
            </w:pPr>
            <w:r>
              <w:t>70.02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7.63</w:t>
            </w:r>
          </w:p>
        </w:tc>
        <w:tc>
          <w:tcPr>
            <w:tcW w:w="1474" w:type="dxa"/>
            <w:vAlign w:val="center"/>
          </w:tcPr>
          <w:p>
            <w:pPr>
              <w:pStyle w:val="16"/>
            </w:pPr>
            <w:r>
              <w:t>7.63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20.03</w:t>
            </w:r>
          </w:p>
        </w:tc>
        <w:tc>
          <w:tcPr>
            <w:tcW w:w="1474" w:type="dxa"/>
            <w:vAlign w:val="center"/>
          </w:tcPr>
          <w:p>
            <w:pPr>
              <w:pStyle w:val="16"/>
            </w:pPr>
            <w:r>
              <w:t>20.03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398.64</w:t>
            </w:r>
          </w:p>
        </w:tc>
        <w:tc>
          <w:tcPr>
            <w:tcW w:w="3402" w:type="dxa"/>
            <w:vAlign w:val="center"/>
          </w:tcPr>
          <w:p>
            <w:pPr>
              <w:pStyle w:val="19"/>
            </w:pPr>
            <w:r>
              <w:t>本年支出合计</w:t>
            </w:r>
          </w:p>
        </w:tc>
        <w:tc>
          <w:tcPr>
            <w:tcW w:w="1474" w:type="dxa"/>
            <w:vAlign w:val="center"/>
          </w:tcPr>
          <w:p>
            <w:pPr>
              <w:pStyle w:val="20"/>
            </w:pPr>
            <w:r>
              <w:t>398.64</w:t>
            </w:r>
          </w:p>
        </w:tc>
        <w:tc>
          <w:tcPr>
            <w:tcW w:w="1474" w:type="dxa"/>
            <w:vAlign w:val="center"/>
          </w:tcPr>
          <w:p>
            <w:pPr>
              <w:pStyle w:val="20"/>
            </w:pPr>
            <w:r>
              <w:t>398.64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398.64</w:t>
            </w:r>
          </w:p>
        </w:tc>
        <w:tc>
          <w:tcPr>
            <w:tcW w:w="3402" w:type="dxa"/>
            <w:vAlign w:val="center"/>
          </w:tcPr>
          <w:p>
            <w:pPr>
              <w:pStyle w:val="19"/>
            </w:pPr>
            <w:r>
              <w:t>支出总计</w:t>
            </w:r>
          </w:p>
        </w:tc>
        <w:tc>
          <w:tcPr>
            <w:tcW w:w="1474" w:type="dxa"/>
            <w:vAlign w:val="center"/>
          </w:tcPr>
          <w:p>
            <w:pPr>
              <w:pStyle w:val="20"/>
            </w:pPr>
            <w:r>
              <w:t>398.64</w:t>
            </w:r>
          </w:p>
        </w:tc>
        <w:tc>
          <w:tcPr>
            <w:tcW w:w="1474" w:type="dxa"/>
            <w:vAlign w:val="center"/>
          </w:tcPr>
          <w:p>
            <w:pPr>
              <w:pStyle w:val="20"/>
            </w:pPr>
            <w:r>
              <w:t>398.64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231廊坊市广阳区审计局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398.64</w:t>
            </w:r>
          </w:p>
        </w:tc>
        <w:tc>
          <w:tcPr>
            <w:tcW w:w="2551" w:type="dxa"/>
            <w:vAlign w:val="center"/>
          </w:tcPr>
          <w:p>
            <w:pPr>
              <w:pStyle w:val="20"/>
            </w:pPr>
            <w:r>
              <w:t>398.64</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300.96</w:t>
            </w:r>
          </w:p>
        </w:tc>
        <w:tc>
          <w:tcPr>
            <w:tcW w:w="2551" w:type="dxa"/>
            <w:vAlign w:val="center"/>
          </w:tcPr>
          <w:p>
            <w:pPr>
              <w:pStyle w:val="16"/>
            </w:pPr>
            <w:r>
              <w:t>300.96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20108</w:t>
            </w:r>
          </w:p>
        </w:tc>
        <w:tc>
          <w:tcPr>
            <w:tcW w:w="4535" w:type="dxa"/>
            <w:vAlign w:val="center"/>
          </w:tcPr>
          <w:p>
            <w:pPr>
              <w:pStyle w:val="17"/>
            </w:pPr>
            <w:r>
              <w:t>审计事务</w:t>
            </w:r>
          </w:p>
        </w:tc>
        <w:tc>
          <w:tcPr>
            <w:tcW w:w="2551" w:type="dxa"/>
            <w:vAlign w:val="center"/>
          </w:tcPr>
          <w:p>
            <w:pPr>
              <w:pStyle w:val="16"/>
            </w:pPr>
            <w:r>
              <w:t>300.96</w:t>
            </w:r>
          </w:p>
        </w:tc>
        <w:tc>
          <w:tcPr>
            <w:tcW w:w="2551" w:type="dxa"/>
            <w:vAlign w:val="center"/>
          </w:tcPr>
          <w:p>
            <w:pPr>
              <w:pStyle w:val="16"/>
            </w:pPr>
            <w:r>
              <w:t>300.96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2010801</w:t>
            </w:r>
          </w:p>
        </w:tc>
        <w:tc>
          <w:tcPr>
            <w:tcW w:w="4535" w:type="dxa"/>
            <w:vAlign w:val="center"/>
          </w:tcPr>
          <w:p>
            <w:pPr>
              <w:pStyle w:val="17"/>
            </w:pPr>
            <w:r>
              <w:t>行政运行</w:t>
            </w:r>
          </w:p>
        </w:tc>
        <w:tc>
          <w:tcPr>
            <w:tcW w:w="2551" w:type="dxa"/>
            <w:vAlign w:val="center"/>
          </w:tcPr>
          <w:p>
            <w:pPr>
              <w:pStyle w:val="16"/>
            </w:pPr>
            <w:r>
              <w:t>300.96</w:t>
            </w:r>
          </w:p>
        </w:tc>
        <w:tc>
          <w:tcPr>
            <w:tcW w:w="2551" w:type="dxa"/>
            <w:vAlign w:val="center"/>
          </w:tcPr>
          <w:p>
            <w:pPr>
              <w:pStyle w:val="16"/>
            </w:pPr>
            <w:r>
              <w:t>300.96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70.02</w:t>
            </w:r>
          </w:p>
        </w:tc>
        <w:tc>
          <w:tcPr>
            <w:tcW w:w="2551" w:type="dxa"/>
            <w:vAlign w:val="center"/>
          </w:tcPr>
          <w:p>
            <w:pPr>
              <w:pStyle w:val="16"/>
            </w:pPr>
            <w:r>
              <w:t>70.02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70.02</w:t>
            </w:r>
          </w:p>
        </w:tc>
        <w:tc>
          <w:tcPr>
            <w:tcW w:w="2551" w:type="dxa"/>
            <w:vAlign w:val="center"/>
          </w:tcPr>
          <w:p>
            <w:pPr>
              <w:pStyle w:val="16"/>
            </w:pPr>
            <w:r>
              <w:t>70.02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45.78</w:t>
            </w:r>
          </w:p>
        </w:tc>
        <w:tc>
          <w:tcPr>
            <w:tcW w:w="2551" w:type="dxa"/>
            <w:vAlign w:val="center"/>
          </w:tcPr>
          <w:p>
            <w:pPr>
              <w:pStyle w:val="16"/>
            </w:pPr>
            <w:r>
              <w:t>45.78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24.24</w:t>
            </w:r>
          </w:p>
        </w:tc>
        <w:tc>
          <w:tcPr>
            <w:tcW w:w="2551" w:type="dxa"/>
            <w:vAlign w:val="center"/>
          </w:tcPr>
          <w:p>
            <w:pPr>
              <w:pStyle w:val="16"/>
            </w:pPr>
            <w:r>
              <w:t>24.24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7.63</w:t>
            </w:r>
          </w:p>
        </w:tc>
        <w:tc>
          <w:tcPr>
            <w:tcW w:w="2551" w:type="dxa"/>
            <w:vAlign w:val="center"/>
          </w:tcPr>
          <w:p>
            <w:pPr>
              <w:pStyle w:val="16"/>
            </w:pPr>
            <w:r>
              <w:t>7.63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7.63</w:t>
            </w:r>
          </w:p>
        </w:tc>
        <w:tc>
          <w:tcPr>
            <w:tcW w:w="2551" w:type="dxa"/>
            <w:vAlign w:val="center"/>
          </w:tcPr>
          <w:p>
            <w:pPr>
              <w:pStyle w:val="16"/>
            </w:pPr>
            <w:r>
              <w:t>7.63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7.63</w:t>
            </w:r>
          </w:p>
        </w:tc>
        <w:tc>
          <w:tcPr>
            <w:tcW w:w="2551" w:type="dxa"/>
            <w:vAlign w:val="center"/>
          </w:tcPr>
          <w:p>
            <w:pPr>
              <w:pStyle w:val="16"/>
            </w:pPr>
            <w:r>
              <w:t>7.63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20.03</w:t>
            </w:r>
          </w:p>
        </w:tc>
        <w:tc>
          <w:tcPr>
            <w:tcW w:w="2551" w:type="dxa"/>
            <w:vAlign w:val="center"/>
          </w:tcPr>
          <w:p>
            <w:pPr>
              <w:pStyle w:val="16"/>
            </w:pPr>
            <w:r>
              <w:t>20.03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20.03</w:t>
            </w:r>
          </w:p>
        </w:tc>
        <w:tc>
          <w:tcPr>
            <w:tcW w:w="2551" w:type="dxa"/>
            <w:vAlign w:val="center"/>
          </w:tcPr>
          <w:p>
            <w:pPr>
              <w:pStyle w:val="16"/>
            </w:pPr>
            <w:r>
              <w:t>20.03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20.03</w:t>
            </w:r>
          </w:p>
        </w:tc>
        <w:tc>
          <w:tcPr>
            <w:tcW w:w="2551" w:type="dxa"/>
            <w:vAlign w:val="center"/>
          </w:tcPr>
          <w:p>
            <w:pPr>
              <w:pStyle w:val="16"/>
            </w:pPr>
            <w:r>
              <w:t>20.03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231廊坊市广阳区审计局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398.64</w:t>
            </w:r>
          </w:p>
        </w:tc>
        <w:tc>
          <w:tcPr>
            <w:tcW w:w="2551" w:type="dxa"/>
            <w:vAlign w:val="center"/>
          </w:tcPr>
          <w:p>
            <w:pPr>
              <w:pStyle w:val="20"/>
            </w:pPr>
            <w:r>
              <w:t>306.29</w:t>
            </w:r>
          </w:p>
        </w:tc>
        <w:tc>
          <w:tcPr>
            <w:tcW w:w="2551" w:type="dxa"/>
            <w:vAlign w:val="center"/>
          </w:tcPr>
          <w:p>
            <w:pPr>
              <w:pStyle w:val="20"/>
            </w:pPr>
            <w:r>
              <w:t>92.35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260.43</w:t>
            </w:r>
          </w:p>
        </w:tc>
        <w:tc>
          <w:tcPr>
            <w:tcW w:w="2551" w:type="dxa"/>
            <w:vAlign w:val="center"/>
          </w:tcPr>
          <w:p>
            <w:pPr>
              <w:pStyle w:val="16"/>
            </w:pPr>
            <w:r>
              <w:t>260.43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70.18</w:t>
            </w:r>
          </w:p>
        </w:tc>
        <w:tc>
          <w:tcPr>
            <w:tcW w:w="2551" w:type="dxa"/>
            <w:vAlign w:val="center"/>
          </w:tcPr>
          <w:p>
            <w:pPr>
              <w:pStyle w:val="16"/>
            </w:pPr>
            <w:r>
              <w:t>70.18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87.13</w:t>
            </w:r>
          </w:p>
        </w:tc>
        <w:tc>
          <w:tcPr>
            <w:tcW w:w="2551" w:type="dxa"/>
            <w:vAlign w:val="center"/>
          </w:tcPr>
          <w:p>
            <w:pPr>
              <w:pStyle w:val="16"/>
            </w:pPr>
            <w:r>
              <w:t>87.13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50.25</w:t>
            </w:r>
          </w:p>
        </w:tc>
        <w:tc>
          <w:tcPr>
            <w:tcW w:w="2551" w:type="dxa"/>
            <w:vAlign w:val="center"/>
          </w:tcPr>
          <w:p>
            <w:pPr>
              <w:pStyle w:val="16"/>
            </w:pPr>
            <w:r>
              <w:t>50.25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24.24</w:t>
            </w:r>
          </w:p>
        </w:tc>
        <w:tc>
          <w:tcPr>
            <w:tcW w:w="2551" w:type="dxa"/>
            <w:vAlign w:val="center"/>
          </w:tcPr>
          <w:p>
            <w:pPr>
              <w:pStyle w:val="16"/>
            </w:pPr>
            <w:r>
              <w:t>24.24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7.53</w:t>
            </w:r>
          </w:p>
        </w:tc>
        <w:tc>
          <w:tcPr>
            <w:tcW w:w="2551" w:type="dxa"/>
            <w:vAlign w:val="center"/>
          </w:tcPr>
          <w:p>
            <w:pPr>
              <w:pStyle w:val="16"/>
            </w:pPr>
            <w:r>
              <w:t>7.53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0.71</w:t>
            </w:r>
          </w:p>
        </w:tc>
        <w:tc>
          <w:tcPr>
            <w:tcW w:w="2551" w:type="dxa"/>
            <w:vAlign w:val="center"/>
          </w:tcPr>
          <w:p>
            <w:pPr>
              <w:pStyle w:val="16"/>
            </w:pPr>
            <w:r>
              <w:t>0.71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20.03</w:t>
            </w:r>
          </w:p>
        </w:tc>
        <w:tc>
          <w:tcPr>
            <w:tcW w:w="2551" w:type="dxa"/>
            <w:vAlign w:val="center"/>
          </w:tcPr>
          <w:p>
            <w:pPr>
              <w:pStyle w:val="16"/>
            </w:pPr>
            <w:r>
              <w:t>20.03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92.35</w:t>
            </w:r>
          </w:p>
        </w:tc>
        <w:tc>
          <w:tcPr>
            <w:tcW w:w="2551" w:type="dxa"/>
            <w:vAlign w:val="center"/>
          </w:tcPr>
          <w:p>
            <w:pPr>
              <w:pStyle w:val="16"/>
            </w:pPr>
          </w:p>
        </w:tc>
        <w:tc>
          <w:tcPr>
            <w:tcW w:w="2551" w:type="dxa"/>
            <w:vAlign w:val="center"/>
          </w:tcPr>
          <w:p>
            <w:pPr>
              <w:pStyle w:val="16"/>
            </w:pPr>
            <w:r>
              <w:t>92.35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2.56</w:t>
            </w:r>
          </w:p>
        </w:tc>
        <w:tc>
          <w:tcPr>
            <w:tcW w:w="2551" w:type="dxa"/>
            <w:vAlign w:val="center"/>
          </w:tcPr>
          <w:p>
            <w:pPr>
              <w:pStyle w:val="16"/>
            </w:pPr>
          </w:p>
        </w:tc>
        <w:tc>
          <w:tcPr>
            <w:tcW w:w="2551" w:type="dxa"/>
            <w:vAlign w:val="center"/>
          </w:tcPr>
          <w:p>
            <w:pPr>
              <w:pStyle w:val="16"/>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0.19</w:t>
            </w:r>
          </w:p>
        </w:tc>
        <w:tc>
          <w:tcPr>
            <w:tcW w:w="2551" w:type="dxa"/>
            <w:vAlign w:val="center"/>
          </w:tcPr>
          <w:p>
            <w:pPr>
              <w:pStyle w:val="16"/>
            </w:pPr>
          </w:p>
        </w:tc>
        <w:tc>
          <w:tcPr>
            <w:tcW w:w="2551" w:type="dxa"/>
            <w:vAlign w:val="center"/>
          </w:tcPr>
          <w:p>
            <w:pPr>
              <w:pStyle w:val="16"/>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0.51</w:t>
            </w:r>
          </w:p>
        </w:tc>
        <w:tc>
          <w:tcPr>
            <w:tcW w:w="2551" w:type="dxa"/>
            <w:vAlign w:val="center"/>
          </w:tcPr>
          <w:p>
            <w:pPr>
              <w:pStyle w:val="16"/>
            </w:pPr>
          </w:p>
        </w:tc>
        <w:tc>
          <w:tcPr>
            <w:tcW w:w="2551" w:type="dxa"/>
            <w:vAlign w:val="center"/>
          </w:tcPr>
          <w:p>
            <w:pPr>
              <w:pStyle w:val="16"/>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9.54</w:t>
            </w:r>
          </w:p>
        </w:tc>
        <w:tc>
          <w:tcPr>
            <w:tcW w:w="2551" w:type="dxa"/>
            <w:vAlign w:val="center"/>
          </w:tcPr>
          <w:p>
            <w:pPr>
              <w:pStyle w:val="16"/>
            </w:pPr>
          </w:p>
        </w:tc>
        <w:tc>
          <w:tcPr>
            <w:tcW w:w="2551" w:type="dxa"/>
            <w:vAlign w:val="center"/>
          </w:tcPr>
          <w:p>
            <w:pPr>
              <w:pStyle w:val="16"/>
            </w:pPr>
            <w:r>
              <w:t>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5.28</w:t>
            </w:r>
          </w:p>
        </w:tc>
        <w:tc>
          <w:tcPr>
            <w:tcW w:w="2551" w:type="dxa"/>
            <w:vAlign w:val="center"/>
          </w:tcPr>
          <w:p>
            <w:pPr>
              <w:pStyle w:val="16"/>
            </w:pPr>
          </w:p>
        </w:tc>
        <w:tc>
          <w:tcPr>
            <w:tcW w:w="2551" w:type="dxa"/>
            <w:vAlign w:val="center"/>
          </w:tcPr>
          <w:p>
            <w:pPr>
              <w:pStyle w:val="16"/>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0.93</w:t>
            </w:r>
          </w:p>
        </w:tc>
        <w:tc>
          <w:tcPr>
            <w:tcW w:w="2551" w:type="dxa"/>
            <w:vAlign w:val="center"/>
          </w:tcPr>
          <w:p>
            <w:pPr>
              <w:pStyle w:val="16"/>
            </w:pPr>
          </w:p>
        </w:tc>
        <w:tc>
          <w:tcPr>
            <w:tcW w:w="2551" w:type="dxa"/>
            <w:vAlign w:val="center"/>
          </w:tcPr>
          <w:p>
            <w:pPr>
              <w:pStyle w:val="16"/>
            </w:pPr>
            <w: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2.56</w:t>
            </w:r>
          </w:p>
        </w:tc>
        <w:tc>
          <w:tcPr>
            <w:tcW w:w="2551" w:type="dxa"/>
            <w:vAlign w:val="center"/>
          </w:tcPr>
          <w:p>
            <w:pPr>
              <w:pStyle w:val="16"/>
            </w:pPr>
          </w:p>
        </w:tc>
        <w:tc>
          <w:tcPr>
            <w:tcW w:w="2551" w:type="dxa"/>
            <w:vAlign w:val="center"/>
          </w:tcPr>
          <w:p>
            <w:pPr>
              <w:pStyle w:val="16"/>
            </w:pPr>
            <w:r>
              <w:t>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0.16</w:t>
            </w:r>
          </w:p>
        </w:tc>
        <w:tc>
          <w:tcPr>
            <w:tcW w:w="2551" w:type="dxa"/>
            <w:vAlign w:val="center"/>
          </w:tcPr>
          <w:p>
            <w:pPr>
              <w:pStyle w:val="16"/>
            </w:pPr>
          </w:p>
        </w:tc>
        <w:tc>
          <w:tcPr>
            <w:tcW w:w="2551" w:type="dxa"/>
            <w:vAlign w:val="center"/>
          </w:tcPr>
          <w:p>
            <w:pPr>
              <w:pStyle w:val="16"/>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1.40</w:t>
            </w:r>
          </w:p>
        </w:tc>
        <w:tc>
          <w:tcPr>
            <w:tcW w:w="2551" w:type="dxa"/>
            <w:vAlign w:val="center"/>
          </w:tcPr>
          <w:p>
            <w:pPr>
              <w:pStyle w:val="16"/>
            </w:pPr>
          </w:p>
        </w:tc>
        <w:tc>
          <w:tcPr>
            <w:tcW w:w="2551"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1.29</w:t>
            </w:r>
          </w:p>
        </w:tc>
        <w:tc>
          <w:tcPr>
            <w:tcW w:w="2551" w:type="dxa"/>
            <w:vAlign w:val="center"/>
          </w:tcPr>
          <w:p>
            <w:pPr>
              <w:pStyle w:val="16"/>
            </w:pPr>
          </w:p>
        </w:tc>
        <w:tc>
          <w:tcPr>
            <w:tcW w:w="2551" w:type="dxa"/>
            <w:vAlign w:val="center"/>
          </w:tcPr>
          <w:p>
            <w:pPr>
              <w:pStyle w:val="16"/>
            </w:pPr>
            <w:r>
              <w:t>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9.30</w:t>
            </w:r>
          </w:p>
        </w:tc>
        <w:tc>
          <w:tcPr>
            <w:tcW w:w="2551" w:type="dxa"/>
            <w:vAlign w:val="center"/>
          </w:tcPr>
          <w:p>
            <w:pPr>
              <w:pStyle w:val="16"/>
            </w:pPr>
          </w:p>
        </w:tc>
        <w:tc>
          <w:tcPr>
            <w:tcW w:w="2551" w:type="dxa"/>
            <w:vAlign w:val="center"/>
          </w:tcPr>
          <w:p>
            <w:pPr>
              <w:pStyle w:val="16"/>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55.00</w:t>
            </w:r>
          </w:p>
        </w:tc>
        <w:tc>
          <w:tcPr>
            <w:tcW w:w="2551" w:type="dxa"/>
            <w:vAlign w:val="center"/>
          </w:tcPr>
          <w:p>
            <w:pPr>
              <w:pStyle w:val="16"/>
            </w:pPr>
          </w:p>
        </w:tc>
        <w:tc>
          <w:tcPr>
            <w:tcW w:w="2551" w:type="dxa"/>
            <w:vAlign w:val="center"/>
          </w:tcPr>
          <w:p>
            <w:pPr>
              <w:pStyle w:val="16"/>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45.86</w:t>
            </w:r>
          </w:p>
        </w:tc>
        <w:tc>
          <w:tcPr>
            <w:tcW w:w="2551" w:type="dxa"/>
            <w:vAlign w:val="center"/>
          </w:tcPr>
          <w:p>
            <w:pPr>
              <w:pStyle w:val="16"/>
            </w:pPr>
            <w:r>
              <w:t>45.86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45.78</w:t>
            </w:r>
          </w:p>
        </w:tc>
        <w:tc>
          <w:tcPr>
            <w:tcW w:w="2551" w:type="dxa"/>
            <w:vAlign w:val="center"/>
          </w:tcPr>
          <w:p>
            <w:pPr>
              <w:pStyle w:val="16"/>
            </w:pPr>
            <w:r>
              <w:t>45.78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231廊坊市广阳区审计局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231廊坊市广阳区审计局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231廊坊市广阳区审计局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廊坊市广阳区审计局2023年部门预算信息公开情况说明</w:t>
      </w:r>
    </w:p>
    <w:p>
      <w:pPr>
        <w:jc w:val="center"/>
      </w:pPr>
      <w:r>
        <w:rPr>
          <w:rFonts w:ascii="方正小标宋_GBK" w:hAnsi="方正小标宋_GBK" w:eastAsia="方正小标宋_GBK" w:cs="方正小标宋_GBK"/>
          <w:color w:val="000000"/>
          <w:sz w:val="44"/>
        </w:rPr>
        <w:t>廊坊市广阳区审计局2023年部门预算信息公开情况说明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预算法》、《地方预决算公开操作规程》和《关于进一步推进预算公开工作的实施意见》规定，现将廊坊市广阳区审计局2023年部门预算公开如下：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和省、市、区相关重大政策措施贯彻落实情况进行跟踪审计。对审计、专项审计调查和核查社会审计机构相关审计报告的结果承担责任，并负有督促被审计单位整改的责任。</w:t>
      </w:r>
    </w:p>
    <w:p>
      <w:pPr>
        <w:pStyle w:val="22"/>
      </w:pPr>
      <w:r>
        <w:t>（二）贯彻执行审计法律、法规和方针、政策，</w:t>
      </w:r>
      <w:r>
        <w:rPr>
          <w:rFonts w:hint="eastAsia"/>
          <w:lang w:eastAsia="zh-CN"/>
        </w:rPr>
        <w:t>制订</w:t>
      </w:r>
      <w:r>
        <w:t>审计规范性文件并监督执行；</w:t>
      </w:r>
      <w:r>
        <w:rPr>
          <w:rFonts w:hint="eastAsia"/>
          <w:lang w:eastAsia="zh-CN"/>
        </w:rPr>
        <w:t>制订</w:t>
      </w:r>
      <w:r>
        <w:t>并组织实施全区审计工作发展规划和专业领域审计工作规划；</w:t>
      </w:r>
      <w:r>
        <w:rPr>
          <w:rFonts w:hint="eastAsia"/>
          <w:lang w:eastAsia="zh-CN"/>
        </w:rPr>
        <w:t>制订</w:t>
      </w:r>
      <w:r>
        <w:t>并组织实施全区年度审计计划；上报、调整年度审计项目计划；对直接审计、调查和核查的事项依法进行审计评价，作出审计决定或提出审计建议。</w:t>
      </w:r>
    </w:p>
    <w:p>
      <w:pPr>
        <w:pStyle w:val="22"/>
      </w:pPr>
      <w:r>
        <w:t>（三）向中共廊坊市广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w:t>
      </w:r>
    </w:p>
    <w:p>
      <w:pPr>
        <w:pStyle w:val="22"/>
      </w:pPr>
      <w:r>
        <w:t>（四）直接审计下列事项，出具审计报告，在法定职权范围内作出审计决定，包括国家和省、市、区有关重大政策措施贯彻落实情况；区本级预算执行、决算草案和其他财政收支，区直各部门（含所属单位）预算执行情况、决算和其他财政收支，乡级政府及街道办事处预算执行情况、决算和其他财政收支，区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w:t>
      </w:r>
    </w:p>
    <w:p>
      <w:pPr>
        <w:pStyle w:val="22"/>
      </w:pPr>
      <w:r>
        <w:t>（五）按规定对区管党政主要领导干部及其他单位主要负责人实施经济责任审计和自然资源资产离任审计。</w:t>
      </w:r>
    </w:p>
    <w:p>
      <w:pPr>
        <w:pStyle w:val="22"/>
      </w:pPr>
      <w:r>
        <w:t>（六）组织实施对财经法律法规、规章、政策和宏观调控措施执行情况、财政预算管理及国有资产管理使用等与财政收支有关的特定事项进行专项审计调查。</w:t>
      </w:r>
    </w:p>
    <w:p>
      <w:pPr>
        <w:pStyle w:val="22"/>
      </w:pPr>
      <w:r>
        <w:t>（七）依法检查审计决定执行情况，督促整改审计查出的问题，依法办理被审计单位对审计决定提请行政复议、行政诉讼或区政府裁决中的有关事项，协助配合有关部门查处相关重大案件。</w:t>
      </w:r>
    </w:p>
    <w:p>
      <w:pPr>
        <w:pStyle w:val="22"/>
      </w:pPr>
      <w:r>
        <w:t>（八）指导和监督内部审计工作，核查社会审计机构对依法属于审计监督对象的单位出具的相关审计报告。</w:t>
      </w:r>
    </w:p>
    <w:p>
      <w:pPr>
        <w:pStyle w:val="22"/>
      </w:pPr>
      <w:r>
        <w:t>（九）组织开展审计领域的交流与合作，指导和推广信息技术在审计领域的应用。</w:t>
      </w:r>
    </w:p>
    <w:p>
      <w:pPr>
        <w:pStyle w:val="22"/>
      </w:pPr>
      <w:r>
        <w:t>（十）完成区委、区政府和市审计局交办的其他任务。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廊坊市广阳区审计局本级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按照预算管理有关规定，目前我区部门预算的编制实行综合预算管理，即全部收入和支出都反映在预算中。廊坊市广阳区审计局机关及所属事业单位的收支包含在部门预算中。</w:t>
      </w:r>
    </w:p>
    <w:p>
      <w:pPr>
        <w:pStyle w:val="23"/>
      </w:pPr>
      <w:r>
        <w:t>1、收入说明</w:t>
      </w:r>
    </w:p>
    <w:p>
      <w:pPr>
        <w:pStyle w:val="23"/>
      </w:pPr>
      <w:r>
        <w:t>反映本部门当年全部收入。2023年预算收入398.64万元，其中：一般公共预算收入398.64万元，基金预算收入0万元，财政专户核拨收入0万元，其他来源收入0万元，上年结转0万元。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审计局2023年度部门预算中支出预算的总体情况。2023年支出预算398.64万元，其中：基本支出398.64万元，包括人员经费306.29万元和日常公用经费92.35万元；项目支出0万元。</w:t>
      </w:r>
    </w:p>
    <w:p>
      <w:pPr>
        <w:pStyle w:val="23"/>
      </w:pPr>
      <w:r>
        <w:t>3、比上年增减情况</w:t>
      </w:r>
    </w:p>
    <w:p>
      <w:pPr>
        <w:pStyle w:val="23"/>
      </w:pPr>
      <w:r>
        <w:t>2023年预算收支安排398.64万元，较2022年预算增加13.46万元，其中：基本支出增加68.46万元，增加原因主要为人员经费支出增加；项目支出减少55万元，减少原因主要为减少审计事务经费项目支出。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2023年，我部门运行经费共计安排92.35万元，主要用于办公区的日常维修、办公费用、办公用房水电费、办公用房取暖费、邮电费、差旅费、办公用房物业管理费、公务用车运行维护费等日常运行支出。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2023年，我局将继续坚持贯彻落实党的二十大精神，按照上级审计机关的部署和要求，围绕区委、区政府工作中心，力争做到“五个强化”，全面履行审计职责，不断加强党风廉政建设、机关作风建设、意识形态和精神文明建设，提升审计质量，防范审计风险，力争为我区经济社会健康发展作出更大贡献。</w:t>
      </w:r>
    </w:p>
    <w:p>
      <w:pPr>
        <w:spacing w:line="500" w:lineRule="exact"/>
        <w:ind w:firstLine="560"/>
      </w:pPr>
      <w:r>
        <w:rPr>
          <w:rFonts w:eastAsia="方正仿宋_GBK"/>
          <w:color w:val="000000"/>
          <w:sz w:val="28"/>
        </w:rPr>
        <w:t>（二）分项绩效目标</w:t>
      </w:r>
    </w:p>
    <w:p>
      <w:pPr>
        <w:pStyle w:val="27"/>
      </w:pPr>
      <w:r>
        <w:t>1.审计业务。</w:t>
      </w:r>
    </w:p>
    <w:p>
      <w:pPr>
        <w:pStyle w:val="27"/>
      </w:pPr>
      <w:r>
        <w:t>绩效目标：通过对公共资金、国有资产、国有资源、领导干部经济责任履行情况进行审计，实现审计监督全覆盖，促进国家治理现代化和国民经济健康发展。</w:t>
      </w:r>
    </w:p>
    <w:p>
      <w:pPr>
        <w:pStyle w:val="27"/>
      </w:pPr>
      <w:r>
        <w:t>绩效指标：主要审计本级财政部门组织本级预算执行情况，审计其他财政收支情况，审计其他取得财政资金的单位和项目接受、运用财政资金的真实、合法和效益情况,实施领导干部经济责任审计等审计。对经济领域中带有全局性、普遍性、倾向性的特定事项进行系统调查了解并向区政府报告情况和结果。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p>
      <w:pPr>
        <w:pStyle w:val="27"/>
      </w:pPr>
      <w:r>
        <w:t>2.审计管理。</w:t>
      </w:r>
    </w:p>
    <w:p>
      <w:pPr>
        <w:pStyle w:val="27"/>
      </w:pPr>
      <w:r>
        <w:t>绩效目标：通过建立健全法规，加大内部审计管理制度提高审计质量和审计机关法制管理水平。</w:t>
      </w:r>
    </w:p>
    <w:p>
      <w:pPr>
        <w:pStyle w:val="27"/>
      </w:pPr>
      <w:r>
        <w:t>绩效指标：</w:t>
      </w:r>
      <w:r>
        <w:rPr>
          <w:rFonts w:hint="eastAsia"/>
          <w:lang w:eastAsia="zh-CN"/>
        </w:rPr>
        <w:t>制订</w:t>
      </w:r>
      <w:r>
        <w:t>内部审计措施并组织落实；</w:t>
      </w:r>
      <w:r>
        <w:rPr>
          <w:rFonts w:hint="eastAsia"/>
          <w:lang w:eastAsia="zh-CN"/>
        </w:rPr>
        <w:t>制订</w:t>
      </w:r>
      <w:r>
        <w:t>内部审计业务规章、制度、管理办法等并开展监督检查；指导内部审计业务，受理内审业务咨询，提高内部审计质量；协调内部审计和国家审计间工作，保障内部审计工作的顺利进行；控制费用标准严格。</w:t>
      </w:r>
    </w:p>
    <w:p>
      <w:pPr>
        <w:pStyle w:val="27"/>
      </w:pPr>
      <w:r>
        <w:t>3.审计政务管理。</w:t>
      </w:r>
    </w:p>
    <w:p>
      <w:pPr>
        <w:pStyle w:val="27"/>
      </w:pPr>
      <w:r>
        <w:t>绩效目标：充分发挥参谋助手作用和综合协调作用，推进审计事业科学协调发展。</w:t>
      </w:r>
    </w:p>
    <w:p>
      <w:pPr>
        <w:pStyle w:val="27"/>
      </w:pPr>
      <w:r>
        <w:t>绩效指标：组织开展信息化建设、教育培训、审计理论研究，抓好新闻宣传和文化建设、政务信息公开，开展审计服务和业务咨询。做到信息保障安全有效，信息化建设稳步推进；加强宣传引导；提高人员业务水平；促进审计文化研究，推动审计事业发展。</w:t>
      </w:r>
    </w:p>
    <w:p>
      <w:pPr>
        <w:spacing w:line="500" w:lineRule="exact"/>
        <w:ind w:firstLine="560"/>
      </w:pPr>
      <w:r>
        <w:rPr>
          <w:rFonts w:eastAsia="方正仿宋_GBK"/>
          <w:color w:val="000000"/>
          <w:sz w:val="28"/>
        </w:rPr>
        <w:t>（三）工作保障措施</w:t>
      </w:r>
    </w:p>
    <w:p>
      <w:pPr>
        <w:pStyle w:val="28"/>
      </w:pPr>
      <w:r>
        <w:t>1、强化财政预算执行和财政财务收支审计，提高财政资金使用效益。围绕财政“重点、热点、难点”问题，把百姓关注、政府关心的问题作为审计重点。合理安排2021年预算执行和决算以及其他财政财务收支审计项目。</w:t>
      </w:r>
    </w:p>
    <w:p>
      <w:pPr>
        <w:pStyle w:val="28"/>
      </w:pPr>
      <w:r>
        <w:t>2、强化领导干部经济责任审计，促进领导干部依法履职。以贯彻落实党和国家有关方针政策和决策部署，推动领导干部守法、守纪、守规、尽责为目标，利用现有审计资源，统筹安排审计力量，充分发挥审计合力，进一步改进审计方法，注重边审边改，不断完善审计评价体系。</w:t>
      </w:r>
    </w:p>
    <w:p>
      <w:pPr>
        <w:pStyle w:val="28"/>
      </w:pPr>
      <w:r>
        <w:t>3、以加强内审建设为抓手，全力推进内审工作发展。进一步加强对我区内部审计工作的指导和监督，加大成果利用，增强国家审计和内部审计的监督合力，全面促进内部审计工作发展，向审计工作全覆盖迈进。</w:t>
      </w:r>
    </w:p>
    <w:p>
      <w:pPr>
        <w:pStyle w:val="28"/>
      </w:pPr>
      <w:r>
        <w:t>4、坚持审计改革创新，从监督层面提高审计质量。坚持以现代审计理念拓展审计思路，创新审计方式方法，实现审计工作“三个转变”。</w:t>
      </w:r>
    </w:p>
    <w:p>
      <w:pPr>
        <w:pStyle w:val="28"/>
      </w:pPr>
      <w:r>
        <w:t>5、以信息化建设为载体，推动审计信息化建设及大数据应用。进一步探索“两横两纵”审计模式，加强审计信息化建设，着力推进大数据审计，积极学习大数据审计的先进经验和做法，为以后开展大数据审计奠定基础。</w:t>
      </w:r>
    </w:p>
    <w:p>
      <w:pPr>
        <w:pStyle w:val="28"/>
      </w:pPr>
      <w:r>
        <w:t>6、强化审计人员综合素质，提升审计项目质量。强化政治理论学习，加强审计业务培训，开展提质提效创建活动，加大审计成果转化和综合利用，关注审计问题整改，注重提高审计建议的前瞻性和针对性，继续规范审计程序，强化审理和业务会的重要作用，全面切实提升审计项目质量。</w:t>
      </w:r>
    </w:p>
    <w:p>
      <w:pPr>
        <w:pStyle w:val="28"/>
      </w:pPr>
      <w:r>
        <w:t>7、强化作风建设和廉政建设，夯实审计工作堡垒。不断加强审计作风建设，认真贯彻落实中央八项规定、省市区委区政府的有关要求，倡导勤俭节约，坚持文明审计。</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992"/>
        <w:gridCol w:w="1276"/>
        <w:gridCol w:w="4394"/>
        <w:gridCol w:w="3118"/>
        <w:gridCol w:w="993"/>
        <w:gridCol w:w="992"/>
        <w:gridCol w:w="850"/>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27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39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276" w:type="dxa"/>
            <w:vMerge w:val="continue"/>
            <w:shd w:val="clear" w:color="auto" w:fill="auto"/>
            <w:vAlign w:val="center"/>
          </w:tcPr>
          <w:p>
            <w:pPr>
              <w:rPr>
                <w:rFonts w:ascii="方正书宋_GBK" w:hAnsi="宋体" w:eastAsia="方正书宋_GBK" w:cs="宋体"/>
                <w:b/>
                <w:bCs/>
                <w:color w:val="000000"/>
              </w:rPr>
            </w:pPr>
          </w:p>
        </w:tc>
        <w:tc>
          <w:tcPr>
            <w:tcW w:w="4394" w:type="dxa"/>
            <w:vMerge w:val="continue"/>
            <w:shd w:val="clear" w:color="auto" w:fill="auto"/>
            <w:vAlign w:val="center"/>
          </w:tcPr>
          <w:p>
            <w:pPr>
              <w:rPr>
                <w:rFonts w:ascii="方正书宋_GBK" w:hAnsi="宋体" w:eastAsia="方正书宋_GBK" w:cs="宋体"/>
                <w:b/>
                <w:bCs/>
                <w:color w:val="000000"/>
              </w:rPr>
            </w:pPr>
          </w:p>
        </w:tc>
        <w:tc>
          <w:tcPr>
            <w:tcW w:w="3118" w:type="dxa"/>
            <w:vMerge w:val="continue"/>
            <w:shd w:val="clear" w:color="auto" w:fill="auto"/>
            <w:vAlign w:val="center"/>
          </w:tcPr>
          <w:p>
            <w:pPr>
              <w:rPr>
                <w:rFonts w:ascii="方正书宋_GBK" w:hAnsi="宋体" w:eastAsia="方正书宋_GBK" w:cs="宋体"/>
                <w:b/>
                <w:bCs/>
                <w:color w:val="000000"/>
              </w:rPr>
            </w:pP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27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保障全年审计项目完成率</w:t>
            </w:r>
          </w:p>
        </w:tc>
        <w:tc>
          <w:tcPr>
            <w:tcW w:w="439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实际值与目标值一致，得权重分值</w:t>
            </w:r>
            <w:r>
              <w:rPr>
                <w:color w:val="000000"/>
                <w:sz w:val="22"/>
                <w:szCs w:val="22"/>
              </w:rPr>
              <w:t>100%</w:t>
            </w:r>
            <w:r>
              <w:rPr>
                <w:rFonts w:hint="eastAsia" w:ascii="宋体" w:hAnsi="宋体" w:eastAsia="宋体" w:cs="宋体"/>
                <w:color w:val="000000"/>
                <w:sz w:val="22"/>
                <w:szCs w:val="22"/>
              </w:rPr>
              <w:t>，每减少</w:t>
            </w:r>
            <w:r>
              <w:rPr>
                <w:color w:val="000000"/>
                <w:sz w:val="22"/>
                <w:szCs w:val="22"/>
              </w:rPr>
              <w:t>10%</w:t>
            </w:r>
            <w:r>
              <w:rPr>
                <w:rFonts w:hint="eastAsia" w:ascii="宋体" w:hAnsi="宋体" w:eastAsia="宋体" w:cs="宋体"/>
                <w:color w:val="000000"/>
                <w:sz w:val="22"/>
                <w:szCs w:val="22"/>
              </w:rPr>
              <w:t>，扣减权重分值的</w:t>
            </w:r>
            <w:r>
              <w:rPr>
                <w:color w:val="000000"/>
                <w:sz w:val="22"/>
                <w:szCs w:val="22"/>
              </w:rPr>
              <w:t>10%</w:t>
            </w:r>
            <w:r>
              <w:rPr>
                <w:rFonts w:hint="eastAsia" w:ascii="宋体" w:hAnsi="宋体" w:eastAsia="宋体" w:cs="宋体"/>
                <w:color w:val="000000"/>
                <w:sz w:val="22"/>
                <w:szCs w:val="22"/>
              </w:rPr>
              <w:t>。</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保障全年审计项目完成率</w:t>
            </w:r>
          </w:p>
        </w:tc>
        <w:tc>
          <w:tcPr>
            <w:tcW w:w="993"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95</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1207"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全年审计项目完成率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27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运转保障率</w:t>
            </w:r>
          </w:p>
        </w:tc>
        <w:tc>
          <w:tcPr>
            <w:tcW w:w="4394"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实际值与目标值一致，得权重分值</w:t>
            </w:r>
            <w:r>
              <w:rPr>
                <w:color w:val="000000"/>
                <w:sz w:val="22"/>
                <w:szCs w:val="22"/>
              </w:rPr>
              <w:t>100%</w:t>
            </w:r>
            <w:r>
              <w:rPr>
                <w:rFonts w:hint="eastAsia" w:ascii="宋体" w:hAnsi="宋体" w:eastAsia="宋体" w:cs="宋体"/>
                <w:color w:val="000000"/>
                <w:sz w:val="22"/>
                <w:szCs w:val="22"/>
              </w:rPr>
              <w:t>，不一致不得分。</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各项日常工作保障率</w:t>
            </w:r>
          </w:p>
        </w:tc>
        <w:tc>
          <w:tcPr>
            <w:tcW w:w="993"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w:t>
            </w:r>
          </w:p>
        </w:tc>
        <w:tc>
          <w:tcPr>
            <w:tcW w:w="1207"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维持工作正常运转</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27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保障及时性</w:t>
            </w:r>
          </w:p>
        </w:tc>
        <w:tc>
          <w:tcPr>
            <w:tcW w:w="439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实际值与目标值一致，得权重分值</w:t>
            </w:r>
            <w:r>
              <w:rPr>
                <w:color w:val="000000"/>
                <w:sz w:val="22"/>
                <w:szCs w:val="22"/>
              </w:rPr>
              <w:t>100%</w:t>
            </w:r>
            <w:r>
              <w:rPr>
                <w:rFonts w:hint="eastAsia" w:ascii="宋体" w:hAnsi="宋体" w:eastAsia="宋体" w:cs="宋体"/>
                <w:color w:val="000000"/>
                <w:sz w:val="22"/>
                <w:szCs w:val="22"/>
              </w:rPr>
              <w:t>，不一致不得分。</w:t>
            </w:r>
          </w:p>
        </w:tc>
        <w:tc>
          <w:tcPr>
            <w:tcW w:w="311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及时保障各项办公需要</w:t>
            </w:r>
          </w:p>
        </w:tc>
        <w:tc>
          <w:tcPr>
            <w:tcW w:w="99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992" w:type="dxa"/>
            <w:shd w:val="clear" w:color="auto" w:fill="auto"/>
            <w:tcMar>
              <w:top w:w="15" w:type="dxa"/>
              <w:left w:w="15" w:type="dxa"/>
              <w:bottom w:w="0" w:type="dxa"/>
              <w:right w:w="15" w:type="dxa"/>
            </w:tcMar>
          </w:tcPr>
          <w:p>
            <w:pPr>
              <w:rPr>
                <w:color w:val="000000"/>
                <w:sz w:val="22"/>
                <w:szCs w:val="22"/>
              </w:rPr>
            </w:pPr>
          </w:p>
        </w:tc>
        <w:tc>
          <w:tcPr>
            <w:tcW w:w="850"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及时保障</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及时保障各项办公需要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276"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成本控制</w:t>
            </w:r>
          </w:p>
        </w:tc>
        <w:tc>
          <w:tcPr>
            <w:tcW w:w="4394"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实际值与目标值一致，得权重分值</w:t>
            </w:r>
            <w:r>
              <w:rPr>
                <w:color w:val="000000"/>
                <w:sz w:val="22"/>
                <w:szCs w:val="22"/>
              </w:rPr>
              <w:t>100%</w:t>
            </w:r>
            <w:r>
              <w:rPr>
                <w:rFonts w:hint="eastAsia" w:ascii="宋体" w:hAnsi="宋体" w:eastAsia="宋体" w:cs="宋体"/>
                <w:color w:val="000000"/>
                <w:sz w:val="22"/>
                <w:szCs w:val="22"/>
              </w:rPr>
              <w:t>，不一致不得分。</w:t>
            </w:r>
          </w:p>
        </w:tc>
        <w:tc>
          <w:tcPr>
            <w:tcW w:w="3118"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严格控制各项费用</w:t>
            </w:r>
          </w:p>
        </w:tc>
        <w:tc>
          <w:tcPr>
            <w:tcW w:w="993"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文字描述</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p>
        </w:tc>
        <w:tc>
          <w:tcPr>
            <w:tcW w:w="850"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严格控制</w:t>
            </w:r>
          </w:p>
        </w:tc>
        <w:tc>
          <w:tcPr>
            <w:tcW w:w="1207"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年初预算数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1"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27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做好日常维护</w:t>
            </w:r>
          </w:p>
        </w:tc>
        <w:tc>
          <w:tcPr>
            <w:tcW w:w="439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实际值与目标值一致，得权重分值</w:t>
            </w:r>
            <w:r>
              <w:rPr>
                <w:color w:val="000000"/>
                <w:sz w:val="22"/>
                <w:szCs w:val="22"/>
              </w:rPr>
              <w:t>100%</w:t>
            </w:r>
            <w:r>
              <w:rPr>
                <w:rFonts w:hint="eastAsia" w:ascii="宋体" w:hAnsi="宋体" w:eastAsia="宋体" w:cs="宋体"/>
                <w:color w:val="000000"/>
                <w:sz w:val="22"/>
                <w:szCs w:val="22"/>
              </w:rPr>
              <w:t>，不一致不得分。</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做好日常维护</w:t>
            </w:r>
          </w:p>
        </w:tc>
        <w:tc>
          <w:tcPr>
            <w:tcW w:w="9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992" w:type="dxa"/>
            <w:shd w:val="clear" w:color="auto" w:fill="auto"/>
            <w:tcMar>
              <w:top w:w="15" w:type="dxa"/>
              <w:left w:w="15" w:type="dxa"/>
              <w:bottom w:w="0" w:type="dxa"/>
              <w:right w:w="15" w:type="dxa"/>
            </w:tcMar>
            <w:vAlign w:val="center"/>
          </w:tcPr>
          <w:p>
            <w:pPr>
              <w:rPr>
                <w:color w:val="000000"/>
                <w:sz w:val="22"/>
                <w:szCs w:val="22"/>
              </w:rPr>
            </w:pPr>
          </w:p>
        </w:tc>
        <w:tc>
          <w:tcPr>
            <w:tcW w:w="850"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做好日常维护</w:t>
            </w:r>
          </w:p>
        </w:tc>
        <w:tc>
          <w:tcPr>
            <w:tcW w:w="1207"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维持正常运转</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27"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1276"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促进被审计单位财务规范，提升财政资金使用效益</w:t>
            </w:r>
          </w:p>
        </w:tc>
        <w:tc>
          <w:tcPr>
            <w:tcW w:w="4394"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实际值与目标值一致，得权重分值</w:t>
            </w:r>
            <w:r>
              <w:rPr>
                <w:color w:val="000000"/>
                <w:sz w:val="22"/>
                <w:szCs w:val="22"/>
              </w:rPr>
              <w:t>100%</w:t>
            </w:r>
            <w:r>
              <w:rPr>
                <w:rFonts w:hint="eastAsia" w:ascii="宋体" w:hAnsi="宋体" w:eastAsia="宋体" w:cs="宋体"/>
                <w:color w:val="000000"/>
                <w:sz w:val="22"/>
                <w:szCs w:val="22"/>
              </w:rPr>
              <w:t>，不一致不得分。</w:t>
            </w:r>
          </w:p>
        </w:tc>
        <w:tc>
          <w:tcPr>
            <w:tcW w:w="3118"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促进被审计单位财务规范，提升财政资金使用效益</w:t>
            </w:r>
          </w:p>
        </w:tc>
        <w:tc>
          <w:tcPr>
            <w:tcW w:w="9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992" w:type="dxa"/>
            <w:shd w:val="clear" w:color="auto" w:fill="auto"/>
            <w:tcMar>
              <w:top w:w="15" w:type="dxa"/>
              <w:left w:w="15" w:type="dxa"/>
              <w:bottom w:w="0" w:type="dxa"/>
              <w:right w:w="15" w:type="dxa"/>
            </w:tcMar>
            <w:vAlign w:val="center"/>
          </w:tcPr>
          <w:p>
            <w:pPr>
              <w:rPr>
                <w:color w:val="000000"/>
                <w:sz w:val="22"/>
                <w:szCs w:val="22"/>
              </w:rPr>
            </w:pPr>
          </w:p>
        </w:tc>
        <w:tc>
          <w:tcPr>
            <w:tcW w:w="850"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提升</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促进被审计单位财务规范，提升财政资金使用效益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276"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被审计单位及机关工作人员的满意率</w:t>
            </w:r>
          </w:p>
        </w:tc>
        <w:tc>
          <w:tcPr>
            <w:tcW w:w="4394"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实际值与目标值一致，得权重分值</w:t>
            </w:r>
            <w:r>
              <w:rPr>
                <w:color w:val="000000"/>
                <w:sz w:val="22"/>
                <w:szCs w:val="22"/>
              </w:rPr>
              <w:t>100%</w:t>
            </w:r>
            <w:r>
              <w:rPr>
                <w:rFonts w:hint="eastAsia" w:ascii="宋体" w:hAnsi="宋体" w:eastAsia="宋体" w:cs="宋体"/>
                <w:color w:val="000000"/>
                <w:sz w:val="22"/>
                <w:szCs w:val="22"/>
              </w:rPr>
              <w:t>，每减少</w:t>
            </w:r>
            <w:r>
              <w:rPr>
                <w:color w:val="000000"/>
                <w:sz w:val="22"/>
                <w:szCs w:val="22"/>
              </w:rPr>
              <w:t>10%</w:t>
            </w:r>
            <w:r>
              <w:rPr>
                <w:rFonts w:hint="eastAsia" w:ascii="宋体" w:hAnsi="宋体" w:eastAsia="宋体" w:cs="宋体"/>
                <w:color w:val="000000"/>
                <w:sz w:val="22"/>
                <w:szCs w:val="22"/>
              </w:rPr>
              <w:t>，扣减权重分值的</w:t>
            </w:r>
            <w:r>
              <w:rPr>
                <w:color w:val="000000"/>
                <w:sz w:val="22"/>
                <w:szCs w:val="22"/>
              </w:rPr>
              <w:t>10%</w:t>
            </w:r>
            <w:r>
              <w:rPr>
                <w:rFonts w:hint="eastAsia" w:ascii="宋体" w:hAnsi="宋体" w:eastAsia="宋体" w:cs="宋体"/>
                <w:color w:val="000000"/>
                <w:sz w:val="22"/>
                <w:szCs w:val="22"/>
              </w:rPr>
              <w:t>。</w:t>
            </w:r>
          </w:p>
        </w:tc>
        <w:tc>
          <w:tcPr>
            <w:tcW w:w="3118"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被审计单位及机关工作人员的满意率</w:t>
            </w:r>
          </w:p>
        </w:tc>
        <w:tc>
          <w:tcPr>
            <w:tcW w:w="993"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992"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850" w:type="dxa"/>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207" w:type="dxa"/>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被审计单位及机关工作人员的满意率</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2023年，廊坊市广阳区审计局安排政府采购预算0.00万元。具体内容见下表。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231廊坊市广阳区审计局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廊坊市广阳区审计局（含所属单位）上年末固定资产金额为62.13万元（详见下表）。本年度拟购置固定资产总额为0.00万元，已按要求列入政府采购预算，详见政府采购预算表。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231廊坊市广阳区审计局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227</w:t>
            </w:r>
          </w:p>
        </w:tc>
        <w:tc>
          <w:tcPr>
            <w:tcW w:w="2835" w:type="dxa"/>
            <w:vAlign w:val="center"/>
          </w:tcPr>
          <w:p>
            <w:pPr>
              <w:pStyle w:val="16"/>
            </w:pPr>
            <w:r>
              <w:t>44.23</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C73FA"/>
    <w:rsid w:val="000615E3"/>
    <w:rsid w:val="007B70EF"/>
    <w:rsid w:val="007C73FA"/>
    <w:rsid w:val="00960F42"/>
    <w:rsid w:val="00CC0344"/>
    <w:rsid w:val="00E8191A"/>
    <w:rsid w:val="00F738B6"/>
    <w:rsid w:val="3CD8339E"/>
    <w:rsid w:val="783F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2023-03-13T11:04:02Z</dcterms:created>
  <dcterms:modified xsi:type="dcterms:W3CDTF">2023-03-13T03:04:02Z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2023-03-13T11:04:05Z</dcterms:created>
  <dcterms:modified xsi:type="dcterms:W3CDTF">2023-03-13T03:04:05Z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2023-03-13T11:04:02Z</dcterms:created>
  <dcterms:modified xsi:type="dcterms:W3CDTF">2023-03-13T03:04:02Z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2023-03-13T11:04:05Z</dcterms:created>
  <dcterms:modified xsi:type="dcterms:W3CDTF">2023-03-13T03:04:05Z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2023-03-13T11:04:02Z</dcterms:created>
  <dcterms:modified xsi:type="dcterms:W3CDTF">2023-03-13T03:04:02Z</dcterms:modified>
</cp:coreProperties>
</file>

<file path=customXml/itemProps1.xml><?xml version="1.0" encoding="utf-8"?>
<ds:datastoreItem xmlns:ds="http://schemas.openxmlformats.org/officeDocument/2006/customXml" ds:itemID="{3373BDDF-04C2-4655-8CE5-F0F397079C9E}">
  <ds:schemaRefs/>
</ds:datastoreItem>
</file>

<file path=customXml/itemProps10.xml><?xml version="1.0" encoding="utf-8"?>
<ds:datastoreItem xmlns:ds="http://schemas.openxmlformats.org/officeDocument/2006/customXml" ds:itemID="{F115ADB5-29BC-4C88-9EFB-D1CA1CBC150A}">
  <ds:schemaRefs/>
</ds:datastoreItem>
</file>

<file path=customXml/itemProps2.xml><?xml version="1.0" encoding="utf-8"?>
<ds:datastoreItem xmlns:ds="http://schemas.openxmlformats.org/officeDocument/2006/customXml" ds:itemID="{7674489F-D8CE-47A2-B838-B75B997C9458}">
  <ds:schemaRefs/>
</ds:datastoreItem>
</file>

<file path=customXml/itemProps3.xml><?xml version="1.0" encoding="utf-8"?>
<ds:datastoreItem xmlns:ds="http://schemas.openxmlformats.org/officeDocument/2006/customXml" ds:itemID="{D01A9D38-6AEB-4916-B3C6-FA1CC8D7CC46}">
  <ds:schemaRefs/>
</ds:datastoreItem>
</file>

<file path=customXml/itemProps4.xml><?xml version="1.0" encoding="utf-8"?>
<ds:datastoreItem xmlns:ds="http://schemas.openxmlformats.org/officeDocument/2006/customXml" ds:itemID="{F61341D1-8555-412D-B330-54AD3BE8E0D1}">
  <ds:schemaRefs/>
</ds:datastoreItem>
</file>

<file path=customXml/itemProps5.xml><?xml version="1.0" encoding="utf-8"?>
<ds:datastoreItem xmlns:ds="http://schemas.openxmlformats.org/officeDocument/2006/customXml" ds:itemID="{C93497E8-B66E-45F3-BF9E-775E75B2617B}">
  <ds:schemaRefs/>
</ds:datastoreItem>
</file>

<file path=customXml/itemProps6.xml><?xml version="1.0" encoding="utf-8"?>
<ds:datastoreItem xmlns:ds="http://schemas.openxmlformats.org/officeDocument/2006/customXml" ds:itemID="{06D8797F-3730-47F0-9571-51E8EDB3DCCC}">
  <ds:schemaRefs/>
</ds:datastoreItem>
</file>

<file path=customXml/itemProps7.xml><?xml version="1.0" encoding="utf-8"?>
<ds:datastoreItem xmlns:ds="http://schemas.openxmlformats.org/officeDocument/2006/customXml" ds:itemID="{E2640757-F64C-4C90-B7CA-B6C8DEA04E97}">
  <ds:schemaRefs/>
</ds:datastoreItem>
</file>

<file path=customXml/itemProps8.xml><?xml version="1.0" encoding="utf-8"?>
<ds:datastoreItem xmlns:ds="http://schemas.openxmlformats.org/officeDocument/2006/customXml" ds:itemID="{276E90C6-E13F-4A5B-A6C3-9CC5F26D7BD3}">
  <ds:schemaRefs/>
</ds:datastoreItem>
</file>

<file path=customXml/itemProps9.xml><?xml version="1.0" encoding="utf-8"?>
<ds:datastoreItem xmlns:ds="http://schemas.openxmlformats.org/officeDocument/2006/customXml" ds:itemID="{4E7EE7D8-F4F9-4AAA-8096-6327B66F9A6C}">
  <ds:schemaRefs/>
</ds:datastoreItem>
</file>

<file path=docProps/app.xml><?xml version="1.0" encoding="utf-8"?>
<Properties xmlns="http://schemas.openxmlformats.org/officeDocument/2006/extended-properties" xmlns:vt="http://schemas.openxmlformats.org/officeDocument/2006/docPropsVTypes">
  <Template>Normal</Template>
  <Pages>27</Pages>
  <Words>1752</Words>
  <Characters>9991</Characters>
  <Lines>83</Lines>
  <Paragraphs>23</Paragraphs>
  <TotalTime>1</TotalTime>
  <ScaleCrop>false</ScaleCrop>
  <LinksUpToDate>false</LinksUpToDate>
  <CharactersWithSpaces>11720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Administrator</dc:creator>
  <cp:lastModifiedBy>Administrator</cp:lastModifiedBy>
  <dcterms:modified xsi:type="dcterms:W3CDTF">2024-01-11T01:34:01Z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24A31AFC713E4780A3C09D23C20A17FC</vt:lpwstr>
  </property>
</Properties>
</file>