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2</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7</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9</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12</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13</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15</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17</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20</w:t>
      </w:r>
      <w:r>
        <w:rPr>
          <w:rStyle w:val="10"/>
        </w:rPr>
        <w:fldChar w:fldCharType="end"/>
      </w:r>
    </w:p>
    <w:p>
      <w:pPr>
        <w:pStyle w:val="3"/>
        <w:tabs>
          <w:tab w:val="right" w:leader="dot" w:pos="14562"/>
        </w:tabs>
      </w:pPr>
      <w:bookmarkStart w:id="0" w:name="tz_0002_0005"/>
      <w:bookmarkEnd w:id="0"/>
      <w:r>
        <w:fldChar w:fldCharType="begin"/>
      </w:r>
      <w:r>
        <w:instrText xml:space="preserve"> HYPERLINK  \l "tz_0002_0005" </w:instrText>
      </w:r>
      <w:r>
        <w:fldChar w:fldCharType="separate"/>
      </w:r>
      <w:r>
        <w:rPr>
          <w:rStyle w:val="10"/>
        </w:rPr>
        <w:t>五、预算绩效信息</w:t>
      </w:r>
      <w:r>
        <w:rPr>
          <w:rStyle w:val="10"/>
        </w:rPr>
        <w:tab/>
      </w:r>
      <w:r>
        <w:rPr>
          <w:rStyle w:val="10"/>
        </w:rPr>
        <w:t>2</w:t>
      </w:r>
      <w: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29</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29</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30</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31</w:t>
      </w:r>
      <w:r>
        <w:rPr>
          <w:rStyle w:val="10"/>
        </w:rPr>
        <w:fldChar w:fldCharType="end"/>
      </w:r>
    </w:p>
    <w:p>
      <w:r>
        <w:fldChar w:fldCharType="end"/>
      </w:r>
    </w:p>
    <w:p>
      <w:pPr>
        <w:jc w:val="both"/>
      </w:pPr>
      <w:r>
        <w:rPr>
          <w:rFonts w:ascii="方正小标宋_GBK" w:hAnsi="方正小标宋_GBK" w:eastAsia="方正小标宋_GBK" w:cs="方正小标宋_GBK"/>
          <w:color w:val="000000"/>
          <w:sz w:val="44"/>
        </w:rPr>
        <w:t xml:space="preserve">  </w:t>
      </w:r>
    </w:p>
    <w:p>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227001廊坊市广阳区统计局本级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803.43</w:t>
            </w:r>
          </w:p>
        </w:tc>
        <w:tc>
          <w:tcPr>
            <w:tcW w:w="4535" w:type="dxa"/>
            <w:vAlign w:val="center"/>
          </w:tcPr>
          <w:p>
            <w:pPr>
              <w:pStyle w:val="16"/>
            </w:pPr>
            <w:r>
              <w:t>一、一般公共服务支出</w:t>
            </w:r>
          </w:p>
        </w:tc>
        <w:tc>
          <w:tcPr>
            <w:tcW w:w="2126" w:type="dxa"/>
            <w:vAlign w:val="center"/>
          </w:tcPr>
          <w:p>
            <w:pPr>
              <w:pStyle w:val="15"/>
            </w:pPr>
            <w:r>
              <w:t>598.70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140.46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803.43</w:t>
            </w:r>
          </w:p>
        </w:tc>
        <w:tc>
          <w:tcPr>
            <w:tcW w:w="4535" w:type="dxa"/>
            <w:vAlign w:val="center"/>
          </w:tcPr>
          <w:p>
            <w:pPr>
              <w:pStyle w:val="18"/>
            </w:pPr>
            <w:r>
              <w:t>本年支出合计</w:t>
            </w:r>
          </w:p>
        </w:tc>
        <w:tc>
          <w:tcPr>
            <w:tcW w:w="2126" w:type="dxa"/>
            <w:vAlign w:val="center"/>
          </w:tcPr>
          <w:p>
            <w:pPr>
              <w:pStyle w:val="19"/>
            </w:pPr>
            <w:r>
              <w:t>803.43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803.43</w:t>
            </w:r>
          </w:p>
        </w:tc>
        <w:tc>
          <w:tcPr>
            <w:tcW w:w="4535" w:type="dxa"/>
            <w:vAlign w:val="center"/>
          </w:tcPr>
          <w:p>
            <w:pPr>
              <w:pStyle w:val="18"/>
            </w:pPr>
            <w:r>
              <w:t>支出总计</w:t>
            </w:r>
          </w:p>
        </w:tc>
        <w:tc>
          <w:tcPr>
            <w:tcW w:w="2126" w:type="dxa"/>
            <w:vAlign w:val="center"/>
          </w:tcPr>
          <w:p>
            <w:pPr>
              <w:pStyle w:val="19"/>
            </w:pPr>
            <w:r>
              <w:t>803.43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227001廊坊市广阳区统计局本级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803.43</w:t>
            </w:r>
          </w:p>
        </w:tc>
        <w:tc>
          <w:tcPr>
            <w:tcW w:w="1134" w:type="dxa"/>
            <w:vAlign w:val="center"/>
          </w:tcPr>
          <w:p>
            <w:pPr>
              <w:pStyle w:val="19"/>
            </w:pPr>
            <w:r>
              <w:t>803.43</w:t>
            </w:r>
          </w:p>
        </w:tc>
        <w:tc>
          <w:tcPr>
            <w:tcW w:w="1134" w:type="dxa"/>
            <w:vAlign w:val="center"/>
          </w:tcPr>
          <w:p>
            <w:pPr>
              <w:pStyle w:val="19"/>
            </w:pPr>
            <w:r>
              <w:t>803.43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598.70</w:t>
            </w:r>
          </w:p>
        </w:tc>
        <w:tc>
          <w:tcPr>
            <w:tcW w:w="1134" w:type="dxa"/>
            <w:vAlign w:val="center"/>
          </w:tcPr>
          <w:p>
            <w:pPr>
              <w:pStyle w:val="15"/>
            </w:pPr>
            <w:r>
              <w:t>598.70</w:t>
            </w:r>
          </w:p>
        </w:tc>
        <w:tc>
          <w:tcPr>
            <w:tcW w:w="1134" w:type="dxa"/>
            <w:vAlign w:val="center"/>
          </w:tcPr>
          <w:p>
            <w:pPr>
              <w:pStyle w:val="15"/>
            </w:pPr>
            <w:r>
              <w:t>598.70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20105</w:t>
            </w:r>
          </w:p>
        </w:tc>
        <w:tc>
          <w:tcPr>
            <w:tcW w:w="1559" w:type="dxa"/>
            <w:vAlign w:val="center"/>
          </w:tcPr>
          <w:p>
            <w:pPr>
              <w:pStyle w:val="16"/>
            </w:pPr>
            <w:r>
              <w:t>统计信息事务</w:t>
            </w:r>
          </w:p>
        </w:tc>
        <w:tc>
          <w:tcPr>
            <w:tcW w:w="1134" w:type="dxa"/>
            <w:vAlign w:val="center"/>
          </w:tcPr>
          <w:p>
            <w:pPr>
              <w:pStyle w:val="15"/>
            </w:pPr>
            <w:r>
              <w:t>598.70</w:t>
            </w:r>
          </w:p>
        </w:tc>
        <w:tc>
          <w:tcPr>
            <w:tcW w:w="1134" w:type="dxa"/>
            <w:vAlign w:val="center"/>
          </w:tcPr>
          <w:p>
            <w:pPr>
              <w:pStyle w:val="15"/>
            </w:pPr>
            <w:r>
              <w:t>598.70</w:t>
            </w:r>
          </w:p>
        </w:tc>
        <w:tc>
          <w:tcPr>
            <w:tcW w:w="1134" w:type="dxa"/>
            <w:vAlign w:val="center"/>
          </w:tcPr>
          <w:p>
            <w:pPr>
              <w:pStyle w:val="15"/>
            </w:pPr>
            <w:r>
              <w:t>598.70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2010501</w:t>
            </w:r>
          </w:p>
        </w:tc>
        <w:tc>
          <w:tcPr>
            <w:tcW w:w="1559" w:type="dxa"/>
            <w:vAlign w:val="center"/>
          </w:tcPr>
          <w:p>
            <w:pPr>
              <w:pStyle w:val="16"/>
            </w:pPr>
            <w:r>
              <w:t>行政运行</w:t>
            </w:r>
          </w:p>
        </w:tc>
        <w:tc>
          <w:tcPr>
            <w:tcW w:w="1134" w:type="dxa"/>
            <w:vAlign w:val="center"/>
          </w:tcPr>
          <w:p>
            <w:pPr>
              <w:pStyle w:val="15"/>
            </w:pPr>
            <w:r>
              <w:t>543.70</w:t>
            </w:r>
          </w:p>
        </w:tc>
        <w:tc>
          <w:tcPr>
            <w:tcW w:w="1134" w:type="dxa"/>
            <w:vAlign w:val="center"/>
          </w:tcPr>
          <w:p>
            <w:pPr>
              <w:pStyle w:val="15"/>
            </w:pPr>
            <w:r>
              <w:t>543.70</w:t>
            </w:r>
          </w:p>
        </w:tc>
        <w:tc>
          <w:tcPr>
            <w:tcW w:w="1134" w:type="dxa"/>
            <w:vAlign w:val="center"/>
          </w:tcPr>
          <w:p>
            <w:pPr>
              <w:pStyle w:val="15"/>
            </w:pPr>
            <w:r>
              <w:t>543.70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2010505</w:t>
            </w:r>
          </w:p>
        </w:tc>
        <w:tc>
          <w:tcPr>
            <w:tcW w:w="1559" w:type="dxa"/>
            <w:vAlign w:val="center"/>
          </w:tcPr>
          <w:p>
            <w:pPr>
              <w:pStyle w:val="16"/>
            </w:pPr>
            <w:r>
              <w:t>专项统计业务</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2010506</w:t>
            </w:r>
          </w:p>
        </w:tc>
        <w:tc>
          <w:tcPr>
            <w:tcW w:w="1559" w:type="dxa"/>
            <w:vAlign w:val="center"/>
          </w:tcPr>
          <w:p>
            <w:pPr>
              <w:pStyle w:val="16"/>
            </w:pPr>
            <w:r>
              <w:t>统计管理</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140.46</w:t>
            </w:r>
          </w:p>
        </w:tc>
        <w:tc>
          <w:tcPr>
            <w:tcW w:w="1134" w:type="dxa"/>
            <w:vAlign w:val="center"/>
          </w:tcPr>
          <w:p>
            <w:pPr>
              <w:pStyle w:val="15"/>
            </w:pPr>
            <w:r>
              <w:t>140.46</w:t>
            </w:r>
          </w:p>
        </w:tc>
        <w:tc>
          <w:tcPr>
            <w:tcW w:w="1134" w:type="dxa"/>
            <w:vAlign w:val="center"/>
          </w:tcPr>
          <w:p>
            <w:pPr>
              <w:pStyle w:val="15"/>
            </w:pPr>
            <w:r>
              <w:t>140.46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140.46</w:t>
            </w:r>
          </w:p>
        </w:tc>
        <w:tc>
          <w:tcPr>
            <w:tcW w:w="1134" w:type="dxa"/>
            <w:vAlign w:val="center"/>
          </w:tcPr>
          <w:p>
            <w:pPr>
              <w:pStyle w:val="15"/>
            </w:pPr>
            <w:r>
              <w:t>140.46</w:t>
            </w:r>
          </w:p>
        </w:tc>
        <w:tc>
          <w:tcPr>
            <w:tcW w:w="1134" w:type="dxa"/>
            <w:vAlign w:val="center"/>
          </w:tcPr>
          <w:p>
            <w:pPr>
              <w:pStyle w:val="15"/>
            </w:pPr>
            <w:r>
              <w:t>140.46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84.63</w:t>
            </w:r>
          </w:p>
        </w:tc>
        <w:tc>
          <w:tcPr>
            <w:tcW w:w="1134" w:type="dxa"/>
            <w:vAlign w:val="center"/>
          </w:tcPr>
          <w:p>
            <w:pPr>
              <w:pStyle w:val="15"/>
            </w:pPr>
            <w:r>
              <w:t>84.63</w:t>
            </w:r>
          </w:p>
        </w:tc>
        <w:tc>
          <w:tcPr>
            <w:tcW w:w="1134" w:type="dxa"/>
            <w:vAlign w:val="center"/>
          </w:tcPr>
          <w:p>
            <w:pPr>
              <w:pStyle w:val="15"/>
            </w:pPr>
            <w:r>
              <w:t>84.63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55.83</w:t>
            </w:r>
          </w:p>
        </w:tc>
        <w:tc>
          <w:tcPr>
            <w:tcW w:w="1134" w:type="dxa"/>
            <w:vAlign w:val="center"/>
          </w:tcPr>
          <w:p>
            <w:pPr>
              <w:pStyle w:val="15"/>
            </w:pPr>
            <w:r>
              <w:t>55.83</w:t>
            </w:r>
          </w:p>
        </w:tc>
        <w:tc>
          <w:tcPr>
            <w:tcW w:w="1134" w:type="dxa"/>
            <w:vAlign w:val="center"/>
          </w:tcPr>
          <w:p>
            <w:pPr>
              <w:pStyle w:val="15"/>
            </w:pPr>
            <w:r>
              <w:t>55.83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18.01</w:t>
            </w:r>
          </w:p>
        </w:tc>
        <w:tc>
          <w:tcPr>
            <w:tcW w:w="1134" w:type="dxa"/>
            <w:vAlign w:val="center"/>
          </w:tcPr>
          <w:p>
            <w:pPr>
              <w:pStyle w:val="15"/>
            </w:pPr>
            <w:r>
              <w:t>18.01</w:t>
            </w:r>
          </w:p>
        </w:tc>
        <w:tc>
          <w:tcPr>
            <w:tcW w:w="1134" w:type="dxa"/>
            <w:vAlign w:val="center"/>
          </w:tcPr>
          <w:p>
            <w:pPr>
              <w:pStyle w:val="15"/>
            </w:pPr>
            <w:r>
              <w:t>18.01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18.01</w:t>
            </w:r>
          </w:p>
        </w:tc>
        <w:tc>
          <w:tcPr>
            <w:tcW w:w="1134" w:type="dxa"/>
            <w:vAlign w:val="center"/>
          </w:tcPr>
          <w:p>
            <w:pPr>
              <w:pStyle w:val="15"/>
            </w:pPr>
            <w:r>
              <w:t>18.01</w:t>
            </w:r>
          </w:p>
        </w:tc>
        <w:tc>
          <w:tcPr>
            <w:tcW w:w="1134" w:type="dxa"/>
            <w:vAlign w:val="center"/>
          </w:tcPr>
          <w:p>
            <w:pPr>
              <w:pStyle w:val="15"/>
            </w:pPr>
            <w:r>
              <w:t>18.01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18.01</w:t>
            </w:r>
          </w:p>
        </w:tc>
        <w:tc>
          <w:tcPr>
            <w:tcW w:w="1134" w:type="dxa"/>
            <w:vAlign w:val="center"/>
          </w:tcPr>
          <w:p>
            <w:pPr>
              <w:pStyle w:val="15"/>
            </w:pPr>
            <w:r>
              <w:t>18.01</w:t>
            </w:r>
          </w:p>
        </w:tc>
        <w:tc>
          <w:tcPr>
            <w:tcW w:w="1134" w:type="dxa"/>
            <w:vAlign w:val="center"/>
          </w:tcPr>
          <w:p>
            <w:pPr>
              <w:pStyle w:val="15"/>
            </w:pPr>
            <w:r>
              <w:t>18.01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46.26</w:t>
            </w:r>
          </w:p>
        </w:tc>
        <w:tc>
          <w:tcPr>
            <w:tcW w:w="1134" w:type="dxa"/>
            <w:vAlign w:val="center"/>
          </w:tcPr>
          <w:p>
            <w:pPr>
              <w:pStyle w:val="15"/>
            </w:pPr>
            <w:r>
              <w:t>46.26</w:t>
            </w:r>
          </w:p>
        </w:tc>
        <w:tc>
          <w:tcPr>
            <w:tcW w:w="1134" w:type="dxa"/>
            <w:vAlign w:val="center"/>
          </w:tcPr>
          <w:p>
            <w:pPr>
              <w:pStyle w:val="15"/>
            </w:pPr>
            <w:r>
              <w:t>46.26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46.26</w:t>
            </w:r>
          </w:p>
        </w:tc>
        <w:tc>
          <w:tcPr>
            <w:tcW w:w="1134" w:type="dxa"/>
            <w:vAlign w:val="center"/>
          </w:tcPr>
          <w:p>
            <w:pPr>
              <w:pStyle w:val="15"/>
            </w:pPr>
            <w:r>
              <w:t>46.26</w:t>
            </w:r>
          </w:p>
        </w:tc>
        <w:tc>
          <w:tcPr>
            <w:tcW w:w="1134" w:type="dxa"/>
            <w:vAlign w:val="center"/>
          </w:tcPr>
          <w:p>
            <w:pPr>
              <w:pStyle w:val="15"/>
            </w:pPr>
            <w:r>
              <w:t>46.26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46.26</w:t>
            </w:r>
          </w:p>
        </w:tc>
        <w:tc>
          <w:tcPr>
            <w:tcW w:w="1134" w:type="dxa"/>
            <w:vAlign w:val="center"/>
          </w:tcPr>
          <w:p>
            <w:pPr>
              <w:pStyle w:val="15"/>
            </w:pPr>
            <w:r>
              <w:t>46.26</w:t>
            </w:r>
          </w:p>
        </w:tc>
        <w:tc>
          <w:tcPr>
            <w:tcW w:w="1134" w:type="dxa"/>
            <w:vAlign w:val="center"/>
          </w:tcPr>
          <w:p>
            <w:pPr>
              <w:pStyle w:val="15"/>
            </w:pPr>
            <w:r>
              <w:t>46.26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227001廊坊市广阳区统计局本级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803.43</w:t>
            </w:r>
          </w:p>
        </w:tc>
        <w:tc>
          <w:tcPr>
            <w:tcW w:w="1361" w:type="dxa"/>
            <w:vAlign w:val="center"/>
          </w:tcPr>
          <w:p>
            <w:pPr>
              <w:pStyle w:val="19"/>
            </w:pPr>
            <w:r>
              <w:t>748.43</w:t>
            </w:r>
          </w:p>
        </w:tc>
        <w:tc>
          <w:tcPr>
            <w:tcW w:w="1361" w:type="dxa"/>
            <w:vAlign w:val="center"/>
          </w:tcPr>
          <w:p>
            <w:pPr>
              <w:pStyle w:val="19"/>
            </w:pPr>
            <w:r>
              <w:t>55.00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598.70</w:t>
            </w:r>
          </w:p>
        </w:tc>
        <w:tc>
          <w:tcPr>
            <w:tcW w:w="1361" w:type="dxa"/>
            <w:vAlign w:val="center"/>
          </w:tcPr>
          <w:p>
            <w:pPr>
              <w:pStyle w:val="15"/>
            </w:pPr>
            <w:r>
              <w:t>543.70</w:t>
            </w:r>
          </w:p>
        </w:tc>
        <w:tc>
          <w:tcPr>
            <w:tcW w:w="1361" w:type="dxa"/>
            <w:vAlign w:val="center"/>
          </w:tcPr>
          <w:p>
            <w:pPr>
              <w:pStyle w:val="15"/>
            </w:pPr>
            <w:r>
              <w:t>55.00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20105</w:t>
            </w:r>
          </w:p>
        </w:tc>
        <w:tc>
          <w:tcPr>
            <w:tcW w:w="4535" w:type="dxa"/>
            <w:vAlign w:val="center"/>
          </w:tcPr>
          <w:p>
            <w:pPr>
              <w:pStyle w:val="16"/>
            </w:pPr>
            <w:r>
              <w:t>统计信息事务</w:t>
            </w:r>
          </w:p>
        </w:tc>
        <w:tc>
          <w:tcPr>
            <w:tcW w:w="1361" w:type="dxa"/>
            <w:vAlign w:val="center"/>
          </w:tcPr>
          <w:p>
            <w:pPr>
              <w:pStyle w:val="15"/>
            </w:pPr>
            <w:r>
              <w:t>598.70</w:t>
            </w:r>
          </w:p>
        </w:tc>
        <w:tc>
          <w:tcPr>
            <w:tcW w:w="1361" w:type="dxa"/>
            <w:vAlign w:val="center"/>
          </w:tcPr>
          <w:p>
            <w:pPr>
              <w:pStyle w:val="15"/>
            </w:pPr>
            <w:r>
              <w:t>543.70</w:t>
            </w:r>
          </w:p>
        </w:tc>
        <w:tc>
          <w:tcPr>
            <w:tcW w:w="1361" w:type="dxa"/>
            <w:vAlign w:val="center"/>
          </w:tcPr>
          <w:p>
            <w:pPr>
              <w:pStyle w:val="15"/>
            </w:pPr>
            <w:r>
              <w:t>55.00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2010501</w:t>
            </w:r>
          </w:p>
        </w:tc>
        <w:tc>
          <w:tcPr>
            <w:tcW w:w="4535" w:type="dxa"/>
            <w:vAlign w:val="center"/>
          </w:tcPr>
          <w:p>
            <w:pPr>
              <w:pStyle w:val="16"/>
            </w:pPr>
            <w:r>
              <w:t>行政运行</w:t>
            </w:r>
          </w:p>
        </w:tc>
        <w:tc>
          <w:tcPr>
            <w:tcW w:w="1361" w:type="dxa"/>
            <w:vAlign w:val="center"/>
          </w:tcPr>
          <w:p>
            <w:pPr>
              <w:pStyle w:val="15"/>
            </w:pPr>
            <w:r>
              <w:t>543.70</w:t>
            </w:r>
          </w:p>
        </w:tc>
        <w:tc>
          <w:tcPr>
            <w:tcW w:w="1361" w:type="dxa"/>
            <w:vAlign w:val="center"/>
          </w:tcPr>
          <w:p>
            <w:pPr>
              <w:pStyle w:val="15"/>
            </w:pPr>
            <w:r>
              <w:t>543.70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2010505</w:t>
            </w:r>
          </w:p>
        </w:tc>
        <w:tc>
          <w:tcPr>
            <w:tcW w:w="4535" w:type="dxa"/>
            <w:vAlign w:val="center"/>
          </w:tcPr>
          <w:p>
            <w:pPr>
              <w:pStyle w:val="16"/>
            </w:pPr>
            <w:r>
              <w:t>专项统计业务</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2010506</w:t>
            </w:r>
          </w:p>
        </w:tc>
        <w:tc>
          <w:tcPr>
            <w:tcW w:w="4535" w:type="dxa"/>
            <w:vAlign w:val="center"/>
          </w:tcPr>
          <w:p>
            <w:pPr>
              <w:pStyle w:val="16"/>
            </w:pPr>
            <w:r>
              <w:t>统计管理</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140.46</w:t>
            </w:r>
          </w:p>
        </w:tc>
        <w:tc>
          <w:tcPr>
            <w:tcW w:w="1361" w:type="dxa"/>
            <w:vAlign w:val="center"/>
          </w:tcPr>
          <w:p>
            <w:pPr>
              <w:pStyle w:val="15"/>
            </w:pPr>
            <w:r>
              <w:t>140.46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140.46</w:t>
            </w:r>
          </w:p>
        </w:tc>
        <w:tc>
          <w:tcPr>
            <w:tcW w:w="1361" w:type="dxa"/>
            <w:vAlign w:val="center"/>
          </w:tcPr>
          <w:p>
            <w:pPr>
              <w:pStyle w:val="15"/>
            </w:pPr>
            <w:r>
              <w:t>140.46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84.63</w:t>
            </w:r>
          </w:p>
        </w:tc>
        <w:tc>
          <w:tcPr>
            <w:tcW w:w="1361" w:type="dxa"/>
            <w:vAlign w:val="center"/>
          </w:tcPr>
          <w:p>
            <w:pPr>
              <w:pStyle w:val="15"/>
            </w:pPr>
            <w:r>
              <w:t>84.63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55.83</w:t>
            </w:r>
          </w:p>
        </w:tc>
        <w:tc>
          <w:tcPr>
            <w:tcW w:w="1361" w:type="dxa"/>
            <w:vAlign w:val="center"/>
          </w:tcPr>
          <w:p>
            <w:pPr>
              <w:pStyle w:val="15"/>
            </w:pPr>
            <w:r>
              <w:t>55.83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18.01</w:t>
            </w:r>
          </w:p>
        </w:tc>
        <w:tc>
          <w:tcPr>
            <w:tcW w:w="1361" w:type="dxa"/>
            <w:vAlign w:val="center"/>
          </w:tcPr>
          <w:p>
            <w:pPr>
              <w:pStyle w:val="15"/>
            </w:pPr>
            <w:r>
              <w:t>18.01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18.01</w:t>
            </w:r>
          </w:p>
        </w:tc>
        <w:tc>
          <w:tcPr>
            <w:tcW w:w="1361" w:type="dxa"/>
            <w:vAlign w:val="center"/>
          </w:tcPr>
          <w:p>
            <w:pPr>
              <w:pStyle w:val="15"/>
            </w:pPr>
            <w:r>
              <w:t>18.01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18.01</w:t>
            </w:r>
          </w:p>
        </w:tc>
        <w:tc>
          <w:tcPr>
            <w:tcW w:w="1361" w:type="dxa"/>
            <w:vAlign w:val="center"/>
          </w:tcPr>
          <w:p>
            <w:pPr>
              <w:pStyle w:val="15"/>
            </w:pPr>
            <w:r>
              <w:t>18.01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46.26</w:t>
            </w:r>
          </w:p>
        </w:tc>
        <w:tc>
          <w:tcPr>
            <w:tcW w:w="1361" w:type="dxa"/>
            <w:vAlign w:val="center"/>
          </w:tcPr>
          <w:p>
            <w:pPr>
              <w:pStyle w:val="15"/>
            </w:pPr>
            <w:r>
              <w:t>46.26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46.26</w:t>
            </w:r>
          </w:p>
        </w:tc>
        <w:tc>
          <w:tcPr>
            <w:tcW w:w="1361" w:type="dxa"/>
            <w:vAlign w:val="center"/>
          </w:tcPr>
          <w:p>
            <w:pPr>
              <w:pStyle w:val="15"/>
            </w:pPr>
            <w:r>
              <w:t>46.26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46.26</w:t>
            </w:r>
          </w:p>
        </w:tc>
        <w:tc>
          <w:tcPr>
            <w:tcW w:w="1361" w:type="dxa"/>
            <w:vAlign w:val="center"/>
          </w:tcPr>
          <w:p>
            <w:pPr>
              <w:pStyle w:val="15"/>
            </w:pPr>
            <w:r>
              <w:t>46.26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227001廊坊市广阳区统计局本级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803.43</w:t>
            </w:r>
          </w:p>
        </w:tc>
        <w:tc>
          <w:tcPr>
            <w:tcW w:w="3402" w:type="dxa"/>
            <w:vAlign w:val="center"/>
          </w:tcPr>
          <w:p>
            <w:pPr>
              <w:pStyle w:val="16"/>
            </w:pPr>
            <w:r>
              <w:t>一、一般公共服务支出</w:t>
            </w:r>
          </w:p>
        </w:tc>
        <w:tc>
          <w:tcPr>
            <w:tcW w:w="1474" w:type="dxa"/>
            <w:vAlign w:val="center"/>
          </w:tcPr>
          <w:p>
            <w:pPr>
              <w:pStyle w:val="15"/>
            </w:pPr>
            <w:r>
              <w:t>598.70</w:t>
            </w:r>
          </w:p>
        </w:tc>
        <w:tc>
          <w:tcPr>
            <w:tcW w:w="1474" w:type="dxa"/>
            <w:vAlign w:val="center"/>
          </w:tcPr>
          <w:p>
            <w:pPr>
              <w:pStyle w:val="15"/>
            </w:pPr>
            <w:r>
              <w:t>598.70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140.46</w:t>
            </w:r>
          </w:p>
        </w:tc>
        <w:tc>
          <w:tcPr>
            <w:tcW w:w="1474" w:type="dxa"/>
            <w:vAlign w:val="center"/>
          </w:tcPr>
          <w:p>
            <w:pPr>
              <w:pStyle w:val="15"/>
            </w:pPr>
            <w:r>
              <w:t>140.46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18.01</w:t>
            </w:r>
          </w:p>
        </w:tc>
        <w:tc>
          <w:tcPr>
            <w:tcW w:w="1474" w:type="dxa"/>
            <w:vAlign w:val="center"/>
          </w:tcPr>
          <w:p>
            <w:pPr>
              <w:pStyle w:val="15"/>
            </w:pPr>
            <w:r>
              <w:t>18.01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46.26</w:t>
            </w:r>
          </w:p>
        </w:tc>
        <w:tc>
          <w:tcPr>
            <w:tcW w:w="1474" w:type="dxa"/>
            <w:vAlign w:val="center"/>
          </w:tcPr>
          <w:p>
            <w:pPr>
              <w:pStyle w:val="15"/>
            </w:pPr>
            <w:r>
              <w:t>46.26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803.43</w:t>
            </w:r>
          </w:p>
        </w:tc>
        <w:tc>
          <w:tcPr>
            <w:tcW w:w="3402" w:type="dxa"/>
            <w:vAlign w:val="center"/>
          </w:tcPr>
          <w:p>
            <w:pPr>
              <w:pStyle w:val="18"/>
            </w:pPr>
            <w:r>
              <w:t>本年支出合计</w:t>
            </w:r>
          </w:p>
        </w:tc>
        <w:tc>
          <w:tcPr>
            <w:tcW w:w="1474" w:type="dxa"/>
            <w:vAlign w:val="center"/>
          </w:tcPr>
          <w:p>
            <w:pPr>
              <w:pStyle w:val="19"/>
            </w:pPr>
            <w:r>
              <w:t>803.43</w:t>
            </w:r>
          </w:p>
        </w:tc>
        <w:tc>
          <w:tcPr>
            <w:tcW w:w="1474" w:type="dxa"/>
            <w:vAlign w:val="center"/>
          </w:tcPr>
          <w:p>
            <w:pPr>
              <w:pStyle w:val="19"/>
            </w:pPr>
            <w:r>
              <w:t>803.43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803.43</w:t>
            </w:r>
          </w:p>
        </w:tc>
        <w:tc>
          <w:tcPr>
            <w:tcW w:w="3402" w:type="dxa"/>
            <w:vAlign w:val="center"/>
          </w:tcPr>
          <w:p>
            <w:pPr>
              <w:pStyle w:val="18"/>
            </w:pPr>
            <w:r>
              <w:t>支出总计</w:t>
            </w:r>
          </w:p>
        </w:tc>
        <w:tc>
          <w:tcPr>
            <w:tcW w:w="1474" w:type="dxa"/>
            <w:vAlign w:val="center"/>
          </w:tcPr>
          <w:p>
            <w:pPr>
              <w:pStyle w:val="19"/>
            </w:pPr>
            <w:r>
              <w:t>803.43</w:t>
            </w:r>
          </w:p>
        </w:tc>
        <w:tc>
          <w:tcPr>
            <w:tcW w:w="1474" w:type="dxa"/>
            <w:vAlign w:val="center"/>
          </w:tcPr>
          <w:p>
            <w:pPr>
              <w:pStyle w:val="19"/>
            </w:pPr>
            <w:r>
              <w:t>803.43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227001廊坊市广阳区统计局本级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803.43</w:t>
            </w:r>
          </w:p>
        </w:tc>
        <w:tc>
          <w:tcPr>
            <w:tcW w:w="2551" w:type="dxa"/>
            <w:vAlign w:val="center"/>
          </w:tcPr>
          <w:p>
            <w:pPr>
              <w:pStyle w:val="19"/>
            </w:pPr>
            <w:r>
              <w:t>748.43</w:t>
            </w:r>
          </w:p>
        </w:tc>
        <w:tc>
          <w:tcPr>
            <w:tcW w:w="2551" w:type="dxa"/>
            <w:vAlign w:val="center"/>
          </w:tcPr>
          <w:p>
            <w:pPr>
              <w:pStyle w:val="19"/>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598.70</w:t>
            </w:r>
          </w:p>
        </w:tc>
        <w:tc>
          <w:tcPr>
            <w:tcW w:w="2551" w:type="dxa"/>
            <w:vAlign w:val="center"/>
          </w:tcPr>
          <w:p>
            <w:pPr>
              <w:pStyle w:val="15"/>
            </w:pPr>
            <w:r>
              <w:t>543.70</w:t>
            </w:r>
          </w:p>
        </w:tc>
        <w:tc>
          <w:tcPr>
            <w:tcW w:w="2551" w:type="dxa"/>
            <w:vAlign w:val="center"/>
          </w:tcPr>
          <w:p>
            <w:pPr>
              <w:pStyle w:val="15"/>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20105</w:t>
            </w:r>
          </w:p>
        </w:tc>
        <w:tc>
          <w:tcPr>
            <w:tcW w:w="4535" w:type="dxa"/>
            <w:vAlign w:val="center"/>
          </w:tcPr>
          <w:p>
            <w:pPr>
              <w:pStyle w:val="16"/>
            </w:pPr>
            <w:r>
              <w:t>统计信息事务</w:t>
            </w:r>
          </w:p>
        </w:tc>
        <w:tc>
          <w:tcPr>
            <w:tcW w:w="2551" w:type="dxa"/>
            <w:vAlign w:val="center"/>
          </w:tcPr>
          <w:p>
            <w:pPr>
              <w:pStyle w:val="15"/>
            </w:pPr>
            <w:r>
              <w:t>598.70</w:t>
            </w:r>
          </w:p>
        </w:tc>
        <w:tc>
          <w:tcPr>
            <w:tcW w:w="2551" w:type="dxa"/>
            <w:vAlign w:val="center"/>
          </w:tcPr>
          <w:p>
            <w:pPr>
              <w:pStyle w:val="15"/>
            </w:pPr>
            <w:r>
              <w:t>543.70</w:t>
            </w:r>
          </w:p>
        </w:tc>
        <w:tc>
          <w:tcPr>
            <w:tcW w:w="2551" w:type="dxa"/>
            <w:vAlign w:val="center"/>
          </w:tcPr>
          <w:p>
            <w:pPr>
              <w:pStyle w:val="15"/>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2010501</w:t>
            </w:r>
          </w:p>
        </w:tc>
        <w:tc>
          <w:tcPr>
            <w:tcW w:w="4535" w:type="dxa"/>
            <w:vAlign w:val="center"/>
          </w:tcPr>
          <w:p>
            <w:pPr>
              <w:pStyle w:val="16"/>
            </w:pPr>
            <w:r>
              <w:t>行政运行</w:t>
            </w:r>
          </w:p>
        </w:tc>
        <w:tc>
          <w:tcPr>
            <w:tcW w:w="2551" w:type="dxa"/>
            <w:vAlign w:val="center"/>
          </w:tcPr>
          <w:p>
            <w:pPr>
              <w:pStyle w:val="15"/>
            </w:pPr>
            <w:r>
              <w:t>543.70</w:t>
            </w:r>
          </w:p>
        </w:tc>
        <w:tc>
          <w:tcPr>
            <w:tcW w:w="2551" w:type="dxa"/>
            <w:vAlign w:val="center"/>
          </w:tcPr>
          <w:p>
            <w:pPr>
              <w:pStyle w:val="15"/>
            </w:pPr>
            <w:r>
              <w:t>543.70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2010505</w:t>
            </w:r>
          </w:p>
        </w:tc>
        <w:tc>
          <w:tcPr>
            <w:tcW w:w="4535" w:type="dxa"/>
            <w:vAlign w:val="center"/>
          </w:tcPr>
          <w:p>
            <w:pPr>
              <w:pStyle w:val="16"/>
            </w:pPr>
            <w:r>
              <w:t>专项统计业务</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2010506</w:t>
            </w:r>
          </w:p>
        </w:tc>
        <w:tc>
          <w:tcPr>
            <w:tcW w:w="4535" w:type="dxa"/>
            <w:vAlign w:val="center"/>
          </w:tcPr>
          <w:p>
            <w:pPr>
              <w:pStyle w:val="16"/>
            </w:pPr>
            <w:r>
              <w:t>统计管理</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140.46</w:t>
            </w:r>
          </w:p>
        </w:tc>
        <w:tc>
          <w:tcPr>
            <w:tcW w:w="2551" w:type="dxa"/>
            <w:vAlign w:val="center"/>
          </w:tcPr>
          <w:p>
            <w:pPr>
              <w:pStyle w:val="15"/>
            </w:pPr>
            <w:r>
              <w:t>140.46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140.46</w:t>
            </w:r>
          </w:p>
        </w:tc>
        <w:tc>
          <w:tcPr>
            <w:tcW w:w="2551" w:type="dxa"/>
            <w:vAlign w:val="center"/>
          </w:tcPr>
          <w:p>
            <w:pPr>
              <w:pStyle w:val="15"/>
            </w:pPr>
            <w:r>
              <w:t>140.46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84.63</w:t>
            </w:r>
          </w:p>
        </w:tc>
        <w:tc>
          <w:tcPr>
            <w:tcW w:w="2551" w:type="dxa"/>
            <w:vAlign w:val="center"/>
          </w:tcPr>
          <w:p>
            <w:pPr>
              <w:pStyle w:val="15"/>
            </w:pPr>
            <w:r>
              <w:t>84.63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55.83</w:t>
            </w:r>
          </w:p>
        </w:tc>
        <w:tc>
          <w:tcPr>
            <w:tcW w:w="2551" w:type="dxa"/>
            <w:vAlign w:val="center"/>
          </w:tcPr>
          <w:p>
            <w:pPr>
              <w:pStyle w:val="15"/>
            </w:pPr>
            <w:r>
              <w:t>55.83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18.01</w:t>
            </w:r>
          </w:p>
        </w:tc>
        <w:tc>
          <w:tcPr>
            <w:tcW w:w="2551" w:type="dxa"/>
            <w:vAlign w:val="center"/>
          </w:tcPr>
          <w:p>
            <w:pPr>
              <w:pStyle w:val="15"/>
            </w:pPr>
            <w:r>
              <w:t>18.01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18.01</w:t>
            </w:r>
          </w:p>
        </w:tc>
        <w:tc>
          <w:tcPr>
            <w:tcW w:w="2551" w:type="dxa"/>
            <w:vAlign w:val="center"/>
          </w:tcPr>
          <w:p>
            <w:pPr>
              <w:pStyle w:val="15"/>
            </w:pPr>
            <w:r>
              <w:t>18.01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18.01</w:t>
            </w:r>
          </w:p>
        </w:tc>
        <w:tc>
          <w:tcPr>
            <w:tcW w:w="2551" w:type="dxa"/>
            <w:vAlign w:val="center"/>
          </w:tcPr>
          <w:p>
            <w:pPr>
              <w:pStyle w:val="15"/>
            </w:pPr>
            <w:r>
              <w:t>18.01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46.26</w:t>
            </w:r>
          </w:p>
        </w:tc>
        <w:tc>
          <w:tcPr>
            <w:tcW w:w="2551" w:type="dxa"/>
            <w:vAlign w:val="center"/>
          </w:tcPr>
          <w:p>
            <w:pPr>
              <w:pStyle w:val="15"/>
            </w:pPr>
            <w:r>
              <w:t>46.26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46.26</w:t>
            </w:r>
          </w:p>
        </w:tc>
        <w:tc>
          <w:tcPr>
            <w:tcW w:w="2551" w:type="dxa"/>
            <w:vAlign w:val="center"/>
          </w:tcPr>
          <w:p>
            <w:pPr>
              <w:pStyle w:val="15"/>
            </w:pPr>
            <w:r>
              <w:t>46.26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46.26</w:t>
            </w:r>
          </w:p>
        </w:tc>
        <w:tc>
          <w:tcPr>
            <w:tcW w:w="2551" w:type="dxa"/>
            <w:vAlign w:val="center"/>
          </w:tcPr>
          <w:p>
            <w:pPr>
              <w:pStyle w:val="15"/>
            </w:pPr>
            <w:r>
              <w:t>46.26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227001廊坊市广阳区统计局本级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748.43</w:t>
            </w:r>
          </w:p>
        </w:tc>
        <w:tc>
          <w:tcPr>
            <w:tcW w:w="2551" w:type="dxa"/>
            <w:vAlign w:val="center"/>
          </w:tcPr>
          <w:p>
            <w:pPr>
              <w:pStyle w:val="19"/>
            </w:pPr>
            <w:r>
              <w:t>675.67</w:t>
            </w:r>
          </w:p>
        </w:tc>
        <w:tc>
          <w:tcPr>
            <w:tcW w:w="2551" w:type="dxa"/>
            <w:vAlign w:val="center"/>
          </w:tcPr>
          <w:p>
            <w:pPr>
              <w:pStyle w:val="19"/>
            </w:pPr>
            <w:r>
              <w:t>72.76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590.98</w:t>
            </w:r>
          </w:p>
        </w:tc>
        <w:tc>
          <w:tcPr>
            <w:tcW w:w="2551" w:type="dxa"/>
            <w:vAlign w:val="center"/>
          </w:tcPr>
          <w:p>
            <w:pPr>
              <w:pStyle w:val="15"/>
            </w:pPr>
            <w:r>
              <w:t>590.98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158.99</w:t>
            </w:r>
          </w:p>
        </w:tc>
        <w:tc>
          <w:tcPr>
            <w:tcW w:w="2551" w:type="dxa"/>
            <w:vAlign w:val="center"/>
          </w:tcPr>
          <w:p>
            <w:pPr>
              <w:pStyle w:val="15"/>
            </w:pPr>
            <w:r>
              <w:t>158.99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182.81</w:t>
            </w:r>
          </w:p>
        </w:tc>
        <w:tc>
          <w:tcPr>
            <w:tcW w:w="2551" w:type="dxa"/>
            <w:vAlign w:val="center"/>
          </w:tcPr>
          <w:p>
            <w:pPr>
              <w:pStyle w:val="15"/>
            </w:pPr>
            <w:r>
              <w:t>182.81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117.17</w:t>
            </w:r>
          </w:p>
        </w:tc>
        <w:tc>
          <w:tcPr>
            <w:tcW w:w="2551" w:type="dxa"/>
            <w:vAlign w:val="center"/>
          </w:tcPr>
          <w:p>
            <w:pPr>
              <w:pStyle w:val="15"/>
            </w:pPr>
            <w:r>
              <w:t>117.17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9.75</w:t>
            </w:r>
          </w:p>
        </w:tc>
        <w:tc>
          <w:tcPr>
            <w:tcW w:w="2551" w:type="dxa"/>
            <w:vAlign w:val="center"/>
          </w:tcPr>
          <w:p>
            <w:pPr>
              <w:pStyle w:val="15"/>
            </w:pPr>
            <w:r>
              <w:t>9.75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55.83</w:t>
            </w:r>
          </w:p>
        </w:tc>
        <w:tc>
          <w:tcPr>
            <w:tcW w:w="2551" w:type="dxa"/>
            <w:vAlign w:val="center"/>
          </w:tcPr>
          <w:p>
            <w:pPr>
              <w:pStyle w:val="15"/>
            </w:pPr>
            <w:r>
              <w:t>55.83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17.78</w:t>
            </w:r>
          </w:p>
        </w:tc>
        <w:tc>
          <w:tcPr>
            <w:tcW w:w="2551" w:type="dxa"/>
            <w:vAlign w:val="center"/>
          </w:tcPr>
          <w:p>
            <w:pPr>
              <w:pStyle w:val="15"/>
            </w:pPr>
            <w:r>
              <w:t>17.78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1.63</w:t>
            </w:r>
          </w:p>
        </w:tc>
        <w:tc>
          <w:tcPr>
            <w:tcW w:w="2551" w:type="dxa"/>
            <w:vAlign w:val="center"/>
          </w:tcPr>
          <w:p>
            <w:pPr>
              <w:pStyle w:val="15"/>
            </w:pPr>
            <w:r>
              <w:t>1.63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46.26</w:t>
            </w:r>
          </w:p>
        </w:tc>
        <w:tc>
          <w:tcPr>
            <w:tcW w:w="2551" w:type="dxa"/>
            <w:vAlign w:val="center"/>
          </w:tcPr>
          <w:p>
            <w:pPr>
              <w:pStyle w:val="15"/>
            </w:pPr>
            <w:r>
              <w:t>46.26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0.76</w:t>
            </w:r>
          </w:p>
        </w:tc>
        <w:tc>
          <w:tcPr>
            <w:tcW w:w="2551" w:type="dxa"/>
            <w:vAlign w:val="center"/>
          </w:tcPr>
          <w:p>
            <w:pPr>
              <w:pStyle w:val="15"/>
            </w:pPr>
            <w:r>
              <w:t>0.76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72.76</w:t>
            </w:r>
          </w:p>
        </w:tc>
        <w:tc>
          <w:tcPr>
            <w:tcW w:w="2551" w:type="dxa"/>
            <w:vAlign w:val="center"/>
          </w:tcPr>
          <w:p>
            <w:pPr>
              <w:pStyle w:val="15"/>
            </w:pPr>
          </w:p>
        </w:tc>
        <w:tc>
          <w:tcPr>
            <w:tcW w:w="2551" w:type="dxa"/>
            <w:vAlign w:val="center"/>
          </w:tcPr>
          <w:p>
            <w:pPr>
              <w:pStyle w:val="15"/>
            </w:pPr>
            <w:r>
              <w:t>72.76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6.08</w:t>
            </w:r>
          </w:p>
        </w:tc>
        <w:tc>
          <w:tcPr>
            <w:tcW w:w="2551" w:type="dxa"/>
            <w:vAlign w:val="center"/>
          </w:tcPr>
          <w:p>
            <w:pPr>
              <w:pStyle w:val="15"/>
            </w:pPr>
          </w:p>
        </w:tc>
        <w:tc>
          <w:tcPr>
            <w:tcW w:w="2551" w:type="dxa"/>
            <w:vAlign w:val="center"/>
          </w:tcPr>
          <w:p>
            <w:pPr>
              <w:pStyle w:val="15"/>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0.46</w:t>
            </w:r>
          </w:p>
        </w:tc>
        <w:tc>
          <w:tcPr>
            <w:tcW w:w="2551" w:type="dxa"/>
            <w:vAlign w:val="center"/>
          </w:tcPr>
          <w:p>
            <w:pPr>
              <w:pStyle w:val="15"/>
            </w:pPr>
          </w:p>
        </w:tc>
        <w:tc>
          <w:tcPr>
            <w:tcW w:w="2551" w:type="dxa"/>
            <w:vAlign w:val="center"/>
          </w:tcPr>
          <w:p>
            <w:pPr>
              <w:pStyle w:val="15"/>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1.22</w:t>
            </w:r>
          </w:p>
        </w:tc>
        <w:tc>
          <w:tcPr>
            <w:tcW w:w="2551" w:type="dxa"/>
            <w:vAlign w:val="center"/>
          </w:tcPr>
          <w:p>
            <w:pPr>
              <w:pStyle w:val="15"/>
            </w:pPr>
          </w:p>
        </w:tc>
        <w:tc>
          <w:tcPr>
            <w:tcW w:w="2551" w:type="dxa"/>
            <w:vAlign w:val="center"/>
          </w:tcPr>
          <w:p>
            <w:pPr>
              <w:pStyle w:val="15"/>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3.42</w:t>
            </w:r>
          </w:p>
        </w:tc>
        <w:tc>
          <w:tcPr>
            <w:tcW w:w="2551" w:type="dxa"/>
            <w:vAlign w:val="center"/>
          </w:tcPr>
          <w:p>
            <w:pPr>
              <w:pStyle w:val="15"/>
            </w:pPr>
          </w:p>
        </w:tc>
        <w:tc>
          <w:tcPr>
            <w:tcW w:w="2551" w:type="dxa"/>
            <w:vAlign w:val="center"/>
          </w:tcPr>
          <w:p>
            <w:pPr>
              <w:pStyle w:val="15"/>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20.82</w:t>
            </w:r>
          </w:p>
        </w:tc>
        <w:tc>
          <w:tcPr>
            <w:tcW w:w="2551" w:type="dxa"/>
            <w:vAlign w:val="center"/>
          </w:tcPr>
          <w:p>
            <w:pPr>
              <w:pStyle w:val="15"/>
            </w:pPr>
          </w:p>
        </w:tc>
        <w:tc>
          <w:tcPr>
            <w:tcW w:w="2551" w:type="dxa"/>
            <w:vAlign w:val="center"/>
          </w:tcPr>
          <w:p>
            <w:pPr>
              <w:pStyle w:val="15"/>
            </w:pPr>
            <w:r>
              <w:t>20.82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4.45</w:t>
            </w:r>
          </w:p>
        </w:tc>
        <w:tc>
          <w:tcPr>
            <w:tcW w:w="2551" w:type="dxa"/>
            <w:vAlign w:val="center"/>
          </w:tcPr>
          <w:p>
            <w:pPr>
              <w:pStyle w:val="15"/>
            </w:pPr>
          </w:p>
        </w:tc>
        <w:tc>
          <w:tcPr>
            <w:tcW w:w="2551" w:type="dxa"/>
            <w:vAlign w:val="center"/>
          </w:tcPr>
          <w:p>
            <w:pPr>
              <w:pStyle w:val="15"/>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2.20</w:t>
            </w:r>
          </w:p>
        </w:tc>
        <w:tc>
          <w:tcPr>
            <w:tcW w:w="2551" w:type="dxa"/>
            <w:vAlign w:val="center"/>
          </w:tcPr>
          <w:p>
            <w:pPr>
              <w:pStyle w:val="15"/>
            </w:pPr>
          </w:p>
        </w:tc>
        <w:tc>
          <w:tcPr>
            <w:tcW w:w="2551" w:type="dxa"/>
            <w:vAlign w:val="center"/>
          </w:tcPr>
          <w:p>
            <w:pPr>
              <w:pStyle w:val="15"/>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6.08</w:t>
            </w:r>
          </w:p>
        </w:tc>
        <w:tc>
          <w:tcPr>
            <w:tcW w:w="2551" w:type="dxa"/>
            <w:vAlign w:val="center"/>
          </w:tcPr>
          <w:p>
            <w:pPr>
              <w:pStyle w:val="15"/>
            </w:pPr>
          </w:p>
        </w:tc>
        <w:tc>
          <w:tcPr>
            <w:tcW w:w="2551" w:type="dxa"/>
            <w:vAlign w:val="center"/>
          </w:tcPr>
          <w:p>
            <w:pPr>
              <w:pStyle w:val="15"/>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0.38</w:t>
            </w:r>
          </w:p>
        </w:tc>
        <w:tc>
          <w:tcPr>
            <w:tcW w:w="2551" w:type="dxa"/>
            <w:vAlign w:val="center"/>
          </w:tcPr>
          <w:p>
            <w:pPr>
              <w:pStyle w:val="15"/>
            </w:pPr>
          </w:p>
        </w:tc>
        <w:tc>
          <w:tcPr>
            <w:tcW w:w="2551" w:type="dxa"/>
            <w:vAlign w:val="center"/>
          </w:tcPr>
          <w:p>
            <w:pPr>
              <w:pStyle w:val="15"/>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3.23</w:t>
            </w:r>
          </w:p>
        </w:tc>
        <w:tc>
          <w:tcPr>
            <w:tcW w:w="2551" w:type="dxa"/>
            <w:vAlign w:val="center"/>
          </w:tcPr>
          <w:p>
            <w:pPr>
              <w:pStyle w:val="15"/>
            </w:pPr>
          </w:p>
        </w:tc>
        <w:tc>
          <w:tcPr>
            <w:tcW w:w="2551" w:type="dxa"/>
            <w:vAlign w:val="center"/>
          </w:tcPr>
          <w:p>
            <w:pPr>
              <w:pStyle w:val="15"/>
            </w:pPr>
            <w: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2.91</w:t>
            </w:r>
          </w:p>
        </w:tc>
        <w:tc>
          <w:tcPr>
            <w:tcW w:w="2551" w:type="dxa"/>
            <w:vAlign w:val="center"/>
          </w:tcPr>
          <w:p>
            <w:pPr>
              <w:pStyle w:val="15"/>
            </w:pPr>
          </w:p>
        </w:tc>
        <w:tc>
          <w:tcPr>
            <w:tcW w:w="2551" w:type="dxa"/>
            <w:vAlign w:val="center"/>
          </w:tcPr>
          <w:p>
            <w:pPr>
              <w:pStyle w:val="15"/>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2.19</w:t>
            </w:r>
          </w:p>
        </w:tc>
        <w:tc>
          <w:tcPr>
            <w:tcW w:w="2551" w:type="dxa"/>
            <w:vAlign w:val="center"/>
          </w:tcPr>
          <w:p>
            <w:pPr>
              <w:pStyle w:val="15"/>
            </w:pPr>
          </w:p>
        </w:tc>
        <w:tc>
          <w:tcPr>
            <w:tcW w:w="2551" w:type="dxa"/>
            <w:vAlign w:val="center"/>
          </w:tcPr>
          <w:p>
            <w:pPr>
              <w:pStyle w:val="15"/>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19.32</w:t>
            </w:r>
          </w:p>
        </w:tc>
        <w:tc>
          <w:tcPr>
            <w:tcW w:w="2551" w:type="dxa"/>
            <w:vAlign w:val="center"/>
          </w:tcPr>
          <w:p>
            <w:pPr>
              <w:pStyle w:val="15"/>
            </w:pPr>
          </w:p>
        </w:tc>
        <w:tc>
          <w:tcPr>
            <w:tcW w:w="2551" w:type="dxa"/>
            <w:vAlign w:val="center"/>
          </w:tcPr>
          <w:p>
            <w:pPr>
              <w:pStyle w:val="15"/>
            </w:pPr>
            <w:r>
              <w:t>19.32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84.69</w:t>
            </w:r>
          </w:p>
        </w:tc>
        <w:tc>
          <w:tcPr>
            <w:tcW w:w="2551" w:type="dxa"/>
            <w:vAlign w:val="center"/>
          </w:tcPr>
          <w:p>
            <w:pPr>
              <w:pStyle w:val="15"/>
            </w:pPr>
            <w:r>
              <w:t>84.69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84.63</w:t>
            </w:r>
          </w:p>
        </w:tc>
        <w:tc>
          <w:tcPr>
            <w:tcW w:w="2551" w:type="dxa"/>
            <w:vAlign w:val="center"/>
          </w:tcPr>
          <w:p>
            <w:pPr>
              <w:pStyle w:val="15"/>
            </w:pPr>
            <w:r>
              <w:t>84.63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0.06</w:t>
            </w:r>
          </w:p>
        </w:tc>
        <w:tc>
          <w:tcPr>
            <w:tcW w:w="2551" w:type="dxa"/>
            <w:vAlign w:val="center"/>
          </w:tcPr>
          <w:p>
            <w:pPr>
              <w:pStyle w:val="15"/>
            </w:pPr>
            <w:r>
              <w:t>0.06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227001廊坊市广阳区统计局本级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227001廊坊市广阳区统计局本级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227001廊坊市广阳区统计局本级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“三公”经费小计</w:t>
            </w:r>
          </w:p>
        </w:tc>
        <w:tc>
          <w:tcPr>
            <w:tcW w:w="2381" w:type="dxa"/>
            <w:vAlign w:val="center"/>
          </w:tcPr>
          <w:p>
            <w:pPr>
              <w:pStyle w:val="19"/>
            </w:pPr>
            <w:r>
              <w:t>2.19</w:t>
            </w:r>
          </w:p>
        </w:tc>
        <w:tc>
          <w:tcPr>
            <w:tcW w:w="2381" w:type="dxa"/>
            <w:vAlign w:val="center"/>
          </w:tcPr>
          <w:p>
            <w:pPr>
              <w:pStyle w:val="19"/>
            </w:pPr>
            <w:r>
              <w:t>2.19</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r>
              <w:t>2.19</w:t>
            </w:r>
          </w:p>
        </w:tc>
        <w:tc>
          <w:tcPr>
            <w:tcW w:w="2381" w:type="dxa"/>
            <w:vAlign w:val="center"/>
          </w:tcPr>
          <w:p>
            <w:pPr>
              <w:pStyle w:val="15"/>
            </w:pPr>
            <w:r>
              <w:t>2.19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2.19</w:t>
            </w:r>
          </w:p>
        </w:tc>
        <w:tc>
          <w:tcPr>
            <w:tcW w:w="2381" w:type="dxa"/>
            <w:vAlign w:val="center"/>
          </w:tcPr>
          <w:p>
            <w:pPr>
              <w:pStyle w:val="15"/>
            </w:pPr>
            <w:r>
              <w:t>2.19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bookmarkStart w:id="18" w:name="_GoBack"/>
      <w:r>
        <w:rPr>
          <w:rFonts w:ascii="方正小标宋_GBK" w:hAnsi="方正小标宋_GBK" w:eastAsia="方正小标宋_GBK" w:cs="方正小标宋_GBK"/>
          <w:color w:val="000000"/>
          <w:sz w:val="44"/>
        </w:rPr>
        <w:t>廊坊市广阳区统计局本级2023年单位预算信息公开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预算法》、《地方预决算公开操作规程》和《关于进一步推进预算公开工作的实施意见》规定，现将廊坊市广阳区统计局本级2023年单位预算公开如下：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（1）组织领导和协调全区统计工作，确保统计数据真实、准确、完整、及时。</w:t>
      </w:r>
    </w:p>
    <w:p>
      <w:pPr>
        <w:pStyle w:val="29"/>
      </w:pPr>
      <w:r>
        <w:t>（2）制定统计建设规划、统计调查计划、统计调查制度，指导和规范全区统计行政执法工作，监督检查统计法律、法规贯彻实施情况，组织实施统计法律法规宣传教育,依法查处统计违法行为。组织实施统计执法监督检查和“双随机”抽查，依法查处统计违法案件，预防和查处统计造假、弄虚作假，受理、办理、督办统计违法举报。</w:t>
      </w:r>
    </w:p>
    <w:p>
      <w:pPr>
        <w:pStyle w:val="29"/>
      </w:pPr>
      <w:r>
        <w:t>（3）贯彻执行国家和省、市国民经济核算制度，组织实施全区国民经济核算制度和民营经济统计制度。统一核算全区地区生产总值及派生产业增加值；组织实施投入产出调查工作；整理、测算和提供国民经济核算资料；监督管理全区国民经济核算工作。</w:t>
      </w:r>
    </w:p>
    <w:p>
      <w:pPr>
        <w:pStyle w:val="29"/>
      </w:pPr>
      <w:r>
        <w:t>（4）拟订重大区情区力普查调查计划、方案，组织实施全区人口、经济、农业等重大普查调查，汇总、整理和提供有关区情区力方面的统计数据。</w:t>
      </w:r>
    </w:p>
    <w:p>
      <w:pPr>
        <w:pStyle w:val="29"/>
      </w:pPr>
      <w:r>
        <w:t>（5）组织实施全区农林牧渔业、工业、建筑业、批发和零售业、住宿和餐饮业、房地产、服务业及能源、投资、消费、人口和城镇化率、劳动工资、就业、社会、科技、文化产业、城市基本情况、乡村两级社会经济基本情况、资源环境、战略性新兴产业、高新技术产业、民营经济等统计调查，收集、汇总、整理和提供统计数据。</w:t>
      </w:r>
    </w:p>
    <w:p>
      <w:pPr>
        <w:pStyle w:val="29"/>
      </w:pPr>
      <w:r>
        <w:t>（6）综合整理和提供财政、金融、旅游、交通运输、邮政、地质勘查、教育、体育、卫生、社会保障、公用事业、对外经济、收入、价格等基本统计数据。</w:t>
      </w:r>
    </w:p>
    <w:p>
      <w:pPr>
        <w:pStyle w:val="29"/>
      </w:pPr>
      <w:r>
        <w:t>（7）组织全区和各部门的经济、社会、科技、服务业统计调查，统一核定、管理、公布全区性基本统计资料，定期发布全区国民经济和社会发展情况的统计信息，组织建立统计信息共享制度和发布制度。</w:t>
      </w:r>
    </w:p>
    <w:p>
      <w:pPr>
        <w:pStyle w:val="29"/>
      </w:pPr>
      <w:r>
        <w:t>（8）对国民经济、社会发展、科技进步和资源环境等情况进行统计分析、统计预测和统计监督，向区委、区政府及有关部门提供统计信息和咨询建议。</w:t>
      </w:r>
    </w:p>
    <w:p>
      <w:pPr>
        <w:pStyle w:val="29"/>
      </w:pPr>
      <w:r>
        <w:t>（9）依法审批管理部门和地方统计调查项目；指导专业统计基础工作、统计基层基础业务建设；组织建立统计信息管理制度，建立健全统计数据质量审核、监控和评估制度，开展对统计数据质量的检查和评估。</w:t>
      </w:r>
    </w:p>
    <w:p>
      <w:pPr>
        <w:pStyle w:val="29"/>
      </w:pPr>
      <w:r>
        <w:t>（10）建立并管理全区统计信息化系统和统计数据库系统，组织制定全区统计数据库和网络的基本标准和运行规则，指导全区统计信息化系统建设。</w:t>
      </w:r>
    </w:p>
    <w:p>
      <w:pPr>
        <w:pStyle w:val="29"/>
      </w:pPr>
      <w:r>
        <w:t>（11）指导社会统计监测、社情民意调查、资料管理等工作；组织实施统计工作方面的国际交流合作项目和有关统计资料的交换、交流工作；会同有关部门组织全区统计专业技术资格考试，组织专业技术职务聘任工作。</w:t>
      </w:r>
    </w:p>
    <w:p>
      <w:pPr>
        <w:pStyle w:val="29"/>
      </w:pPr>
      <w:r>
        <w:t>（12）组织实施工业、建筑业、小微企业、服务业等行业的抽样与问卷调查；并开展调查情况分析研究。</w:t>
      </w:r>
    </w:p>
    <w:p>
      <w:pPr>
        <w:pStyle w:val="29"/>
      </w:pPr>
      <w:r>
        <w:t>（13）完成区委、区政府和上级统计部门交办的其他任务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廊坊市广阳区统计局本级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pPr>
        <w:pStyle w:val="30"/>
      </w:pPr>
      <w:r>
        <w:t>1、收入说明</w:t>
      </w:r>
    </w:p>
    <w:p>
      <w:pPr>
        <w:pStyle w:val="30"/>
      </w:pPr>
      <w:r>
        <w:t>反映本单位当年全部收入。2023年预算收入803.43万元，其中：一般公共预算收入803.43万元，基金预算收入0万元，财政专户核拨收入0万元，其他来源收入0万元，上年结转0万元。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廊坊市广阳区统计局本级2023年度部门预算中支出预算的总体情况。2023年支出预算803.43万元，其中：基本支出748.43万元，包括人员经费675.67万元和日常公用经费72.76万元；项目支出55万元，全部为本级支出，主要为四上企业统计人员培训费、统计工作经费、住户调查经费等项目。</w:t>
      </w:r>
    </w:p>
    <w:p>
      <w:pPr>
        <w:pStyle w:val="30"/>
      </w:pPr>
      <w:r>
        <w:t>3、比上年增减情况</w:t>
      </w:r>
    </w:p>
    <w:p>
      <w:pPr>
        <w:pStyle w:val="30"/>
      </w:pPr>
      <w:r>
        <w:t>2023年预算收支安排803.43万元，较2022年预算增加146.9万元，其中：基本支出增加141.9万元，增加原因主要为人员经费支出增加；项目支出增加5万元，增加原因主要为增加住户调查经费项目。</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1"/>
      </w:pPr>
      <w:r>
        <w:t>2023年，我单位运行经费共计安排72.76万元，主要用于办公区的日常维修、办公费用、办公用房水电费、办公用房取暖费、邮电费、差旅费、办公用房物业管理费、公务用车运行维护费等日常运行支出。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2"/>
      </w:pPr>
      <w:r>
        <w:t>2023年，我单位财政拨款“三公”经费预算安排2.19万元。其中，因公出国（境）费0万元；公务用车购置及运维费2.19万元（其中：公务用车购置费为0万元，公务用车运维费2.19万元)；公务接待费0万元。与2022年相比持平，无增减变化。</w:t>
      </w:r>
    </w:p>
    <w:p>
      <w:pPr>
        <w:numPr>
          <w:ilvl w:val="0"/>
          <w:numId w:val="1"/>
        </w:numPr>
        <w:ind w:firstLine="640"/>
        <w:rPr>
          <w:rFonts w:ascii="黑体" w:hAnsi="黑体" w:eastAsia="黑体" w:cs="黑体"/>
          <w:color w:val="000000"/>
          <w:sz w:val="32"/>
        </w:rPr>
      </w:pPr>
      <w:r>
        <w:rPr>
          <w:rFonts w:ascii="黑体" w:hAnsi="黑体" w:eastAsia="黑体" w:cs="黑体"/>
          <w:color w:val="000000"/>
          <w:sz w:val="32"/>
        </w:rPr>
        <w:t>预算绩效信息</w:t>
      </w:r>
    </w:p>
    <w:p>
      <w:pPr>
        <w:ind w:left="640"/>
      </w:pP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hint="eastAsia" w:hAnsi="方正仿宋_GBK" w:eastAsia="方正仿宋_GBK" w:cs="方正仿宋_GBK"/>
          <w:sz w:val="28"/>
          <w:lang w:val="uk" w:eastAsia="zh-CN" w:bidi="ar"/>
        </w:rPr>
        <w:t>组织完成国家部署的国情国力普查及重要调查任务，研究提出重大区情区力普查和抽样调查计划并组织实施，汇总、整理和提供有关区情区力的统计数据；组织开展专项统计调查，了解基层情况和动态提供统计信息和咨询建议，确保统计数据真实、准确、完整、及时；保障全区统计信息自动化系统和统计数据库系统运行安全平稳，保证统计数据的顺利报送；保障机关日常运转，健全全区统计法制建设，指导全区统计队伍建设。</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sz w:val="28"/>
          <w:lang w:eastAsia="zh-CN" w:bidi="ar"/>
        </w:rPr>
        <w:t>1</w:t>
      </w:r>
      <w:r>
        <w:rPr>
          <w:rFonts w:hint="eastAsia" w:hAnsi="方正仿宋_GBK" w:eastAsia="方正仿宋_GBK" w:cs="方正仿宋_GBK"/>
          <w:sz w:val="28"/>
          <w:lang w:val="uk" w:eastAsia="zh-CN" w:bidi="ar"/>
        </w:rPr>
        <w:t>、在全区开展</w:t>
      </w:r>
      <w:r>
        <w:rPr>
          <w:rFonts w:eastAsia="方正仿宋_GBK"/>
          <w:sz w:val="28"/>
          <w:lang w:eastAsia="zh-CN" w:bidi="ar"/>
        </w:rPr>
        <w:t>GDP</w:t>
      </w:r>
      <w:r>
        <w:rPr>
          <w:rFonts w:hint="eastAsia" w:hAnsi="方正仿宋_GBK" w:eastAsia="方正仿宋_GBK" w:cs="方正仿宋_GBK"/>
          <w:sz w:val="28"/>
          <w:lang w:val="uk" w:eastAsia="zh-CN" w:bidi="ar"/>
        </w:rPr>
        <w:t>核算工作，完成全区年度数据的测算审核认定工作，对相关经济决策提供重要依据。</w:t>
      </w:r>
    </w:p>
    <w:p>
      <w:pPr>
        <w:pStyle w:val="6"/>
        <w:spacing w:line="500" w:lineRule="exact"/>
        <w:ind w:firstLine="560"/>
      </w:pPr>
      <w:r>
        <w:rPr>
          <w:rFonts w:hint="eastAsia" w:hAnsi="方正仿宋_GBK" w:eastAsia="方正仿宋_GBK" w:cs="方正仿宋_GBK"/>
          <w:sz w:val="28"/>
          <w:lang w:val="uk" w:eastAsia="zh-CN" w:bidi="ar"/>
        </w:rPr>
        <w:t>绩效目标：完成国民经济核算。</w:t>
      </w:r>
    </w:p>
    <w:p>
      <w:pPr>
        <w:pStyle w:val="6"/>
        <w:spacing w:line="500" w:lineRule="exact"/>
        <w:ind w:firstLine="560"/>
      </w:pPr>
      <w:r>
        <w:rPr>
          <w:rFonts w:hint="eastAsia" w:hAnsi="方正仿宋_GBK" w:eastAsia="方正仿宋_GBK" w:cs="方正仿宋_GBK"/>
          <w:sz w:val="28"/>
          <w:lang w:val="uk" w:eastAsia="zh-CN" w:bidi="ar"/>
        </w:rPr>
        <w:t>绩效指标：专项统计完成率；资金支出及时性；社会影响力；服务对象满意度。</w:t>
      </w:r>
    </w:p>
    <w:p>
      <w:pPr>
        <w:pStyle w:val="6"/>
        <w:spacing w:line="500" w:lineRule="exact"/>
        <w:ind w:firstLine="560"/>
      </w:pPr>
      <w:r>
        <w:rPr>
          <w:rFonts w:eastAsia="方正仿宋_GBK"/>
          <w:sz w:val="28"/>
          <w:lang w:eastAsia="zh-CN" w:bidi="ar"/>
        </w:rPr>
        <w:t>2</w:t>
      </w:r>
      <w:r>
        <w:rPr>
          <w:rFonts w:hint="eastAsia" w:hAnsi="方正仿宋_GBK" w:eastAsia="方正仿宋_GBK" w:cs="方正仿宋_GBK"/>
          <w:sz w:val="28"/>
          <w:lang w:val="uk" w:eastAsia="zh-CN" w:bidi="ar"/>
        </w:rPr>
        <w:t>、组织国情国力普查和工业、农业、能源、建筑业、服务业、贸易业等涉及相关行业的专项统计调查监测，收集、整理统计数据，提供咨询建议。</w:t>
      </w:r>
    </w:p>
    <w:p>
      <w:pPr>
        <w:pStyle w:val="6"/>
        <w:spacing w:line="500" w:lineRule="exact"/>
        <w:ind w:firstLine="560"/>
      </w:pPr>
      <w:r>
        <w:rPr>
          <w:rFonts w:hint="eastAsia" w:hAnsi="方正仿宋_GBK" w:eastAsia="方正仿宋_GBK" w:cs="方正仿宋_GBK"/>
          <w:sz w:val="28"/>
          <w:lang w:val="uk" w:eastAsia="zh-CN" w:bidi="ar"/>
        </w:rPr>
        <w:t>绩效目标：完成统计调查</w:t>
      </w:r>
    </w:p>
    <w:p>
      <w:pPr>
        <w:pStyle w:val="6"/>
        <w:spacing w:line="500" w:lineRule="exact"/>
        <w:ind w:firstLine="560"/>
      </w:pPr>
      <w:r>
        <w:rPr>
          <w:rFonts w:hint="eastAsia" w:hAnsi="方正仿宋_GBK" w:eastAsia="方正仿宋_GBK" w:cs="方正仿宋_GBK"/>
          <w:sz w:val="28"/>
          <w:lang w:val="uk" w:eastAsia="zh-CN" w:bidi="ar"/>
        </w:rPr>
        <w:t>绩效指标：专项统计完成率；资金支出及时性；社会影响力；服务对象满意度。</w:t>
      </w:r>
    </w:p>
    <w:p>
      <w:pPr>
        <w:pStyle w:val="6"/>
        <w:spacing w:line="500" w:lineRule="exact"/>
        <w:ind w:firstLine="560"/>
      </w:pPr>
      <w:r>
        <w:rPr>
          <w:rFonts w:eastAsia="方正仿宋_GBK"/>
          <w:sz w:val="28"/>
          <w:lang w:eastAsia="zh-CN" w:bidi="ar"/>
        </w:rPr>
        <w:t>3</w:t>
      </w:r>
      <w:r>
        <w:rPr>
          <w:rFonts w:hint="eastAsia" w:hAnsi="方正仿宋_GBK" w:eastAsia="方正仿宋_GBK" w:cs="方正仿宋_GBK"/>
          <w:sz w:val="28"/>
          <w:lang w:val="uk" w:eastAsia="zh-CN" w:bidi="ar"/>
        </w:rPr>
        <w:t>、保障机关日常运转，健全全区统计法制建设，指导全区统计队伍建设。</w:t>
      </w:r>
    </w:p>
    <w:p>
      <w:pPr>
        <w:pStyle w:val="6"/>
        <w:spacing w:line="500" w:lineRule="exact"/>
        <w:ind w:firstLine="560"/>
      </w:pPr>
      <w:r>
        <w:rPr>
          <w:rFonts w:hint="eastAsia" w:hAnsi="方正仿宋_GBK" w:eastAsia="方正仿宋_GBK" w:cs="方正仿宋_GBK"/>
          <w:sz w:val="28"/>
          <w:lang w:val="uk" w:eastAsia="zh-CN" w:bidi="ar"/>
        </w:rPr>
        <w:t>绩效目标：完成统计政务管理</w:t>
      </w:r>
    </w:p>
    <w:p>
      <w:pPr>
        <w:pStyle w:val="6"/>
        <w:spacing w:line="500" w:lineRule="exact"/>
        <w:ind w:firstLine="560"/>
      </w:pPr>
      <w:r>
        <w:rPr>
          <w:rFonts w:hint="eastAsia" w:hAnsi="方正仿宋_GBK" w:eastAsia="方正仿宋_GBK" w:cs="方正仿宋_GBK"/>
          <w:sz w:val="28"/>
          <w:lang w:val="uk" w:eastAsia="zh-CN" w:bidi="ar"/>
        </w:rPr>
        <w:t>绩效指标：业务培训次数；资金支出及时性；各项经费支出标准；保障办公需要，维持单位正常运转；服务对象满意度。</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sz w:val="28"/>
          <w:lang w:eastAsia="zh-CN" w:bidi="ar"/>
        </w:rPr>
        <w:t>1</w:t>
      </w:r>
      <w:r>
        <w:rPr>
          <w:rFonts w:hint="eastAsia" w:hAnsi="方正仿宋_GBK" w:eastAsia="方正仿宋_GBK" w:cs="方正仿宋_GBK"/>
          <w:sz w:val="28"/>
          <w:lang w:val="uk" w:eastAsia="zh-CN" w:bidi="ar"/>
        </w:rPr>
        <w:t>、规范内部管理制度。通过建立健全本单位《财务管理制度》、《内部控制制度》等，强化单位内部岗位责任制，进一步加强会计机构建设，严格履行决策程序。</w:t>
      </w:r>
    </w:p>
    <w:p>
      <w:pPr>
        <w:pStyle w:val="6"/>
        <w:spacing w:line="500" w:lineRule="exact"/>
        <w:ind w:firstLine="560"/>
      </w:pPr>
      <w:r>
        <w:rPr>
          <w:rFonts w:eastAsia="方正仿宋_GBK"/>
          <w:sz w:val="28"/>
          <w:lang w:eastAsia="zh-CN" w:bidi="ar"/>
        </w:rPr>
        <w:t>2</w:t>
      </w:r>
      <w:r>
        <w:rPr>
          <w:rFonts w:hint="eastAsia" w:hAnsi="方正仿宋_GBK" w:eastAsia="方正仿宋_GBK" w:cs="方正仿宋_GBK"/>
          <w:sz w:val="28"/>
          <w:lang w:val="uk" w:eastAsia="zh-CN" w:bidi="ar"/>
        </w:rPr>
        <w:t>、严格资金支出管理。加强对专项资金收入和支出的管理，严格按预算规定用途合理使用资金，确保资金专款专用。严格执行非税收入，政府采购等各项管理规定。厉行节俭，严格执行各项费用开支范围和标准，保证</w:t>
      </w:r>
      <w:r>
        <w:rPr>
          <w:rFonts w:eastAsia="方正仿宋_GBK"/>
          <w:sz w:val="28"/>
          <w:lang w:eastAsia="zh-CN" w:bidi="ar"/>
        </w:rPr>
        <w:t>“</w:t>
      </w:r>
      <w:r>
        <w:rPr>
          <w:rFonts w:hint="eastAsia" w:hAnsi="方正仿宋_GBK" w:eastAsia="方正仿宋_GBK" w:cs="方正仿宋_GBK"/>
          <w:sz w:val="28"/>
          <w:lang w:val="uk" w:eastAsia="zh-CN" w:bidi="ar"/>
        </w:rPr>
        <w:t>三公</w:t>
      </w:r>
      <w:r>
        <w:rPr>
          <w:rFonts w:eastAsia="方正仿宋_GBK"/>
          <w:sz w:val="28"/>
          <w:lang w:eastAsia="zh-CN" w:bidi="ar"/>
        </w:rPr>
        <w:t>”</w:t>
      </w:r>
      <w:r>
        <w:rPr>
          <w:rFonts w:hint="eastAsia" w:hAnsi="方正仿宋_GBK" w:eastAsia="方正仿宋_GBK" w:cs="方正仿宋_GBK"/>
          <w:sz w:val="28"/>
          <w:lang w:val="uk" w:eastAsia="zh-CN" w:bidi="ar"/>
        </w:rPr>
        <w:t>经费支出的合法性、合规性。</w:t>
      </w:r>
    </w:p>
    <w:p>
      <w:pPr>
        <w:pStyle w:val="6"/>
        <w:spacing w:line="500" w:lineRule="exact"/>
        <w:ind w:firstLine="560"/>
      </w:pPr>
      <w:r>
        <w:rPr>
          <w:rFonts w:eastAsia="方正仿宋_GBK"/>
          <w:sz w:val="28"/>
          <w:lang w:eastAsia="zh-CN" w:bidi="ar"/>
        </w:rPr>
        <w:t>3</w:t>
      </w:r>
      <w:r>
        <w:rPr>
          <w:rFonts w:hint="eastAsia" w:hAnsi="方正仿宋_GBK" w:eastAsia="方正仿宋_GBK" w:cs="方正仿宋_GBK"/>
          <w:sz w:val="28"/>
          <w:lang w:val="uk" w:eastAsia="zh-CN" w:bidi="ar"/>
        </w:rPr>
        <w:t>、加强财务知识学习。组织单位主要负责人、分管财务领导及财务人员认真学习财政部《中华人民共和国预算法》、《会计法》、《行政单位会计制度》、《行政单位财务规则》等相关法规、制度，进一步提高相关人员业务水平，增强财经法律观念。</w:t>
      </w:r>
    </w:p>
    <w:p>
      <w:pPr>
        <w:pStyle w:val="6"/>
        <w:spacing w:line="500" w:lineRule="exact"/>
        <w:ind w:firstLine="560"/>
      </w:pPr>
      <w:r>
        <w:rPr>
          <w:rFonts w:eastAsia="方正仿宋_GBK"/>
          <w:sz w:val="28"/>
          <w:lang w:eastAsia="zh-CN" w:bidi="ar"/>
        </w:rPr>
        <w:t>4</w:t>
      </w:r>
      <w:r>
        <w:rPr>
          <w:rFonts w:hint="eastAsia" w:hAnsi="方正仿宋_GBK" w:eastAsia="方正仿宋_GBK" w:cs="方正仿宋_GBK"/>
          <w:sz w:val="28"/>
          <w:lang w:val="uk" w:eastAsia="zh-CN" w:bidi="ar"/>
        </w:rPr>
        <w:t>、进一步完善内部管理制度，建立监督管理机制，加强内部监督，规范财务管理，在财务管理中要严格执行财经纪律，公正、客观、依规办事。</w:t>
      </w:r>
    </w:p>
    <w:p>
      <w:pPr>
        <w:pStyle w:val="6"/>
        <w:spacing w:line="500" w:lineRule="exact"/>
        <w:ind w:firstLine="560"/>
      </w:pPr>
      <w:r>
        <w:rPr>
          <w:rFonts w:eastAsia="方正仿宋_GBK"/>
          <w:sz w:val="28"/>
          <w:lang w:eastAsia="zh-CN" w:bidi="ar"/>
        </w:rPr>
        <w:t>5</w:t>
      </w:r>
      <w:r>
        <w:rPr>
          <w:rFonts w:hint="eastAsia" w:hAnsi="方正仿宋_GBK" w:eastAsia="方正仿宋_GBK" w:cs="方正仿宋_GBK"/>
          <w:sz w:val="28"/>
          <w:lang w:val="uk" w:eastAsia="zh-CN" w:bidi="ar"/>
        </w:rPr>
        <w:t>、强化绩效理念，深入推进评价工作。对各项管理制度进行认真梳理，逐条查找制度漏洞，构建风险防范制度，进一步强化绩效管理理念，将</w:t>
      </w:r>
      <w:r>
        <w:rPr>
          <w:rFonts w:eastAsia="方正仿宋_GBK"/>
          <w:sz w:val="28"/>
          <w:lang w:eastAsia="zh-CN" w:bidi="ar"/>
        </w:rPr>
        <w:t>“</w:t>
      </w:r>
      <w:r>
        <w:rPr>
          <w:rFonts w:hint="eastAsia" w:hAnsi="方正仿宋_GBK" w:eastAsia="方正仿宋_GBK" w:cs="方正仿宋_GBK"/>
          <w:sz w:val="28"/>
          <w:lang w:val="uk" w:eastAsia="zh-CN" w:bidi="ar"/>
        </w:rPr>
        <w:t>要我评价</w:t>
      </w:r>
      <w:r>
        <w:rPr>
          <w:rFonts w:eastAsia="方正仿宋_GBK"/>
          <w:sz w:val="28"/>
          <w:lang w:eastAsia="zh-CN" w:bidi="ar"/>
        </w:rPr>
        <w:t>”</w:t>
      </w:r>
      <w:r>
        <w:rPr>
          <w:rFonts w:hint="eastAsia" w:hAnsi="方正仿宋_GBK" w:eastAsia="方正仿宋_GBK" w:cs="方正仿宋_GBK"/>
          <w:sz w:val="28"/>
          <w:lang w:val="uk" w:eastAsia="zh-CN" w:bidi="ar"/>
        </w:rPr>
        <w:t>的被动认识转化为</w:t>
      </w:r>
      <w:r>
        <w:rPr>
          <w:rFonts w:eastAsia="方正仿宋_GBK"/>
          <w:sz w:val="28"/>
          <w:lang w:eastAsia="zh-CN" w:bidi="ar"/>
        </w:rPr>
        <w:t>“</w:t>
      </w:r>
      <w:r>
        <w:rPr>
          <w:rFonts w:hint="eastAsia" w:hAnsi="方正仿宋_GBK" w:eastAsia="方正仿宋_GBK" w:cs="方正仿宋_GBK"/>
          <w:sz w:val="28"/>
          <w:lang w:val="uk" w:eastAsia="zh-CN" w:bidi="ar"/>
        </w:rPr>
        <w:t>我要评价</w:t>
      </w:r>
      <w:r>
        <w:rPr>
          <w:rFonts w:eastAsia="方正仿宋_GBK"/>
          <w:sz w:val="28"/>
          <w:lang w:eastAsia="zh-CN" w:bidi="ar"/>
        </w:rPr>
        <w:t>”</w:t>
      </w:r>
      <w:r>
        <w:rPr>
          <w:rFonts w:hint="eastAsia" w:hAnsi="方正仿宋_GBK" w:eastAsia="方正仿宋_GBK" w:cs="方正仿宋_GBK"/>
          <w:sz w:val="28"/>
          <w:lang w:val="uk" w:eastAsia="zh-CN" w:bidi="ar"/>
        </w:rPr>
        <w:t>的主动实践，健全完善制度办法，深入推进评价工作，提升整体绩效管理水平。</w:t>
      </w:r>
    </w:p>
    <w:p>
      <w:pPr>
        <w:pStyle w:val="6"/>
        <w:spacing w:line="500" w:lineRule="exact"/>
        <w:ind w:firstLine="560"/>
      </w:pPr>
      <w:r>
        <w:rPr>
          <w:rFonts w:eastAsia="方正仿宋_GBK"/>
          <w:sz w:val="28"/>
          <w:lang w:eastAsia="zh-CN" w:bidi="ar"/>
        </w:rPr>
        <w:t>6</w:t>
      </w:r>
      <w:r>
        <w:rPr>
          <w:rFonts w:hint="eastAsia" w:hAnsi="方正仿宋_GBK" w:eastAsia="方正仿宋_GBK" w:cs="方正仿宋_GBK"/>
          <w:sz w:val="28"/>
          <w:lang w:val="uk" w:eastAsia="zh-CN" w:bidi="ar"/>
        </w:rPr>
        <w:t>、强化事前准备，提升评价质量。在推进自身评价工作开展时，结合评价工作实际，完善项目支出评价一级指标体系，规范评价标准，立足管理需求，预设评价重点，确保绩效评价结果公正、客观、精准，真实反映绩效，如实反映问题，切实提高评价质量。</w:t>
      </w: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lang w:eastAsia="uk" w:bidi="ar"/>
        </w:rPr>
        <w:sectPr>
          <w:pgSz w:w="16840" w:h="11900" w:orient="landscape"/>
          <w:pgMar w:top="1361" w:right="1020" w:bottom="1361" w:left="1020" w:header="720" w:footer="720" w:gutter="0"/>
          <w:cols w:space="720" w:num="1"/>
        </w:sectPr>
      </w:pPr>
    </w:p>
    <w:tbl>
      <w:tblPr>
        <w:tblStyle w:val="7"/>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08"/>
        <w:gridCol w:w="708"/>
        <w:gridCol w:w="1042"/>
        <w:gridCol w:w="4203"/>
        <w:gridCol w:w="3260"/>
        <w:gridCol w:w="1135"/>
        <w:gridCol w:w="993"/>
        <w:gridCol w:w="1276"/>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708"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1042"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4203"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3260"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3404" w:type="dxa"/>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1207"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708"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042"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4203"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3260"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1207"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单位产出</w:t>
            </w:r>
          </w:p>
        </w:tc>
        <w:tc>
          <w:tcPr>
            <w:tcW w:w="70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10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宋体" w:eastAsia="宋体" w:cs="宋体"/>
                <w:color w:val="000000"/>
                <w:sz w:val="21"/>
                <w:szCs w:val="21"/>
              </w:rPr>
            </w:pPr>
            <w:r>
              <w:rPr>
                <w:rFonts w:hint="eastAsia" w:ascii="宋体" w:hAnsi="宋体" w:eastAsia="宋体" w:cs="宋体"/>
                <w:color w:val="000000"/>
                <w:sz w:val="21"/>
                <w:szCs w:val="21"/>
                <w:lang w:val="uk" w:eastAsia="zh-CN" w:bidi="ar"/>
              </w:rPr>
              <w:t>编印统计资料</w:t>
            </w:r>
          </w:p>
        </w:tc>
        <w:tc>
          <w:tcPr>
            <w:tcW w:w="42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1"/>
                <w:szCs w:val="21"/>
              </w:rPr>
            </w:pPr>
            <w:r>
              <w:rPr>
                <w:rStyle w:val="33"/>
                <w:rFonts w:hint="default"/>
                <w:lang w:val="uk" w:eastAsia="zh-CN" w:bidi="ar"/>
              </w:rPr>
              <w:t>实际值与目标值一致得权重分值</w:t>
            </w:r>
            <w:r>
              <w:rPr>
                <w:rStyle w:val="34"/>
                <w:lang w:eastAsia="zh-CN" w:bidi="ar"/>
              </w:rPr>
              <w:t>100%</w:t>
            </w:r>
            <w:r>
              <w:rPr>
                <w:rStyle w:val="33"/>
                <w:rFonts w:hint="default"/>
                <w:lang w:val="uk" w:eastAsia="zh-CN" w:bidi="ar"/>
              </w:rPr>
              <w:t>，每减少</w:t>
            </w:r>
            <w:r>
              <w:rPr>
                <w:rStyle w:val="34"/>
                <w:lang w:eastAsia="zh-CN" w:bidi="ar"/>
              </w:rPr>
              <w:t>1</w:t>
            </w:r>
            <w:r>
              <w:rPr>
                <w:rStyle w:val="33"/>
                <w:rFonts w:hint="default"/>
                <w:lang w:val="uk" w:eastAsia="zh-CN" w:bidi="ar"/>
              </w:rPr>
              <w:t>类扣权重分值的</w:t>
            </w:r>
            <w:r>
              <w:rPr>
                <w:rStyle w:val="34"/>
                <w:lang w:eastAsia="zh-CN" w:bidi="ar"/>
              </w:rPr>
              <w:t>50%</w:t>
            </w:r>
            <w:r>
              <w:rPr>
                <w:rStyle w:val="33"/>
                <w:rFonts w:hint="default"/>
                <w:lang w:val="uk" w:eastAsia="zh-CN" w:bidi="ar"/>
              </w:rPr>
              <w:t>。</w:t>
            </w:r>
          </w:p>
        </w:tc>
        <w:tc>
          <w:tcPr>
            <w:tcW w:w="3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1"/>
                <w:szCs w:val="21"/>
              </w:rPr>
            </w:pPr>
            <w:r>
              <w:rPr>
                <w:rFonts w:hint="eastAsia" w:ascii="宋体" w:hAnsi="宋体" w:eastAsia="宋体" w:cs="宋体"/>
                <w:color w:val="000000"/>
                <w:sz w:val="21"/>
                <w:szCs w:val="21"/>
                <w:lang w:val="uk" w:eastAsia="zh-CN" w:bidi="ar"/>
              </w:rPr>
              <w:t>编印统计资料的种类</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Calibri" w:hAnsi="Calibri" w:cs="Calibri"/>
                <w:color w:val="000000"/>
                <w:sz w:val="21"/>
                <w:szCs w:val="21"/>
              </w:rPr>
            </w:pPr>
            <w:r>
              <w:rPr>
                <w:rFonts w:ascii="Calibri" w:hAnsi="Calibri" w:cs="Calibri"/>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Calibri" w:hAnsi="Calibri" w:cs="Calibri"/>
                <w:color w:val="000000"/>
                <w:sz w:val="21"/>
                <w:szCs w:val="21"/>
              </w:rPr>
            </w:pPr>
            <w:r>
              <w:rPr>
                <w:rFonts w:ascii="Calibri" w:hAnsi="Calibri" w:cs="Calibri"/>
                <w:color w:val="000000"/>
                <w:sz w:val="21"/>
                <w:szCs w:val="21"/>
                <w:lang w:eastAsia="zh-CN" w:bidi="ar"/>
              </w:rPr>
              <w:t>2</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cs="宋体"/>
                <w:color w:val="000000"/>
                <w:sz w:val="21"/>
                <w:szCs w:val="21"/>
              </w:rPr>
            </w:pPr>
            <w:r>
              <w:rPr>
                <w:rFonts w:hint="eastAsia" w:ascii="宋体" w:hAnsi="宋体" w:eastAsia="宋体" w:cs="宋体"/>
                <w:color w:val="000000"/>
                <w:sz w:val="21"/>
                <w:szCs w:val="21"/>
                <w:lang w:val="uk" w:eastAsia="zh-CN" w:bidi="ar"/>
              </w:rPr>
              <w:t>类</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年度工作计划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70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10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宋体" w:hAnsi="宋体" w:eastAsia="宋体" w:cs="宋体"/>
                <w:color w:val="000000"/>
                <w:sz w:val="21"/>
                <w:szCs w:val="21"/>
                <w:lang w:val="uk" w:eastAsia="zh-CN" w:bidi="ar"/>
              </w:rPr>
              <w:t>培训次数</w:t>
            </w:r>
          </w:p>
        </w:tc>
        <w:tc>
          <w:tcPr>
            <w:tcW w:w="42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sz w:val="20"/>
                <w:szCs w:val="20"/>
              </w:rPr>
            </w:pPr>
            <w:r>
              <w:rPr>
                <w:rStyle w:val="33"/>
                <w:rFonts w:hint="default"/>
                <w:lang w:val="uk" w:eastAsia="zh-CN" w:bidi="ar"/>
              </w:rPr>
              <w:t>达到目标值得满分，达不到目标值不得分</w:t>
            </w:r>
          </w:p>
        </w:tc>
        <w:tc>
          <w:tcPr>
            <w:tcW w:w="3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专业统计培训的培训次数</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Calibri" w:hAnsi="Calibri" w:cs="Calibri"/>
                <w:color w:val="000000"/>
                <w:sz w:val="21"/>
                <w:szCs w:val="21"/>
              </w:rPr>
            </w:pPr>
            <w:r>
              <w:rPr>
                <w:rFonts w:ascii="Calibri" w:hAnsi="Calibri" w:cs="Calibri"/>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Calibri" w:hAnsi="Calibri" w:cs="Calibri"/>
                <w:color w:val="000000"/>
                <w:sz w:val="21"/>
                <w:szCs w:val="21"/>
              </w:rPr>
            </w:pPr>
            <w:r>
              <w:rPr>
                <w:rFonts w:ascii="Calibri" w:hAnsi="Calibri" w:cs="Calibri"/>
                <w:color w:val="000000"/>
                <w:sz w:val="21"/>
                <w:szCs w:val="21"/>
                <w:lang w:eastAsia="zh-CN" w:bidi="ar"/>
              </w:rPr>
              <w:t>1</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cs="宋体"/>
                <w:color w:val="000000"/>
                <w:sz w:val="21"/>
                <w:szCs w:val="21"/>
              </w:rPr>
            </w:pPr>
            <w:r>
              <w:rPr>
                <w:rFonts w:hint="eastAsia" w:ascii="宋体" w:hAnsi="宋体" w:eastAsia="宋体" w:cs="宋体"/>
                <w:color w:val="000000"/>
                <w:sz w:val="21"/>
                <w:szCs w:val="21"/>
                <w:lang w:val="uk" w:eastAsia="zh-CN" w:bidi="ar"/>
              </w:rPr>
              <w:t>次</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年度工作计划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70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质量</w:t>
            </w:r>
          </w:p>
        </w:tc>
        <w:tc>
          <w:tcPr>
            <w:tcW w:w="10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宋体" w:eastAsia="宋体" w:cs="宋体"/>
                <w:color w:val="000000"/>
                <w:sz w:val="21"/>
                <w:szCs w:val="21"/>
              </w:rPr>
            </w:pPr>
            <w:r>
              <w:rPr>
                <w:rFonts w:hint="eastAsia" w:ascii="宋体" w:hAnsi="宋体" w:eastAsia="宋体" w:cs="宋体"/>
                <w:color w:val="000000"/>
                <w:sz w:val="21"/>
                <w:szCs w:val="21"/>
                <w:lang w:val="uk" w:eastAsia="zh-CN" w:bidi="ar"/>
              </w:rPr>
              <w:t>专项统计完成率</w:t>
            </w:r>
          </w:p>
        </w:tc>
        <w:tc>
          <w:tcPr>
            <w:tcW w:w="42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1"/>
                <w:szCs w:val="21"/>
              </w:rPr>
            </w:pPr>
            <w:r>
              <w:rPr>
                <w:rStyle w:val="33"/>
                <w:rFonts w:hint="default"/>
                <w:lang w:val="uk" w:eastAsia="zh-CN" w:bidi="ar"/>
              </w:rPr>
              <w:t>大于或等于</w:t>
            </w:r>
            <w:r>
              <w:rPr>
                <w:rStyle w:val="34"/>
                <w:lang w:eastAsia="zh-CN" w:bidi="ar"/>
              </w:rPr>
              <w:t>90%</w:t>
            </w:r>
            <w:r>
              <w:rPr>
                <w:rStyle w:val="33"/>
                <w:rFonts w:hint="default"/>
                <w:lang w:val="uk" w:eastAsia="zh-CN" w:bidi="ar"/>
              </w:rPr>
              <w:t>得满分，大于或等于</w:t>
            </w:r>
            <w:r>
              <w:rPr>
                <w:rStyle w:val="34"/>
                <w:lang w:eastAsia="zh-CN" w:bidi="ar"/>
              </w:rPr>
              <w:t>85%</w:t>
            </w:r>
            <w:r>
              <w:rPr>
                <w:rStyle w:val="33"/>
                <w:rFonts w:hint="default"/>
                <w:lang w:val="uk" w:eastAsia="zh-CN" w:bidi="ar"/>
              </w:rPr>
              <w:t>得权重的</w:t>
            </w:r>
            <w:r>
              <w:rPr>
                <w:rStyle w:val="34"/>
                <w:lang w:eastAsia="zh-CN" w:bidi="ar"/>
              </w:rPr>
              <w:t>50%</w:t>
            </w:r>
            <w:r>
              <w:rPr>
                <w:rStyle w:val="33"/>
                <w:rFonts w:hint="default"/>
                <w:lang w:val="uk" w:eastAsia="zh-CN" w:bidi="ar"/>
              </w:rPr>
              <w:t>，小于</w:t>
            </w:r>
            <w:r>
              <w:rPr>
                <w:rStyle w:val="34"/>
                <w:lang w:eastAsia="zh-CN" w:bidi="ar"/>
              </w:rPr>
              <w:t>85%</w:t>
            </w:r>
            <w:r>
              <w:rPr>
                <w:rStyle w:val="33"/>
                <w:rFonts w:hint="default"/>
                <w:lang w:val="uk" w:eastAsia="zh-CN" w:bidi="ar"/>
              </w:rPr>
              <w:t>不得分。</w:t>
            </w:r>
          </w:p>
        </w:tc>
        <w:tc>
          <w:tcPr>
            <w:tcW w:w="3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1"/>
                <w:szCs w:val="21"/>
              </w:rPr>
            </w:pPr>
            <w:r>
              <w:rPr>
                <w:rFonts w:hint="eastAsia" w:ascii="宋体" w:hAnsi="宋体" w:eastAsia="宋体" w:cs="宋体"/>
                <w:color w:val="000000"/>
                <w:sz w:val="21"/>
                <w:szCs w:val="21"/>
                <w:lang w:val="uk" w:eastAsia="zh-CN" w:bidi="ar"/>
              </w:rPr>
              <w:t>各类专项统计调查任务（包括各项调查报表的月报、季报、年报）完成程度占所有调查任务的比重</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Calibri" w:hAnsi="Calibri" w:cs="Calibri"/>
                <w:color w:val="000000"/>
                <w:sz w:val="21"/>
                <w:szCs w:val="21"/>
              </w:rPr>
            </w:pPr>
            <w:r>
              <w:rPr>
                <w:rFonts w:ascii="Calibri" w:hAnsi="Calibri" w:cs="Calibri"/>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Calibri" w:hAnsi="Calibri" w:cs="Calibri"/>
                <w:color w:val="000000"/>
                <w:sz w:val="21"/>
                <w:szCs w:val="21"/>
              </w:rPr>
            </w:pPr>
            <w:r>
              <w:rPr>
                <w:rFonts w:ascii="Calibri" w:hAnsi="Calibri" w:cs="Calibri"/>
                <w:color w:val="000000"/>
                <w:sz w:val="21"/>
                <w:szCs w:val="21"/>
                <w:lang w:eastAsia="zh-CN" w:bidi="ar"/>
              </w:rPr>
              <w:t>90</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Calibri" w:hAnsi="Calibri" w:cs="Calibri"/>
                <w:color w:val="000000"/>
                <w:sz w:val="21"/>
                <w:szCs w:val="21"/>
              </w:rPr>
            </w:pPr>
            <w:r>
              <w:rPr>
                <w:rFonts w:ascii="Calibri" w:hAnsi="Calibri" w:cs="Calibri"/>
                <w:color w:val="000000"/>
                <w:sz w:val="21"/>
                <w:szCs w:val="21"/>
                <w:lang w:eastAsia="zh-CN" w:bidi="ar"/>
              </w:rPr>
              <w:t>%</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cs="宋体"/>
                <w:color w:val="000000"/>
                <w:sz w:val="21"/>
                <w:szCs w:val="21"/>
              </w:rPr>
            </w:pPr>
            <w:r>
              <w:rPr>
                <w:rFonts w:hint="eastAsia" w:ascii="宋体" w:hAnsi="宋体" w:eastAsia="宋体" w:cs="宋体"/>
                <w:color w:val="000000"/>
                <w:sz w:val="21"/>
                <w:szCs w:val="21"/>
                <w:lang w:val="uk" w:eastAsia="zh-CN" w:bidi="ar"/>
              </w:rPr>
              <w:t>年度工作计划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70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质量</w:t>
            </w:r>
          </w:p>
        </w:tc>
        <w:tc>
          <w:tcPr>
            <w:tcW w:w="10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印刷品验收合格率</w:t>
            </w:r>
          </w:p>
        </w:tc>
        <w:tc>
          <w:tcPr>
            <w:tcW w:w="42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大于或等于</w:t>
            </w:r>
            <w:r>
              <w:rPr>
                <w:color w:val="000000"/>
                <w:lang w:eastAsia="zh-CN" w:bidi="ar"/>
              </w:rPr>
              <w:t>90%</w:t>
            </w:r>
            <w:r>
              <w:rPr>
                <w:rFonts w:hint="eastAsia" w:ascii="宋体" w:hAnsi="宋体" w:eastAsia="宋体" w:cs="宋体"/>
                <w:color w:val="000000"/>
                <w:lang w:val="uk" w:eastAsia="zh-CN" w:bidi="ar"/>
              </w:rPr>
              <w:t>得满分，大于或等于</w:t>
            </w:r>
            <w:r>
              <w:rPr>
                <w:color w:val="000000"/>
                <w:lang w:eastAsia="zh-CN" w:bidi="ar"/>
              </w:rPr>
              <w:t>85%</w:t>
            </w:r>
            <w:r>
              <w:rPr>
                <w:rFonts w:hint="eastAsia" w:ascii="宋体" w:hAnsi="宋体" w:eastAsia="宋体" w:cs="宋体"/>
                <w:color w:val="000000"/>
                <w:lang w:val="uk" w:eastAsia="zh-CN" w:bidi="ar"/>
              </w:rPr>
              <w:t>得权重的</w:t>
            </w:r>
            <w:r>
              <w:rPr>
                <w:color w:val="000000"/>
                <w:lang w:eastAsia="zh-CN" w:bidi="ar"/>
              </w:rPr>
              <w:t>50%</w:t>
            </w:r>
            <w:r>
              <w:rPr>
                <w:rFonts w:hint="eastAsia" w:ascii="宋体" w:hAnsi="宋体" w:eastAsia="宋体" w:cs="宋体"/>
                <w:color w:val="000000"/>
                <w:lang w:val="uk" w:eastAsia="zh-CN" w:bidi="ar"/>
              </w:rPr>
              <w:t>，小于</w:t>
            </w:r>
            <w:r>
              <w:rPr>
                <w:color w:val="000000"/>
                <w:lang w:eastAsia="zh-CN" w:bidi="ar"/>
              </w:rPr>
              <w:t>85%</w:t>
            </w:r>
            <w:r>
              <w:rPr>
                <w:rFonts w:hint="eastAsia" w:ascii="宋体" w:hAnsi="宋体" w:eastAsia="宋体" w:cs="宋体"/>
                <w:color w:val="000000"/>
                <w:lang w:val="uk" w:eastAsia="zh-CN" w:bidi="ar"/>
              </w:rPr>
              <w:t>不得分。</w:t>
            </w:r>
          </w:p>
        </w:tc>
        <w:tc>
          <w:tcPr>
            <w:tcW w:w="3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印刷品验收合格率</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color w:val="000000"/>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color w:val="000000"/>
                <w:lang w:eastAsia="zh-CN" w:bidi="ar"/>
              </w:rPr>
              <w:t>90</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color w:val="000000"/>
                <w:lang w:eastAsia="zh-CN" w:bidi="ar"/>
              </w:rPr>
              <w:t>%</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历史经验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70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时效</w:t>
            </w:r>
          </w:p>
        </w:tc>
        <w:tc>
          <w:tcPr>
            <w:tcW w:w="10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rPr>
            </w:pPr>
            <w:r>
              <w:rPr>
                <w:rFonts w:hint="eastAsia" w:ascii="宋体" w:hAnsi="宋体" w:eastAsia="宋体" w:cs="宋体"/>
                <w:color w:val="000000"/>
                <w:lang w:val="uk" w:eastAsia="zh-CN" w:bidi="ar"/>
              </w:rPr>
              <w:t>调查工作按时完成</w:t>
            </w:r>
          </w:p>
        </w:tc>
        <w:tc>
          <w:tcPr>
            <w:tcW w:w="42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rPr>
            </w:pPr>
            <w:r>
              <w:rPr>
                <w:rFonts w:hint="eastAsia" w:ascii="宋体" w:hAnsi="宋体" w:eastAsia="宋体" w:cs="宋体"/>
                <w:color w:val="000000"/>
                <w:lang w:val="uk" w:eastAsia="zh-CN" w:bidi="ar"/>
              </w:rPr>
              <w:t>达到目标值得满分，达不到目标值不得分</w:t>
            </w:r>
          </w:p>
        </w:tc>
        <w:tc>
          <w:tcPr>
            <w:tcW w:w="3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rPr>
            </w:pPr>
            <w:r>
              <w:rPr>
                <w:rFonts w:hint="eastAsia" w:ascii="宋体" w:hAnsi="宋体" w:eastAsia="宋体" w:cs="宋体"/>
                <w:color w:val="000000"/>
                <w:lang w:val="uk" w:eastAsia="zh-CN" w:bidi="ar"/>
              </w:rPr>
              <w:t>统计调查在规定时间内完成情况</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rPr>
            </w:pPr>
            <w:r>
              <w:rPr>
                <w:rFonts w:hint="eastAsia" w:ascii="宋体" w:hAnsi="宋体" w:eastAsia="宋体" w:cs="宋体"/>
                <w:color w:val="000000"/>
                <w:lang w:val="uk" w:eastAsia="zh-CN" w:bidi="ar"/>
              </w:rPr>
              <w:t>文字描述</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sz w:val="20"/>
                <w:szCs w:val="20"/>
              </w:rPr>
            </w:pP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eastAsia="宋体"/>
                <w:color w:val="000000"/>
              </w:rPr>
            </w:pPr>
            <w:r>
              <w:rPr>
                <w:rFonts w:hint="eastAsia" w:ascii="宋体" w:hAnsi="宋体" w:eastAsia="宋体" w:cs="宋体"/>
                <w:color w:val="000000"/>
                <w:lang w:val="uk" w:eastAsia="zh-CN" w:bidi="ar"/>
              </w:rPr>
              <w:t>完成</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调查制度</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70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时效</w:t>
            </w:r>
          </w:p>
        </w:tc>
        <w:tc>
          <w:tcPr>
            <w:tcW w:w="10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rPr>
            </w:pPr>
            <w:r>
              <w:rPr>
                <w:rFonts w:hint="eastAsia" w:ascii="宋体" w:hAnsi="宋体" w:eastAsia="宋体" w:cs="宋体"/>
                <w:color w:val="000000"/>
                <w:lang w:val="uk" w:eastAsia="zh-CN" w:bidi="ar"/>
              </w:rPr>
              <w:t>预算资金及时支出</w:t>
            </w:r>
          </w:p>
        </w:tc>
        <w:tc>
          <w:tcPr>
            <w:tcW w:w="42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rPr>
            </w:pPr>
            <w:r>
              <w:rPr>
                <w:rFonts w:hint="eastAsia" w:ascii="宋体" w:hAnsi="宋体" w:eastAsia="宋体" w:cs="宋体"/>
                <w:color w:val="000000"/>
                <w:lang w:val="uk" w:eastAsia="zh-CN" w:bidi="ar"/>
              </w:rPr>
              <w:t>达到目标值得满分，达不到目标值不得分</w:t>
            </w:r>
          </w:p>
        </w:tc>
        <w:tc>
          <w:tcPr>
            <w:tcW w:w="3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rPr>
            </w:pPr>
            <w:r>
              <w:rPr>
                <w:rFonts w:hint="eastAsia" w:ascii="宋体" w:hAnsi="宋体" w:eastAsia="宋体" w:cs="宋体"/>
                <w:color w:val="000000"/>
                <w:lang w:val="uk" w:eastAsia="zh-CN" w:bidi="ar"/>
              </w:rPr>
              <w:t>预算资金是否能够及时支出</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rPr>
            </w:pPr>
            <w:r>
              <w:rPr>
                <w:rFonts w:hint="eastAsia" w:ascii="宋体" w:hAnsi="宋体" w:eastAsia="宋体" w:cs="宋体"/>
                <w:color w:val="000000"/>
                <w:lang w:val="uk" w:eastAsia="zh-CN" w:bidi="ar"/>
              </w:rPr>
              <w:t>文字描述</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sz w:val="20"/>
                <w:szCs w:val="20"/>
              </w:rPr>
            </w:pP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eastAsia="宋体"/>
                <w:color w:val="000000"/>
              </w:rPr>
            </w:pPr>
            <w:r>
              <w:rPr>
                <w:rFonts w:hint="eastAsia" w:ascii="宋体" w:hAnsi="宋体" w:eastAsia="宋体" w:cs="宋体"/>
                <w:color w:val="000000"/>
                <w:lang w:val="uk" w:eastAsia="zh-CN" w:bidi="ar"/>
              </w:rPr>
              <w:t>及时</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预算要求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70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成本</w:t>
            </w:r>
          </w:p>
        </w:tc>
        <w:tc>
          <w:tcPr>
            <w:tcW w:w="10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eastAsia="宋体"/>
                <w:color w:val="000000"/>
              </w:rPr>
            </w:pPr>
            <w:r>
              <w:rPr>
                <w:rFonts w:hint="eastAsia" w:ascii="宋体" w:hAnsi="宋体" w:eastAsia="宋体" w:cs="宋体"/>
                <w:color w:val="000000"/>
                <w:lang w:val="uk" w:eastAsia="zh-CN" w:bidi="ar"/>
              </w:rPr>
              <w:t>公用经费控制率</w:t>
            </w:r>
          </w:p>
        </w:tc>
        <w:tc>
          <w:tcPr>
            <w:tcW w:w="42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rPr>
            </w:pPr>
            <w:r>
              <w:rPr>
                <w:rFonts w:hint="eastAsia" w:ascii="宋体" w:hAnsi="宋体" w:eastAsia="宋体" w:cs="宋体"/>
                <w:color w:val="000000"/>
                <w:lang w:val="uk" w:eastAsia="zh-CN" w:bidi="ar"/>
              </w:rPr>
              <w:t>达到目标值得满分，否则不得分。</w:t>
            </w:r>
          </w:p>
        </w:tc>
        <w:tc>
          <w:tcPr>
            <w:tcW w:w="3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rPr>
            </w:pPr>
            <w:r>
              <w:rPr>
                <w:rFonts w:hint="eastAsia" w:ascii="宋体" w:hAnsi="宋体" w:eastAsia="宋体" w:cs="宋体"/>
                <w:color w:val="000000"/>
                <w:lang w:val="uk" w:eastAsia="zh-CN" w:bidi="ar"/>
              </w:rPr>
              <w:t>年度实际三公经费支出与预算批复三公经费占比</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微软雅黑" w:hAnsi="微软雅黑" w:eastAsia="微软雅黑" w:cs="宋体"/>
                <w:color w:val="000000"/>
                <w:sz w:val="27"/>
                <w:szCs w:val="27"/>
              </w:rPr>
            </w:pPr>
            <w:r>
              <w:rPr>
                <w:rFonts w:hint="eastAsia" w:ascii="微软雅黑" w:hAnsi="微软雅黑" w:eastAsia="微软雅黑" w:cs="微软雅黑"/>
                <w:color w:val="000000"/>
                <w:sz w:val="27"/>
                <w:szCs w:val="27"/>
                <w:lang w:val="uk"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color w:val="000000"/>
                <w:sz w:val="22"/>
                <w:szCs w:val="22"/>
                <w:lang w:eastAsia="zh-CN" w:bidi="ar"/>
              </w:rPr>
              <w:t>100</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color w:val="000000"/>
                <w:lang w:eastAsia="zh-CN" w:bidi="ar"/>
              </w:rPr>
              <w:t>%</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预算要求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单位效果</w:t>
            </w:r>
          </w:p>
        </w:tc>
        <w:tc>
          <w:tcPr>
            <w:tcW w:w="70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社会</w:t>
            </w:r>
          </w:p>
          <w:p>
            <w:pPr>
              <w:rPr>
                <w:color w:val="000000"/>
              </w:rPr>
            </w:pPr>
            <w:r>
              <w:rPr>
                <w:rFonts w:hint="eastAsia" w:ascii="宋体" w:hAnsi="宋体" w:eastAsia="宋体" w:cs="宋体"/>
                <w:color w:val="000000"/>
                <w:lang w:val="uk" w:eastAsia="zh-CN" w:bidi="ar"/>
              </w:rPr>
              <w:t>效益</w:t>
            </w:r>
          </w:p>
        </w:tc>
        <w:tc>
          <w:tcPr>
            <w:tcW w:w="10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统计数据共享率</w:t>
            </w:r>
          </w:p>
        </w:tc>
        <w:tc>
          <w:tcPr>
            <w:tcW w:w="42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实际值与目标值一致得权重分值</w:t>
            </w:r>
            <w:r>
              <w:rPr>
                <w:color w:val="000000"/>
                <w:lang w:eastAsia="zh-CN" w:bidi="ar"/>
              </w:rPr>
              <w:t>100%</w:t>
            </w:r>
            <w:r>
              <w:rPr>
                <w:rFonts w:hint="eastAsia" w:ascii="宋体" w:hAnsi="宋体" w:eastAsia="宋体" w:cs="宋体"/>
                <w:color w:val="000000"/>
                <w:lang w:val="uk" w:eastAsia="zh-CN" w:bidi="ar"/>
              </w:rPr>
              <w:t>，每减少</w:t>
            </w:r>
            <w:r>
              <w:rPr>
                <w:color w:val="000000"/>
                <w:lang w:eastAsia="zh-CN" w:bidi="ar"/>
              </w:rPr>
              <w:t>1%</w:t>
            </w:r>
            <w:r>
              <w:rPr>
                <w:rFonts w:hint="eastAsia" w:ascii="宋体" w:hAnsi="宋体" w:eastAsia="宋体" w:cs="宋体"/>
                <w:color w:val="000000"/>
                <w:lang w:val="uk" w:eastAsia="zh-CN" w:bidi="ar"/>
              </w:rPr>
              <w:t>扣权重分值</w:t>
            </w:r>
            <w:r>
              <w:rPr>
                <w:color w:val="000000"/>
                <w:lang w:eastAsia="zh-CN" w:bidi="ar"/>
              </w:rPr>
              <w:t>10%</w:t>
            </w:r>
            <w:r>
              <w:rPr>
                <w:rFonts w:hint="eastAsia" w:ascii="宋体" w:hAnsi="宋体" w:eastAsia="宋体" w:cs="宋体"/>
                <w:color w:val="000000"/>
                <w:lang w:val="uk" w:eastAsia="zh-CN" w:bidi="ar"/>
              </w:rPr>
              <w:t>，扣完为止。</w:t>
            </w:r>
          </w:p>
        </w:tc>
        <w:tc>
          <w:tcPr>
            <w:tcW w:w="3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统计数据资料共享部门数量</w:t>
            </w:r>
            <w:r>
              <w:rPr>
                <w:color w:val="000000"/>
                <w:lang w:eastAsia="zh-CN" w:bidi="ar"/>
              </w:rPr>
              <w:t>/</w:t>
            </w:r>
            <w:r>
              <w:rPr>
                <w:rFonts w:hint="eastAsia" w:ascii="宋体" w:hAnsi="宋体" w:eastAsia="宋体" w:cs="宋体"/>
                <w:color w:val="000000"/>
                <w:lang w:val="uk" w:eastAsia="zh-CN" w:bidi="ar"/>
              </w:rPr>
              <w:t>计划共享部门数量</w:t>
            </w:r>
            <w:r>
              <w:rPr>
                <w:color w:val="000000"/>
                <w:lang w:eastAsia="zh-CN" w:bidi="ar"/>
              </w:rPr>
              <w:t>*100%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color w:val="000000"/>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color w:val="000000"/>
                <w:lang w:eastAsia="zh-CN" w:bidi="ar"/>
              </w:rPr>
              <w:t>95</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color w:val="000000"/>
                <w:lang w:eastAsia="zh-CN" w:bidi="ar"/>
              </w:rPr>
              <w:t>%</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sz w:val="20"/>
                <w:szCs w:val="20"/>
              </w:rPr>
            </w:pPr>
          </w:p>
        </w:tc>
        <w:tc>
          <w:tcPr>
            <w:tcW w:w="70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经济</w:t>
            </w:r>
          </w:p>
          <w:p>
            <w:pPr>
              <w:rPr>
                <w:color w:val="000000"/>
              </w:rPr>
            </w:pPr>
            <w:r>
              <w:rPr>
                <w:rFonts w:hint="eastAsia" w:ascii="宋体" w:hAnsi="宋体" w:eastAsia="宋体" w:cs="宋体"/>
                <w:color w:val="000000"/>
                <w:lang w:val="uk" w:eastAsia="zh-CN" w:bidi="ar"/>
              </w:rPr>
              <w:t>效益</w:t>
            </w:r>
          </w:p>
        </w:tc>
        <w:tc>
          <w:tcPr>
            <w:tcW w:w="10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保障日常办公</w:t>
            </w:r>
          </w:p>
        </w:tc>
        <w:tc>
          <w:tcPr>
            <w:tcW w:w="42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达到目标值得满分，达不到目标值不得分</w:t>
            </w:r>
          </w:p>
        </w:tc>
        <w:tc>
          <w:tcPr>
            <w:tcW w:w="3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是否能够保障日常办公</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文字描述</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保障正常运转</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sz w:val="20"/>
                <w:szCs w:val="20"/>
              </w:rPr>
            </w:pPr>
          </w:p>
        </w:tc>
        <w:tc>
          <w:tcPr>
            <w:tcW w:w="70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可持续</w:t>
            </w:r>
          </w:p>
          <w:p>
            <w:pPr>
              <w:rPr>
                <w:color w:val="000000"/>
              </w:rPr>
            </w:pPr>
            <w:r>
              <w:rPr>
                <w:rFonts w:hint="eastAsia" w:ascii="宋体" w:hAnsi="宋体" w:eastAsia="宋体" w:cs="宋体"/>
                <w:color w:val="000000"/>
                <w:lang w:val="uk" w:eastAsia="zh-CN" w:bidi="ar"/>
              </w:rPr>
              <w:t>影响</w:t>
            </w:r>
          </w:p>
        </w:tc>
        <w:tc>
          <w:tcPr>
            <w:tcW w:w="10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统计数据使用年限</w:t>
            </w:r>
          </w:p>
        </w:tc>
        <w:tc>
          <w:tcPr>
            <w:tcW w:w="42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实际值与目标值一致得权重分值</w:t>
            </w:r>
            <w:r>
              <w:rPr>
                <w:color w:val="000000"/>
                <w:lang w:eastAsia="zh-CN" w:bidi="ar"/>
              </w:rPr>
              <w:t>100%</w:t>
            </w:r>
            <w:r>
              <w:rPr>
                <w:rFonts w:hint="eastAsia" w:ascii="宋体" w:hAnsi="宋体" w:eastAsia="宋体" w:cs="宋体"/>
                <w:color w:val="000000"/>
                <w:lang w:val="uk" w:eastAsia="zh-CN" w:bidi="ar"/>
              </w:rPr>
              <w:t>，</w:t>
            </w:r>
            <w:r>
              <w:rPr>
                <w:color w:val="000000"/>
                <w:lang w:val="uk" w:eastAsia="zh-CN" w:bidi="ar"/>
              </w:rPr>
              <w:t xml:space="preserve"> </w:t>
            </w:r>
            <w:r>
              <w:rPr>
                <w:rFonts w:hint="eastAsia" w:ascii="宋体" w:hAnsi="宋体" w:eastAsia="宋体" w:cs="宋体"/>
                <w:color w:val="000000"/>
                <w:lang w:val="uk" w:eastAsia="zh-CN" w:bidi="ar"/>
              </w:rPr>
              <w:t>否则不得分。</w:t>
            </w:r>
          </w:p>
        </w:tc>
        <w:tc>
          <w:tcPr>
            <w:tcW w:w="3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统计数据使用年限</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文字描述</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长期</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sz w:val="20"/>
                <w:szCs w:val="20"/>
              </w:rPr>
            </w:pPr>
          </w:p>
        </w:tc>
        <w:tc>
          <w:tcPr>
            <w:tcW w:w="708"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满意度</w:t>
            </w:r>
          </w:p>
        </w:tc>
        <w:tc>
          <w:tcPr>
            <w:tcW w:w="1042"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基层统计机构满意度</w:t>
            </w:r>
          </w:p>
        </w:tc>
        <w:tc>
          <w:tcPr>
            <w:tcW w:w="4203"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实际值与目标值一致得权重分值</w:t>
            </w:r>
            <w:r>
              <w:rPr>
                <w:color w:val="000000"/>
                <w:lang w:eastAsia="zh-CN" w:bidi="ar"/>
              </w:rPr>
              <w:t>100%</w:t>
            </w:r>
            <w:r>
              <w:rPr>
                <w:rFonts w:hint="eastAsia" w:ascii="宋体" w:hAnsi="宋体" w:eastAsia="宋体" w:cs="宋体"/>
                <w:color w:val="000000"/>
                <w:lang w:val="uk" w:eastAsia="zh-CN" w:bidi="ar"/>
              </w:rPr>
              <w:t>，每减少</w:t>
            </w:r>
            <w:r>
              <w:rPr>
                <w:color w:val="000000"/>
                <w:lang w:eastAsia="zh-CN" w:bidi="ar"/>
              </w:rPr>
              <w:t>1%</w:t>
            </w:r>
            <w:r>
              <w:rPr>
                <w:rFonts w:hint="eastAsia" w:ascii="宋体" w:hAnsi="宋体" w:eastAsia="宋体" w:cs="宋体"/>
                <w:color w:val="000000"/>
                <w:lang w:val="uk" w:eastAsia="zh-CN" w:bidi="ar"/>
              </w:rPr>
              <w:t>扣权重分值</w:t>
            </w:r>
            <w:r>
              <w:rPr>
                <w:color w:val="000000"/>
                <w:lang w:eastAsia="zh-CN" w:bidi="ar"/>
              </w:rPr>
              <w:t>10%</w:t>
            </w:r>
            <w:r>
              <w:rPr>
                <w:rFonts w:hint="eastAsia" w:ascii="宋体" w:hAnsi="宋体" w:eastAsia="宋体" w:cs="宋体"/>
                <w:color w:val="000000"/>
                <w:lang w:val="uk" w:eastAsia="zh-CN" w:bidi="ar"/>
              </w:rPr>
              <w:t>，扣完为止。</w:t>
            </w:r>
          </w:p>
        </w:tc>
        <w:tc>
          <w:tcPr>
            <w:tcW w:w="3260"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基层统计机构满意度</w:t>
            </w:r>
          </w:p>
        </w:tc>
        <w:tc>
          <w:tcPr>
            <w:tcW w:w="1135"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rPr>
            </w:pPr>
            <w:r>
              <w:rPr>
                <w:color w:val="000000"/>
                <w:lang w:eastAsia="zh-CN" w:bidi="ar"/>
              </w:rPr>
              <w:t>≥</w:t>
            </w:r>
          </w:p>
        </w:tc>
        <w:tc>
          <w:tcPr>
            <w:tcW w:w="993"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rPr>
            </w:pPr>
            <w:r>
              <w:rPr>
                <w:color w:val="000000"/>
                <w:lang w:eastAsia="zh-CN" w:bidi="ar"/>
              </w:rPr>
              <w:t>90</w:t>
            </w:r>
          </w:p>
        </w:tc>
        <w:tc>
          <w:tcPr>
            <w:tcW w:w="1275"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rPr>
            </w:pPr>
            <w:r>
              <w:rPr>
                <w:color w:val="000000"/>
                <w:lang w:eastAsia="zh-CN" w:bidi="ar"/>
              </w:rPr>
              <w:t>%</w:t>
            </w:r>
          </w:p>
        </w:tc>
        <w:tc>
          <w:tcPr>
            <w:tcW w:w="1207"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问卷调查</w:t>
            </w:r>
          </w:p>
        </w:tc>
      </w:tr>
    </w:tbl>
    <w:p>
      <w:pPr>
        <w:ind w:firstLine="320" w:firstLineChars="100"/>
        <w:rPr>
          <w:lang w:eastAsia="zh-CN"/>
        </w:rPr>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w:t>
      </w:r>
    </w:p>
    <w:p>
      <w:pPr>
        <w:spacing w:before="10" w:after="10"/>
        <w:ind w:firstLine="640"/>
        <w:outlineLvl w:val="5"/>
        <w:sectPr>
          <w:pgSz w:w="16840" w:h="11900" w:orient="landscape"/>
          <w:pgMar w:top="1361" w:right="1020" w:bottom="1361" w:left="1020" w:header="720" w:footer="720" w:gutter="0"/>
          <w:cols w:space="720" w:num="1"/>
        </w:sectPr>
      </w:pPr>
    </w:p>
    <w:p>
      <w:pPr>
        <w:ind w:firstLine="280" w:firstLineChars="100"/>
      </w:pPr>
      <w:r>
        <w:rPr>
          <w:rFonts w:ascii="方正仿宋_GBK" w:hAnsi="方正仿宋_GBK" w:eastAsia="方正仿宋_GBK" w:cs="方正仿宋_GBK"/>
          <w:b/>
          <w:color w:val="000000"/>
          <w:sz w:val="28"/>
        </w:rPr>
        <w:t>1、四上企业统计人员培训费绩效目标表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1.提高各项数据入库率，促进基层统计人员工作积极性，完成统计调查任务。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培训活动次数</w:t>
            </w:r>
          </w:p>
        </w:tc>
        <w:tc>
          <w:tcPr>
            <w:tcW w:w="2835" w:type="dxa"/>
            <w:vAlign w:val="center"/>
          </w:tcPr>
          <w:p>
            <w:pPr>
              <w:pStyle w:val="16"/>
            </w:pPr>
            <w:r>
              <w:t>培训活动次数</w:t>
            </w:r>
          </w:p>
        </w:tc>
        <w:tc>
          <w:tcPr>
            <w:tcW w:w="2551" w:type="dxa"/>
            <w:vAlign w:val="center"/>
          </w:tcPr>
          <w:p>
            <w:pPr>
              <w:pStyle w:val="16"/>
            </w:pPr>
            <w:r>
              <w:t>1次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培训人数</w:t>
            </w:r>
          </w:p>
        </w:tc>
        <w:tc>
          <w:tcPr>
            <w:tcW w:w="2835" w:type="dxa"/>
            <w:vAlign w:val="center"/>
          </w:tcPr>
          <w:p>
            <w:pPr>
              <w:pStyle w:val="16"/>
            </w:pPr>
            <w:r>
              <w:t>培训人数</w:t>
            </w:r>
          </w:p>
        </w:tc>
        <w:tc>
          <w:tcPr>
            <w:tcW w:w="2551" w:type="dxa"/>
            <w:vAlign w:val="center"/>
          </w:tcPr>
          <w:p>
            <w:pPr>
              <w:pStyle w:val="16"/>
            </w:pPr>
            <w:r>
              <w:t>1000人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专项统计完成率</w:t>
            </w:r>
          </w:p>
        </w:tc>
        <w:tc>
          <w:tcPr>
            <w:tcW w:w="2835" w:type="dxa"/>
            <w:vAlign w:val="center"/>
          </w:tcPr>
          <w:p>
            <w:pPr>
              <w:pStyle w:val="16"/>
            </w:pPr>
            <w:r>
              <w:t>各类专项统计调查任务（包括各项调查报表的月报、季报、年报）完成程度占所有调查任务的比重</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预算资金及时支出</w:t>
            </w:r>
          </w:p>
        </w:tc>
        <w:tc>
          <w:tcPr>
            <w:tcW w:w="2835" w:type="dxa"/>
            <w:vAlign w:val="center"/>
          </w:tcPr>
          <w:p>
            <w:pPr>
              <w:pStyle w:val="16"/>
            </w:pPr>
            <w:r>
              <w:t>预算资金能够及时支出，计划于11月份组织培训并支出经费。</w:t>
            </w:r>
          </w:p>
        </w:tc>
        <w:tc>
          <w:tcPr>
            <w:tcW w:w="2551" w:type="dxa"/>
            <w:vAlign w:val="center"/>
          </w:tcPr>
          <w:p>
            <w:pPr>
              <w:pStyle w:val="16"/>
            </w:pPr>
            <w:r>
              <w:t>及时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资金投入量</w:t>
            </w:r>
          </w:p>
        </w:tc>
        <w:tc>
          <w:tcPr>
            <w:tcW w:w="2835" w:type="dxa"/>
            <w:vAlign w:val="center"/>
          </w:tcPr>
          <w:p>
            <w:pPr>
              <w:pStyle w:val="16"/>
            </w:pPr>
            <w:r>
              <w:t>对项目经费进行控制</w:t>
            </w:r>
          </w:p>
        </w:tc>
        <w:tc>
          <w:tcPr>
            <w:tcW w:w="2551" w:type="dxa"/>
            <w:vAlign w:val="center"/>
          </w:tcPr>
          <w:p>
            <w:pPr>
              <w:pStyle w:val="16"/>
            </w:pPr>
            <w:r>
              <w:t>≤10万元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提高各项数据入库率，促进基层统计人员工作积极性</w:t>
            </w:r>
          </w:p>
        </w:tc>
        <w:tc>
          <w:tcPr>
            <w:tcW w:w="2551" w:type="dxa"/>
            <w:vAlign w:val="center"/>
          </w:tcPr>
          <w:p>
            <w:pPr>
              <w:pStyle w:val="16"/>
            </w:pPr>
            <w:r>
              <w:t>提高效率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主要调查数据产品是否得到社会认可，没有产生不良影响</w:t>
            </w:r>
          </w:p>
        </w:tc>
        <w:tc>
          <w:tcPr>
            <w:tcW w:w="2551" w:type="dxa"/>
            <w:vAlign w:val="center"/>
          </w:tcPr>
          <w:p>
            <w:pPr>
              <w:pStyle w:val="16"/>
            </w:pPr>
            <w:r>
              <w:t>认可</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“四上企业”统计人员对此项工作的满意人数占服务对象意见总人数的比重</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2、统计工作经费绩效目标表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1.保证统计工作顺利开展</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办公设备购置数量</w:t>
            </w:r>
          </w:p>
        </w:tc>
        <w:tc>
          <w:tcPr>
            <w:tcW w:w="2835" w:type="dxa"/>
            <w:vAlign w:val="center"/>
          </w:tcPr>
          <w:p>
            <w:pPr>
              <w:pStyle w:val="16"/>
            </w:pPr>
            <w:r>
              <w:t>办公设备购置数量</w:t>
            </w:r>
          </w:p>
        </w:tc>
        <w:tc>
          <w:tcPr>
            <w:tcW w:w="2551" w:type="dxa"/>
            <w:vAlign w:val="center"/>
          </w:tcPr>
          <w:p>
            <w:pPr>
              <w:pStyle w:val="16"/>
            </w:pPr>
            <w:r>
              <w:t>2台</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报刊订阅类别数量</w:t>
            </w:r>
          </w:p>
        </w:tc>
        <w:tc>
          <w:tcPr>
            <w:tcW w:w="2835" w:type="dxa"/>
            <w:vAlign w:val="center"/>
          </w:tcPr>
          <w:p>
            <w:pPr>
              <w:pStyle w:val="16"/>
            </w:pPr>
            <w:r>
              <w:t>报刊订阅类别数量</w:t>
            </w:r>
          </w:p>
        </w:tc>
        <w:tc>
          <w:tcPr>
            <w:tcW w:w="2551" w:type="dxa"/>
            <w:vAlign w:val="center"/>
          </w:tcPr>
          <w:p>
            <w:pPr>
              <w:pStyle w:val="16"/>
            </w:pPr>
            <w:r>
              <w:t>10种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统计事务保障率</w:t>
            </w:r>
          </w:p>
        </w:tc>
        <w:tc>
          <w:tcPr>
            <w:tcW w:w="2835" w:type="dxa"/>
            <w:vAlign w:val="center"/>
          </w:tcPr>
          <w:p>
            <w:pPr>
              <w:pStyle w:val="16"/>
            </w:pPr>
            <w:r>
              <w:t>综合事务完成占总事务的比重</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预算资金及时支出</w:t>
            </w:r>
          </w:p>
        </w:tc>
        <w:tc>
          <w:tcPr>
            <w:tcW w:w="2835" w:type="dxa"/>
            <w:vAlign w:val="center"/>
          </w:tcPr>
          <w:p>
            <w:pPr>
              <w:pStyle w:val="16"/>
            </w:pPr>
            <w:r>
              <w:t>预算资金是否能够及时支出</w:t>
            </w:r>
          </w:p>
        </w:tc>
        <w:tc>
          <w:tcPr>
            <w:tcW w:w="2551" w:type="dxa"/>
            <w:vAlign w:val="center"/>
          </w:tcPr>
          <w:p>
            <w:pPr>
              <w:pStyle w:val="16"/>
            </w:pPr>
            <w:r>
              <w:t>及时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统计工作开展及时性</w:t>
            </w:r>
          </w:p>
        </w:tc>
        <w:tc>
          <w:tcPr>
            <w:tcW w:w="2835" w:type="dxa"/>
            <w:vAlign w:val="center"/>
          </w:tcPr>
          <w:p>
            <w:pPr>
              <w:pStyle w:val="16"/>
            </w:pPr>
            <w:r>
              <w:t>统计工作开展及时性</w:t>
            </w:r>
          </w:p>
        </w:tc>
        <w:tc>
          <w:tcPr>
            <w:tcW w:w="2551" w:type="dxa"/>
            <w:vAlign w:val="center"/>
          </w:tcPr>
          <w:p>
            <w:pPr>
              <w:pStyle w:val="16"/>
            </w:pPr>
            <w:r>
              <w:t>及时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资金投入量</w:t>
            </w:r>
          </w:p>
        </w:tc>
        <w:tc>
          <w:tcPr>
            <w:tcW w:w="2835" w:type="dxa"/>
            <w:vAlign w:val="center"/>
          </w:tcPr>
          <w:p>
            <w:pPr>
              <w:pStyle w:val="16"/>
            </w:pPr>
            <w:r>
              <w:t>对项目经费进行控制</w:t>
            </w:r>
          </w:p>
        </w:tc>
        <w:tc>
          <w:tcPr>
            <w:tcW w:w="2551" w:type="dxa"/>
            <w:vAlign w:val="center"/>
          </w:tcPr>
          <w:p>
            <w:pPr>
              <w:pStyle w:val="16"/>
            </w:pPr>
            <w:r>
              <w:t>≤30万元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保障日常办公</w:t>
            </w:r>
          </w:p>
        </w:tc>
        <w:tc>
          <w:tcPr>
            <w:tcW w:w="2835" w:type="dxa"/>
            <w:vAlign w:val="center"/>
          </w:tcPr>
          <w:p>
            <w:pPr>
              <w:pStyle w:val="16"/>
            </w:pPr>
            <w:r>
              <w:t>是否能够保障日常办公</w:t>
            </w:r>
          </w:p>
        </w:tc>
        <w:tc>
          <w:tcPr>
            <w:tcW w:w="2551" w:type="dxa"/>
            <w:vAlign w:val="center"/>
          </w:tcPr>
          <w:p>
            <w:pPr>
              <w:pStyle w:val="16"/>
            </w:pPr>
            <w:r>
              <w:t>保障正常运转</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统计数据得到社会认可</w:t>
            </w:r>
          </w:p>
        </w:tc>
        <w:tc>
          <w:tcPr>
            <w:tcW w:w="2835" w:type="dxa"/>
            <w:vAlign w:val="center"/>
          </w:tcPr>
          <w:p>
            <w:pPr>
              <w:pStyle w:val="16"/>
            </w:pPr>
            <w:r>
              <w:t>统计数据得到社会公众认可</w:t>
            </w:r>
          </w:p>
        </w:tc>
        <w:tc>
          <w:tcPr>
            <w:tcW w:w="2551" w:type="dxa"/>
            <w:vAlign w:val="center"/>
          </w:tcPr>
          <w:p>
            <w:pPr>
              <w:pStyle w:val="16"/>
            </w:pPr>
            <w:r>
              <w:t xml:space="preserve"> 认可</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机关人员满意度</w:t>
            </w:r>
          </w:p>
        </w:tc>
        <w:tc>
          <w:tcPr>
            <w:tcW w:w="2835" w:type="dxa"/>
            <w:vAlign w:val="center"/>
          </w:tcPr>
          <w:p>
            <w:pPr>
              <w:pStyle w:val="16"/>
            </w:pPr>
            <w:r>
              <w:t>机关人员对此项工作的满意人数占总人数的比重</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3、住户调查经费绩效目标表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1.完成2023年广阳区“城乡住户调查一体化”住户调查记账工作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发放补助人数</w:t>
            </w:r>
          </w:p>
        </w:tc>
        <w:tc>
          <w:tcPr>
            <w:tcW w:w="2835" w:type="dxa"/>
            <w:vAlign w:val="center"/>
          </w:tcPr>
          <w:p>
            <w:pPr>
              <w:pStyle w:val="16"/>
            </w:pPr>
            <w:r>
              <w:t>发放补助人数</w:t>
            </w:r>
          </w:p>
        </w:tc>
        <w:tc>
          <w:tcPr>
            <w:tcW w:w="2551" w:type="dxa"/>
            <w:vAlign w:val="center"/>
          </w:tcPr>
          <w:p>
            <w:pPr>
              <w:pStyle w:val="16"/>
            </w:pPr>
            <w:r>
              <w:t>66人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调查任务完成率</w:t>
            </w:r>
          </w:p>
        </w:tc>
        <w:tc>
          <w:tcPr>
            <w:tcW w:w="2835" w:type="dxa"/>
            <w:vAlign w:val="center"/>
          </w:tcPr>
          <w:p>
            <w:pPr>
              <w:pStyle w:val="16"/>
            </w:pPr>
            <w:r>
              <w:t>住户调查完成程度占调查任务的比重</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预算资金及时支出</w:t>
            </w:r>
          </w:p>
        </w:tc>
        <w:tc>
          <w:tcPr>
            <w:tcW w:w="2835" w:type="dxa"/>
            <w:vAlign w:val="center"/>
          </w:tcPr>
          <w:p>
            <w:pPr>
              <w:pStyle w:val="16"/>
            </w:pPr>
            <w:r>
              <w:t>预算资金能够及时支出，按照季度支付，预计11月支出完毕。</w:t>
            </w:r>
          </w:p>
        </w:tc>
        <w:tc>
          <w:tcPr>
            <w:tcW w:w="2551" w:type="dxa"/>
            <w:vAlign w:val="center"/>
          </w:tcPr>
          <w:p>
            <w:pPr>
              <w:pStyle w:val="16"/>
            </w:pPr>
            <w:r>
              <w:t>及时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资金投入量</w:t>
            </w:r>
          </w:p>
        </w:tc>
        <w:tc>
          <w:tcPr>
            <w:tcW w:w="2835" w:type="dxa"/>
            <w:vAlign w:val="center"/>
          </w:tcPr>
          <w:p>
            <w:pPr>
              <w:pStyle w:val="16"/>
            </w:pPr>
            <w:r>
              <w:t>对项目经费进行控制</w:t>
            </w:r>
          </w:p>
        </w:tc>
        <w:tc>
          <w:tcPr>
            <w:tcW w:w="2551" w:type="dxa"/>
            <w:vAlign w:val="center"/>
          </w:tcPr>
          <w:p>
            <w:pPr>
              <w:pStyle w:val="16"/>
            </w:pPr>
            <w:r>
              <w:t>≤15万元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保障调查任务顺利完成</w:t>
            </w:r>
          </w:p>
        </w:tc>
        <w:tc>
          <w:tcPr>
            <w:tcW w:w="2835" w:type="dxa"/>
            <w:vAlign w:val="center"/>
          </w:tcPr>
          <w:p>
            <w:pPr>
              <w:pStyle w:val="16"/>
            </w:pPr>
            <w:r>
              <w:t>调查任务是否能够顺利完成</w:t>
            </w:r>
          </w:p>
        </w:tc>
        <w:tc>
          <w:tcPr>
            <w:tcW w:w="2551" w:type="dxa"/>
            <w:vAlign w:val="center"/>
          </w:tcPr>
          <w:p>
            <w:pPr>
              <w:pStyle w:val="16"/>
            </w:pPr>
            <w:r>
              <w:t>完成</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主要调查数据产品是否得到社会认可，没有产生不良影响</w:t>
            </w:r>
          </w:p>
        </w:tc>
        <w:tc>
          <w:tcPr>
            <w:tcW w:w="2835" w:type="dxa"/>
            <w:vAlign w:val="center"/>
          </w:tcPr>
          <w:p>
            <w:pPr>
              <w:pStyle w:val="16"/>
            </w:pPr>
            <w:r>
              <w:t>主要调查数据产品是否得到社会认可，没有产生不良影响</w:t>
            </w:r>
          </w:p>
        </w:tc>
        <w:tc>
          <w:tcPr>
            <w:tcW w:w="2551" w:type="dxa"/>
            <w:vAlign w:val="center"/>
          </w:tcPr>
          <w:p>
            <w:pPr>
              <w:pStyle w:val="16"/>
            </w:pPr>
            <w:r>
              <w:t>认可</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服务对象对此项工作的满意人数占服务对象意见总人数的比重</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2023年，廊坊市广阳区统计局本级安排政府采购预算0.00万元。具体内容见下表。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227001廊坊市广阳区统计局本级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olor w:val="000000"/>
          <w:sz w:val="28"/>
        </w:rPr>
        <w:t>廊坊市广阳区统计局本级上年末固定资产金额为185.43万元（详见下表）。本年度拟购置固定资产总额为1.95万元，已按要求列入政府采购预算，详见政府采购预算表。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227001廊坊市广阳区统计局本级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185.43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981</w:t>
            </w:r>
          </w:p>
        </w:tc>
        <w:tc>
          <w:tcPr>
            <w:tcW w:w="2835" w:type="dxa"/>
            <w:vAlign w:val="center"/>
          </w:tcPr>
          <w:p>
            <w:pPr>
              <w:pStyle w:val="15"/>
            </w:pPr>
            <w:r>
              <w:t>165.55</w:t>
            </w:r>
          </w:p>
        </w:tc>
      </w:tr>
    </w:tbl>
    <w:p>
      <w:pPr>
        <w:ind w:firstLine="640"/>
      </w:pPr>
      <w:r>
        <w:rPr>
          <w:rFonts w:eastAsia="方正仿宋_GBK"/>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7D5FA"/>
    <w:multiLevelType w:val="singleLevel"/>
    <w:tmpl w:val="C067D5F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96"/>
    <w:rsid w:val="00884E30"/>
    <w:rsid w:val="009A4CEC"/>
    <w:rsid w:val="00BE2860"/>
    <w:rsid w:val="00E91996"/>
    <w:rsid w:val="41C35D36"/>
    <w:rsid w:val="42DC1E5D"/>
    <w:rsid w:val="4ABA5052"/>
    <w:rsid w:val="67153D5D"/>
    <w:rsid w:val="6BE4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font41"/>
    <w:basedOn w:val="9"/>
    <w:qFormat/>
    <w:uiPriority w:val="0"/>
    <w:rPr>
      <w:rFonts w:hint="eastAsia" w:ascii="宋体" w:hAnsi="宋体" w:eastAsia="宋体" w:cs="宋体"/>
      <w:color w:val="000000"/>
      <w:sz w:val="21"/>
      <w:szCs w:val="21"/>
      <w:u w:val="none"/>
    </w:rPr>
  </w:style>
  <w:style w:type="character" w:customStyle="1" w:styleId="34">
    <w:name w:val="font51"/>
    <w:basedOn w:val="9"/>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2023-03-13T11:03:52Z</dcterms:created>
  <dcterms:modified xsi:type="dcterms:W3CDTF">2023-03-13T03:03:52Z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2023-03-13T11:03:51Z</dcterms:created>
  <dcterms:modified xsi:type="dcterms:W3CDTF">2023-03-13T03:03:51Z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2023-03-13T11:03:52Z</dcterms:created>
  <dcterms:modified xsi:type="dcterms:W3CDTF">2023-03-13T03:03:52Z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2023-03-13T11:03:51Z</dcterms:created>
  <dcterms:modified xsi:type="dcterms:W3CDTF">2023-03-13T03:03:51Z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2023-03-13T11:03:51Z</dcterms:created>
  <dcterms:modified xsi:type="dcterms:W3CDTF">2023-03-13T03:03:51Z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45A9D7F-960E-4A23-BD18-135E5BF2DCE8}">
  <ds:schemaRefs/>
</ds:datastoreItem>
</file>

<file path=customXml/itemProps10.xml><?xml version="1.0" encoding="utf-8"?>
<ds:datastoreItem xmlns:ds="http://schemas.openxmlformats.org/officeDocument/2006/customXml" ds:itemID="{EE9B2D99-731E-4241-9FE0-C5475CF65A15}">
  <ds:schemaRefs/>
</ds:datastoreItem>
</file>

<file path=customXml/itemProps11.xml><?xml version="1.0" encoding="utf-8"?>
<ds:datastoreItem xmlns:ds="http://schemas.openxmlformats.org/officeDocument/2006/customXml" ds:itemID="{B9C40B1A-29C0-41BE-A737-D4E55CD8DDB8}">
  <ds:schemaRefs/>
</ds:datastoreItem>
</file>

<file path=customXml/itemProps12.xml><?xml version="1.0" encoding="utf-8"?>
<ds:datastoreItem xmlns:ds="http://schemas.openxmlformats.org/officeDocument/2006/customXml" ds:itemID="{A6F539A2-BA4B-4972-94CC-F8FC05E68300}">
  <ds:schemaRefs/>
</ds:datastoreItem>
</file>

<file path=customXml/itemProps13.xml><?xml version="1.0" encoding="utf-8"?>
<ds:datastoreItem xmlns:ds="http://schemas.openxmlformats.org/officeDocument/2006/customXml" ds:itemID="{AB6B9345-4FCF-4ED0-8F23-9836B73C0D1B}">
  <ds:schemaRefs/>
</ds:datastoreItem>
</file>

<file path=customXml/itemProps14.xml><?xml version="1.0" encoding="utf-8"?>
<ds:datastoreItem xmlns:ds="http://schemas.openxmlformats.org/officeDocument/2006/customXml" ds:itemID="{1A97C787-8068-4C65-B163-358075611112}">
  <ds:schemaRefs/>
</ds:datastoreItem>
</file>

<file path=customXml/itemProps15.xml><?xml version="1.0" encoding="utf-8"?>
<ds:datastoreItem xmlns:ds="http://schemas.openxmlformats.org/officeDocument/2006/customXml" ds:itemID="{F747432A-8080-4EA6-B8AE-AA5DD1AE6CC5}">
  <ds:schemaRefs/>
</ds:datastoreItem>
</file>

<file path=customXml/itemProps16.xml><?xml version="1.0" encoding="utf-8"?>
<ds:datastoreItem xmlns:ds="http://schemas.openxmlformats.org/officeDocument/2006/customXml" ds:itemID="{62D151B1-B241-4223-AAD6-320769BA7736}">
  <ds:schemaRefs/>
</ds:datastoreItem>
</file>

<file path=customXml/itemProps17.xml><?xml version="1.0" encoding="utf-8"?>
<ds:datastoreItem xmlns:ds="http://schemas.openxmlformats.org/officeDocument/2006/customXml" ds:itemID="{DC12809A-896D-4C24-97BD-3A6E57DB8F7A}">
  <ds:schemaRefs/>
</ds:datastoreItem>
</file>

<file path=customXml/itemProps18.xml><?xml version="1.0" encoding="utf-8"?>
<ds:datastoreItem xmlns:ds="http://schemas.openxmlformats.org/officeDocument/2006/customXml" ds:itemID="{27A25410-44AA-4584-9F77-FB08133C278F}">
  <ds:schemaRefs/>
</ds:datastoreItem>
</file>

<file path=customXml/itemProps19.xml><?xml version="1.0" encoding="utf-8"?>
<ds:datastoreItem xmlns:ds="http://schemas.openxmlformats.org/officeDocument/2006/customXml" ds:itemID="{3F98A8C6-51BC-4F84-8558-46641EB92E83}">
  <ds:schemaRefs/>
</ds:datastoreItem>
</file>

<file path=customXml/itemProps2.xml><?xml version="1.0" encoding="utf-8"?>
<ds:datastoreItem xmlns:ds="http://schemas.openxmlformats.org/officeDocument/2006/customXml" ds:itemID="{DD62C607-BD61-47A8-AE74-2FDB337F481E}">
  <ds:schemaRefs/>
</ds:datastoreItem>
</file>

<file path=customXml/itemProps20.xml><?xml version="1.0" encoding="utf-8"?>
<ds:datastoreItem xmlns:ds="http://schemas.openxmlformats.org/officeDocument/2006/customXml" ds:itemID="{CEE377EB-CD30-4A93-BA90-B4916AEB7C53}">
  <ds:schemaRefs/>
</ds:datastoreItem>
</file>

<file path=customXml/itemProps21.xml><?xml version="1.0" encoding="utf-8"?>
<ds:datastoreItem xmlns:ds="http://schemas.openxmlformats.org/officeDocument/2006/customXml" ds:itemID="{D23B69B5-44F8-4937-A0EE-64903566A2F7}">
  <ds:schemaRefs/>
</ds:datastoreItem>
</file>

<file path=customXml/itemProps22.xml><?xml version="1.0" encoding="utf-8"?>
<ds:datastoreItem xmlns:ds="http://schemas.openxmlformats.org/officeDocument/2006/customXml" ds:itemID="{BFF2832A-C321-4482-BF8A-AC6D2E8BD017}">
  <ds:schemaRefs/>
</ds:datastoreItem>
</file>

<file path=customXml/itemProps3.xml><?xml version="1.0" encoding="utf-8"?>
<ds:datastoreItem xmlns:ds="http://schemas.openxmlformats.org/officeDocument/2006/customXml" ds:itemID="{79415FB2-88F4-4FD8-B091-2CB3C4FC9619}">
  <ds:schemaRefs/>
</ds:datastoreItem>
</file>

<file path=customXml/itemProps4.xml><?xml version="1.0" encoding="utf-8"?>
<ds:datastoreItem xmlns:ds="http://schemas.openxmlformats.org/officeDocument/2006/customXml" ds:itemID="{DED6DB7B-9098-4D35-9A30-7DB7D61C6905}">
  <ds:schemaRefs/>
</ds:datastoreItem>
</file>

<file path=customXml/itemProps5.xml><?xml version="1.0" encoding="utf-8"?>
<ds:datastoreItem xmlns:ds="http://schemas.openxmlformats.org/officeDocument/2006/customXml" ds:itemID="{762D1D94-DDA8-45AD-8433-67A653F524CC}">
  <ds:schemaRefs/>
</ds:datastoreItem>
</file>

<file path=customXml/itemProps6.xml><?xml version="1.0" encoding="utf-8"?>
<ds:datastoreItem xmlns:ds="http://schemas.openxmlformats.org/officeDocument/2006/customXml" ds:itemID="{464F6F36-3C1E-4B49-B9B9-8DF06D639EE9}">
  <ds:schemaRefs/>
</ds:datastoreItem>
</file>

<file path=customXml/itemProps7.xml><?xml version="1.0" encoding="utf-8"?>
<ds:datastoreItem xmlns:ds="http://schemas.openxmlformats.org/officeDocument/2006/customXml" ds:itemID="{591F9EEF-959A-4342-A318-CE587268EBEC}">
  <ds:schemaRefs/>
</ds:datastoreItem>
</file>

<file path=customXml/itemProps8.xml><?xml version="1.0" encoding="utf-8"?>
<ds:datastoreItem xmlns:ds="http://schemas.openxmlformats.org/officeDocument/2006/customXml" ds:itemID="{6DB89EB5-FFE9-4C00-A0F9-6F2F2445F5AB}">
  <ds:schemaRefs/>
</ds:datastoreItem>
</file>

<file path=customXml/itemProps9.xml><?xml version="1.0" encoding="utf-8"?>
<ds:datastoreItem xmlns:ds="http://schemas.openxmlformats.org/officeDocument/2006/customXml" ds:itemID="{18FF73AD-9168-4C58-A5CB-E698E78F9A59}">
  <ds:schemaRefs/>
</ds:datastoreItem>
</file>

<file path=docProps/app.xml><?xml version="1.0" encoding="utf-8"?>
<Properties xmlns="http://schemas.openxmlformats.org/officeDocument/2006/extended-properties" xmlns:vt="http://schemas.openxmlformats.org/officeDocument/2006/docPropsVTypes">
  <Template>Normal</Template>
  <Pages>31</Pages>
  <Words>1964</Words>
  <Characters>11200</Characters>
  <Lines>93</Lines>
  <Paragraphs>26</Paragraphs>
  <TotalTime>14</TotalTime>
  <ScaleCrop>false</ScaleCrop>
  <LinksUpToDate>false</LinksUpToDate>
  <CharactersWithSpaces>13138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2023-03-14T03:53:00Z</dcterms:created>
  <dc:creator>Administrator</dc:creator>
  <cp:lastModifiedBy>111</cp:lastModifiedBy>
  <dcterms:modified xsi:type="dcterms:W3CDTF">2024-07-22T01:22:57Z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C0E0662A0944431A891AEFD43B4AE223</vt:lpwstr>
  </property>
</Properties>
</file>