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2</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29</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29</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30</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31</w:t>
      </w:r>
      <w:r>
        <w:rPr>
          <w:rStyle w:val="11"/>
        </w:rPr>
        <w:fldChar w:fldCharType="end"/>
      </w:r>
    </w:p>
    <w:p>
      <w:r>
        <w:fldChar w:fldCharType="end"/>
      </w: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101001廊坊市广阳区人民代表大会常务委员会本级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b w:val="0"/>
              </w:rPr>
            </w:pPr>
            <w:r>
              <w:rPr>
                <w:b w:val="0"/>
              </w:rPr>
              <w:t>序号</w:t>
            </w:r>
          </w:p>
        </w:tc>
        <w:tc>
          <w:tcPr>
            <w:tcW w:w="6661" w:type="dxa"/>
            <w:gridSpan w:val="2"/>
            <w:vAlign w:val="center"/>
          </w:tcPr>
          <w:p>
            <w:pPr>
              <w:pStyle w:val="15"/>
              <w:rPr>
                <w:b w:val="0"/>
              </w:rPr>
            </w:pPr>
            <w:r>
              <w:rPr>
                <w:b w:val="0"/>
              </w:rPr>
              <w:t>收入</w:t>
            </w:r>
          </w:p>
        </w:tc>
        <w:tc>
          <w:tcPr>
            <w:tcW w:w="6661" w:type="dxa"/>
            <w:gridSpan w:val="2"/>
            <w:vAlign w:val="center"/>
          </w:tcPr>
          <w:p>
            <w:pPr>
              <w:pStyle w:val="15"/>
              <w:rPr>
                <w:b w:val="0"/>
              </w:rPr>
            </w:pPr>
            <w:r>
              <w:rPr>
                <w:b w:val="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rPr>
                <w:b w:val="0"/>
              </w:rPr>
            </w:pPr>
            <w:r>
              <w:rPr>
                <w:b w:val="0"/>
              </w:rPr>
              <w:t>项  目</w:t>
            </w:r>
          </w:p>
        </w:tc>
        <w:tc>
          <w:tcPr>
            <w:tcW w:w="2126" w:type="dxa"/>
            <w:vAlign w:val="center"/>
          </w:tcPr>
          <w:p>
            <w:pPr>
              <w:pStyle w:val="15"/>
              <w:rPr>
                <w:b w:val="0"/>
              </w:rPr>
            </w:pPr>
            <w:r>
              <w:rPr>
                <w:b w:val="0"/>
              </w:rPr>
              <w:t>预算数</w:t>
            </w:r>
          </w:p>
        </w:tc>
        <w:tc>
          <w:tcPr>
            <w:tcW w:w="4535" w:type="dxa"/>
            <w:vAlign w:val="center"/>
          </w:tcPr>
          <w:p>
            <w:pPr>
              <w:pStyle w:val="15"/>
              <w:rPr>
                <w:b w:val="0"/>
              </w:rPr>
            </w:pPr>
            <w:r>
              <w:rPr>
                <w:b w:val="0"/>
              </w:rPr>
              <w:t>项  目</w:t>
            </w:r>
          </w:p>
        </w:tc>
        <w:tc>
          <w:tcPr>
            <w:tcW w:w="2126" w:type="dxa"/>
            <w:vAlign w:val="center"/>
          </w:tcPr>
          <w:p>
            <w:pPr>
              <w:pStyle w:val="15"/>
              <w:rPr>
                <w:b w:val="0"/>
              </w:rPr>
            </w:pPr>
            <w:r>
              <w:rPr>
                <w:b w:val="0"/>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b w:val="0"/>
              </w:rPr>
            </w:pPr>
            <w:r>
              <w:rPr>
                <w:b w:val="0"/>
              </w:rPr>
              <w:t>栏次</w:t>
            </w:r>
          </w:p>
        </w:tc>
        <w:tc>
          <w:tcPr>
            <w:tcW w:w="4535" w:type="dxa"/>
            <w:vAlign w:val="center"/>
          </w:tcPr>
          <w:p>
            <w:pPr>
              <w:pStyle w:val="15"/>
              <w:rPr>
                <w:b w:val="0"/>
              </w:rPr>
            </w:pPr>
            <w:r>
              <w:rPr>
                <w:b w:val="0"/>
              </w:rPr>
              <w:t>1</w:t>
            </w:r>
          </w:p>
        </w:tc>
        <w:tc>
          <w:tcPr>
            <w:tcW w:w="2126" w:type="dxa"/>
            <w:vAlign w:val="center"/>
          </w:tcPr>
          <w:p>
            <w:pPr>
              <w:pStyle w:val="15"/>
              <w:rPr>
                <w:b w:val="0"/>
              </w:rPr>
            </w:pPr>
            <w:r>
              <w:rPr>
                <w:b w:val="0"/>
              </w:rPr>
              <w:t>2</w:t>
            </w:r>
          </w:p>
        </w:tc>
        <w:tc>
          <w:tcPr>
            <w:tcW w:w="4535" w:type="dxa"/>
            <w:vAlign w:val="center"/>
          </w:tcPr>
          <w:p>
            <w:pPr>
              <w:pStyle w:val="15"/>
              <w:rPr>
                <w:b w:val="0"/>
              </w:rPr>
            </w:pPr>
            <w:r>
              <w:rPr>
                <w:b w:val="0"/>
              </w:rPr>
              <w:t>3</w:t>
            </w:r>
          </w:p>
        </w:tc>
        <w:tc>
          <w:tcPr>
            <w:tcW w:w="2126" w:type="dxa"/>
            <w:vAlign w:val="center"/>
          </w:tcPr>
          <w:p>
            <w:pPr>
              <w:pStyle w:val="15"/>
              <w:rPr>
                <w:b w:val="0"/>
              </w:rPr>
            </w:pPr>
            <w:r>
              <w:rPr>
                <w:b w:val="0"/>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1426.09</w:t>
            </w:r>
          </w:p>
        </w:tc>
        <w:tc>
          <w:tcPr>
            <w:tcW w:w="4535" w:type="dxa"/>
            <w:vAlign w:val="center"/>
          </w:tcPr>
          <w:p>
            <w:pPr>
              <w:pStyle w:val="17"/>
            </w:pPr>
            <w:r>
              <w:t>一、一般公共服务支出</w:t>
            </w:r>
          </w:p>
        </w:tc>
        <w:tc>
          <w:tcPr>
            <w:tcW w:w="2126" w:type="dxa"/>
            <w:vAlign w:val="center"/>
          </w:tcPr>
          <w:p>
            <w:pPr>
              <w:pStyle w:val="16"/>
            </w:pPr>
            <w:r>
              <w:t>1012.27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311.79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74.64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rPr>
                <w:b w:val="0"/>
              </w:rPr>
            </w:pPr>
            <w:r>
              <w:rPr>
                <w:b w:val="0"/>
              </w:rPr>
              <w:t>本年收入合计</w:t>
            </w:r>
          </w:p>
        </w:tc>
        <w:tc>
          <w:tcPr>
            <w:tcW w:w="2126" w:type="dxa"/>
            <w:vAlign w:val="center"/>
          </w:tcPr>
          <w:p>
            <w:pPr>
              <w:pStyle w:val="20"/>
              <w:rPr>
                <w:b w:val="0"/>
              </w:rPr>
            </w:pPr>
            <w:r>
              <w:rPr>
                <w:b w:val="0"/>
              </w:rPr>
              <w:t>1426.09</w:t>
            </w:r>
          </w:p>
        </w:tc>
        <w:tc>
          <w:tcPr>
            <w:tcW w:w="4535" w:type="dxa"/>
            <w:vAlign w:val="center"/>
          </w:tcPr>
          <w:p>
            <w:pPr>
              <w:pStyle w:val="19"/>
              <w:rPr>
                <w:b w:val="0"/>
              </w:rPr>
            </w:pPr>
            <w:r>
              <w:rPr>
                <w:b w:val="0"/>
              </w:rPr>
              <w:t>本年支出合计</w:t>
            </w:r>
          </w:p>
        </w:tc>
        <w:tc>
          <w:tcPr>
            <w:tcW w:w="2126" w:type="dxa"/>
            <w:vAlign w:val="center"/>
          </w:tcPr>
          <w:p>
            <w:pPr>
              <w:pStyle w:val="20"/>
              <w:rPr>
                <w:b w:val="0"/>
              </w:rPr>
            </w:pPr>
            <w:r>
              <w:rPr>
                <w:b w:val="0"/>
              </w:rPr>
              <w:t>1426.09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rPr>
                <w:b w:val="0"/>
              </w:rPr>
            </w:pPr>
            <w:r>
              <w:rPr>
                <w:b w:val="0"/>
              </w:rPr>
              <w:t>收入总计</w:t>
            </w:r>
          </w:p>
        </w:tc>
        <w:tc>
          <w:tcPr>
            <w:tcW w:w="2126" w:type="dxa"/>
            <w:vAlign w:val="center"/>
          </w:tcPr>
          <w:p>
            <w:pPr>
              <w:pStyle w:val="20"/>
              <w:rPr>
                <w:b w:val="0"/>
              </w:rPr>
            </w:pPr>
            <w:r>
              <w:rPr>
                <w:b w:val="0"/>
              </w:rPr>
              <w:t>1426.09</w:t>
            </w:r>
          </w:p>
        </w:tc>
        <w:tc>
          <w:tcPr>
            <w:tcW w:w="4535" w:type="dxa"/>
            <w:vAlign w:val="center"/>
          </w:tcPr>
          <w:p>
            <w:pPr>
              <w:pStyle w:val="19"/>
              <w:rPr>
                <w:b w:val="0"/>
              </w:rPr>
            </w:pPr>
            <w:r>
              <w:rPr>
                <w:b w:val="0"/>
              </w:rPr>
              <w:t>支出总计</w:t>
            </w:r>
          </w:p>
        </w:tc>
        <w:tc>
          <w:tcPr>
            <w:tcW w:w="2126" w:type="dxa"/>
            <w:vAlign w:val="center"/>
          </w:tcPr>
          <w:p>
            <w:pPr>
              <w:pStyle w:val="20"/>
              <w:rPr>
                <w:b w:val="0"/>
              </w:rPr>
            </w:pPr>
            <w:r>
              <w:rPr>
                <w:b w:val="0"/>
              </w:rPr>
              <w:t>1426.09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101001廊坊市广阳区人民代表大会常务委员会本级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rPr>
                <w:b w:val="0"/>
              </w:rPr>
            </w:pPr>
            <w:r>
              <w:rPr>
                <w:b w:val="0"/>
              </w:rPr>
              <w:t>序号</w:t>
            </w:r>
          </w:p>
        </w:tc>
        <w:tc>
          <w:tcPr>
            <w:tcW w:w="2551" w:type="dxa"/>
            <w:gridSpan w:val="2"/>
            <w:vAlign w:val="center"/>
          </w:tcPr>
          <w:p>
            <w:pPr>
              <w:pStyle w:val="15"/>
              <w:rPr>
                <w:b w:val="0"/>
              </w:rPr>
            </w:pPr>
            <w:r>
              <w:rPr>
                <w:b w:val="0"/>
              </w:rPr>
              <w:t>功能分类科目</w:t>
            </w:r>
          </w:p>
        </w:tc>
        <w:tc>
          <w:tcPr>
            <w:tcW w:w="1134" w:type="dxa"/>
            <w:vMerge w:val="restart"/>
            <w:vAlign w:val="center"/>
          </w:tcPr>
          <w:p>
            <w:pPr>
              <w:pStyle w:val="15"/>
              <w:rPr>
                <w:b w:val="0"/>
              </w:rPr>
            </w:pPr>
            <w:r>
              <w:rPr>
                <w:b w:val="0"/>
              </w:rPr>
              <w:t>合计</w:t>
            </w:r>
          </w:p>
        </w:tc>
        <w:tc>
          <w:tcPr>
            <w:tcW w:w="9071" w:type="dxa"/>
            <w:gridSpan w:val="8"/>
            <w:vAlign w:val="center"/>
          </w:tcPr>
          <w:p>
            <w:pPr>
              <w:pStyle w:val="15"/>
              <w:rPr>
                <w:b w:val="0"/>
              </w:rPr>
            </w:pPr>
            <w:r>
              <w:rPr>
                <w:b w:val="0"/>
              </w:rPr>
              <w:t>本年收入</w:t>
            </w:r>
          </w:p>
        </w:tc>
        <w:tc>
          <w:tcPr>
            <w:tcW w:w="1134" w:type="dxa"/>
            <w:vMerge w:val="restart"/>
            <w:vAlign w:val="center"/>
          </w:tcPr>
          <w:p>
            <w:pPr>
              <w:pStyle w:val="15"/>
              <w:rPr>
                <w:b w:val="0"/>
              </w:rPr>
            </w:pPr>
            <w:r>
              <w:rPr>
                <w:b w:val="0"/>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rPr>
                <w:b w:val="0"/>
              </w:rPr>
            </w:pPr>
            <w:r>
              <w:rPr>
                <w:b w:val="0"/>
              </w:rPr>
              <w:t>科目    编码</w:t>
            </w:r>
          </w:p>
        </w:tc>
        <w:tc>
          <w:tcPr>
            <w:tcW w:w="1559" w:type="dxa"/>
            <w:vAlign w:val="center"/>
          </w:tcPr>
          <w:p>
            <w:pPr>
              <w:pStyle w:val="15"/>
              <w:rPr>
                <w:b w:val="0"/>
              </w:rPr>
            </w:pPr>
            <w:r>
              <w:rPr>
                <w:b w:val="0"/>
              </w:rPr>
              <w:t>科目名称</w:t>
            </w:r>
          </w:p>
        </w:tc>
        <w:tc>
          <w:tcPr>
            <w:tcW w:w="1134" w:type="dxa"/>
            <w:vMerge w:val="continue"/>
          </w:tcPr>
          <w:p/>
        </w:tc>
        <w:tc>
          <w:tcPr>
            <w:tcW w:w="1134" w:type="dxa"/>
            <w:vAlign w:val="center"/>
          </w:tcPr>
          <w:p>
            <w:pPr>
              <w:pStyle w:val="15"/>
              <w:rPr>
                <w:b w:val="0"/>
              </w:rPr>
            </w:pPr>
            <w:r>
              <w:rPr>
                <w:b w:val="0"/>
              </w:rPr>
              <w:t>小计</w:t>
            </w:r>
          </w:p>
        </w:tc>
        <w:tc>
          <w:tcPr>
            <w:tcW w:w="1134" w:type="dxa"/>
            <w:vAlign w:val="center"/>
          </w:tcPr>
          <w:p>
            <w:pPr>
              <w:pStyle w:val="15"/>
              <w:rPr>
                <w:b w:val="0"/>
              </w:rPr>
            </w:pPr>
            <w:r>
              <w:rPr>
                <w:b w:val="0"/>
              </w:rPr>
              <w:t>财政拨款 收入</w:t>
            </w:r>
          </w:p>
        </w:tc>
        <w:tc>
          <w:tcPr>
            <w:tcW w:w="1134" w:type="dxa"/>
            <w:vAlign w:val="center"/>
          </w:tcPr>
          <w:p>
            <w:pPr>
              <w:pStyle w:val="15"/>
              <w:rPr>
                <w:b w:val="0"/>
              </w:rPr>
            </w:pPr>
            <w:r>
              <w:rPr>
                <w:b w:val="0"/>
              </w:rPr>
              <w:t>财政专户 收入</w:t>
            </w:r>
          </w:p>
        </w:tc>
        <w:tc>
          <w:tcPr>
            <w:tcW w:w="1134" w:type="dxa"/>
            <w:vAlign w:val="center"/>
          </w:tcPr>
          <w:p>
            <w:pPr>
              <w:pStyle w:val="15"/>
              <w:rPr>
                <w:b w:val="0"/>
              </w:rPr>
            </w:pPr>
            <w:r>
              <w:rPr>
                <w:b w:val="0"/>
              </w:rPr>
              <w:t>事业收入</w:t>
            </w:r>
          </w:p>
        </w:tc>
        <w:tc>
          <w:tcPr>
            <w:tcW w:w="1134" w:type="dxa"/>
            <w:vAlign w:val="center"/>
          </w:tcPr>
          <w:p>
            <w:pPr>
              <w:pStyle w:val="15"/>
              <w:rPr>
                <w:b w:val="0"/>
              </w:rPr>
            </w:pPr>
            <w:r>
              <w:rPr>
                <w:b w:val="0"/>
              </w:rPr>
              <w:t>经营收入</w:t>
            </w:r>
          </w:p>
        </w:tc>
        <w:tc>
          <w:tcPr>
            <w:tcW w:w="1134" w:type="dxa"/>
            <w:vAlign w:val="center"/>
          </w:tcPr>
          <w:p>
            <w:pPr>
              <w:pStyle w:val="15"/>
              <w:rPr>
                <w:b w:val="0"/>
              </w:rPr>
            </w:pPr>
            <w:r>
              <w:rPr>
                <w:b w:val="0"/>
              </w:rPr>
              <w:t>上级补助收入</w:t>
            </w:r>
          </w:p>
        </w:tc>
        <w:tc>
          <w:tcPr>
            <w:tcW w:w="1134" w:type="dxa"/>
            <w:vAlign w:val="center"/>
          </w:tcPr>
          <w:p>
            <w:pPr>
              <w:pStyle w:val="15"/>
              <w:rPr>
                <w:b w:val="0"/>
              </w:rPr>
            </w:pPr>
            <w:r>
              <w:rPr>
                <w:b w:val="0"/>
              </w:rPr>
              <w:t>附属单位上缴收入</w:t>
            </w:r>
          </w:p>
        </w:tc>
        <w:tc>
          <w:tcPr>
            <w:tcW w:w="1134" w:type="dxa"/>
            <w:vAlign w:val="center"/>
          </w:tcPr>
          <w:p>
            <w:pPr>
              <w:pStyle w:val="15"/>
              <w:rPr>
                <w:b w:val="0"/>
              </w:rPr>
            </w:pPr>
            <w:r>
              <w:rPr>
                <w:b w:val="0"/>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rPr>
                <w:b w:val="0"/>
              </w:rPr>
            </w:pPr>
            <w:r>
              <w:rPr>
                <w:b w:val="0"/>
              </w:rPr>
              <w:t>栏次</w:t>
            </w:r>
          </w:p>
        </w:tc>
        <w:tc>
          <w:tcPr>
            <w:tcW w:w="992" w:type="dxa"/>
            <w:vAlign w:val="center"/>
          </w:tcPr>
          <w:p>
            <w:pPr>
              <w:pStyle w:val="15"/>
              <w:rPr>
                <w:b w:val="0"/>
              </w:rPr>
            </w:pPr>
            <w:r>
              <w:rPr>
                <w:b w:val="0"/>
              </w:rPr>
              <w:t>1</w:t>
            </w:r>
          </w:p>
        </w:tc>
        <w:tc>
          <w:tcPr>
            <w:tcW w:w="1559" w:type="dxa"/>
            <w:vAlign w:val="center"/>
          </w:tcPr>
          <w:p>
            <w:pPr>
              <w:pStyle w:val="15"/>
              <w:rPr>
                <w:b w:val="0"/>
              </w:rPr>
            </w:pPr>
            <w:r>
              <w:rPr>
                <w:b w:val="0"/>
              </w:rPr>
              <w:t>2</w:t>
            </w:r>
          </w:p>
        </w:tc>
        <w:tc>
          <w:tcPr>
            <w:tcW w:w="1134" w:type="dxa"/>
            <w:vAlign w:val="center"/>
          </w:tcPr>
          <w:p>
            <w:pPr>
              <w:pStyle w:val="15"/>
              <w:rPr>
                <w:b w:val="0"/>
              </w:rPr>
            </w:pPr>
            <w:r>
              <w:rPr>
                <w:b w:val="0"/>
              </w:rPr>
              <w:t>3</w:t>
            </w:r>
          </w:p>
        </w:tc>
        <w:tc>
          <w:tcPr>
            <w:tcW w:w="1134" w:type="dxa"/>
            <w:vAlign w:val="center"/>
          </w:tcPr>
          <w:p>
            <w:pPr>
              <w:pStyle w:val="15"/>
              <w:rPr>
                <w:b w:val="0"/>
              </w:rPr>
            </w:pPr>
            <w:r>
              <w:rPr>
                <w:b w:val="0"/>
              </w:rPr>
              <w:t>4</w:t>
            </w:r>
          </w:p>
        </w:tc>
        <w:tc>
          <w:tcPr>
            <w:tcW w:w="1134" w:type="dxa"/>
            <w:vAlign w:val="center"/>
          </w:tcPr>
          <w:p>
            <w:pPr>
              <w:pStyle w:val="15"/>
              <w:rPr>
                <w:b w:val="0"/>
              </w:rPr>
            </w:pPr>
            <w:r>
              <w:rPr>
                <w:b w:val="0"/>
              </w:rPr>
              <w:t>5</w:t>
            </w:r>
          </w:p>
        </w:tc>
        <w:tc>
          <w:tcPr>
            <w:tcW w:w="1134" w:type="dxa"/>
            <w:vAlign w:val="center"/>
          </w:tcPr>
          <w:p>
            <w:pPr>
              <w:pStyle w:val="15"/>
              <w:rPr>
                <w:b w:val="0"/>
              </w:rPr>
            </w:pPr>
            <w:r>
              <w:rPr>
                <w:b w:val="0"/>
              </w:rPr>
              <w:t>6</w:t>
            </w:r>
          </w:p>
        </w:tc>
        <w:tc>
          <w:tcPr>
            <w:tcW w:w="1134" w:type="dxa"/>
            <w:vAlign w:val="center"/>
          </w:tcPr>
          <w:p>
            <w:pPr>
              <w:pStyle w:val="15"/>
              <w:rPr>
                <w:b w:val="0"/>
              </w:rPr>
            </w:pPr>
            <w:r>
              <w:rPr>
                <w:b w:val="0"/>
              </w:rPr>
              <w:t>7</w:t>
            </w:r>
          </w:p>
        </w:tc>
        <w:tc>
          <w:tcPr>
            <w:tcW w:w="1134" w:type="dxa"/>
            <w:vAlign w:val="center"/>
          </w:tcPr>
          <w:p>
            <w:pPr>
              <w:pStyle w:val="15"/>
              <w:rPr>
                <w:b w:val="0"/>
              </w:rPr>
            </w:pPr>
            <w:r>
              <w:rPr>
                <w:b w:val="0"/>
              </w:rPr>
              <w:t>8</w:t>
            </w:r>
          </w:p>
        </w:tc>
        <w:tc>
          <w:tcPr>
            <w:tcW w:w="1134" w:type="dxa"/>
            <w:vAlign w:val="center"/>
          </w:tcPr>
          <w:p>
            <w:pPr>
              <w:pStyle w:val="15"/>
              <w:rPr>
                <w:b w:val="0"/>
              </w:rPr>
            </w:pPr>
            <w:r>
              <w:rPr>
                <w:b w:val="0"/>
              </w:rPr>
              <w:t>9</w:t>
            </w:r>
          </w:p>
        </w:tc>
        <w:tc>
          <w:tcPr>
            <w:tcW w:w="1134" w:type="dxa"/>
            <w:vAlign w:val="center"/>
          </w:tcPr>
          <w:p>
            <w:pPr>
              <w:pStyle w:val="15"/>
              <w:rPr>
                <w:b w:val="0"/>
              </w:rPr>
            </w:pPr>
            <w:r>
              <w:rPr>
                <w:b w:val="0"/>
              </w:rPr>
              <w:t>10</w:t>
            </w:r>
          </w:p>
        </w:tc>
        <w:tc>
          <w:tcPr>
            <w:tcW w:w="1134" w:type="dxa"/>
            <w:vAlign w:val="center"/>
          </w:tcPr>
          <w:p>
            <w:pPr>
              <w:pStyle w:val="15"/>
              <w:rPr>
                <w:b w:val="0"/>
              </w:rPr>
            </w:pPr>
            <w:r>
              <w:rPr>
                <w:b w:val="0"/>
              </w:rPr>
              <w:t>11</w:t>
            </w:r>
          </w:p>
        </w:tc>
        <w:tc>
          <w:tcPr>
            <w:tcW w:w="1134" w:type="dxa"/>
            <w:vAlign w:val="center"/>
          </w:tcPr>
          <w:p>
            <w:pPr>
              <w:pStyle w:val="15"/>
              <w:rPr>
                <w:b w:val="0"/>
              </w:rPr>
            </w:pPr>
            <w:r>
              <w:rPr>
                <w:b w:val="0"/>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rPr>
                <w:b w:val="0"/>
              </w:rPr>
            </w:pPr>
          </w:p>
        </w:tc>
        <w:tc>
          <w:tcPr>
            <w:tcW w:w="1559" w:type="dxa"/>
            <w:vAlign w:val="center"/>
          </w:tcPr>
          <w:p>
            <w:pPr>
              <w:pStyle w:val="19"/>
              <w:rPr>
                <w:b w:val="0"/>
              </w:rPr>
            </w:pPr>
            <w:r>
              <w:rPr>
                <w:b w:val="0"/>
              </w:rPr>
              <w:t>合计</w:t>
            </w:r>
          </w:p>
        </w:tc>
        <w:tc>
          <w:tcPr>
            <w:tcW w:w="1134" w:type="dxa"/>
            <w:vAlign w:val="center"/>
          </w:tcPr>
          <w:p>
            <w:pPr>
              <w:pStyle w:val="20"/>
              <w:rPr>
                <w:b w:val="0"/>
              </w:rPr>
            </w:pPr>
            <w:r>
              <w:rPr>
                <w:b w:val="0"/>
              </w:rPr>
              <w:t>1426.09</w:t>
            </w:r>
          </w:p>
        </w:tc>
        <w:tc>
          <w:tcPr>
            <w:tcW w:w="1134" w:type="dxa"/>
            <w:vAlign w:val="center"/>
          </w:tcPr>
          <w:p>
            <w:pPr>
              <w:pStyle w:val="20"/>
              <w:rPr>
                <w:b w:val="0"/>
              </w:rPr>
            </w:pPr>
            <w:r>
              <w:rPr>
                <w:b w:val="0"/>
              </w:rPr>
              <w:t>1426.09</w:t>
            </w:r>
          </w:p>
        </w:tc>
        <w:tc>
          <w:tcPr>
            <w:tcW w:w="1134" w:type="dxa"/>
            <w:vAlign w:val="center"/>
          </w:tcPr>
          <w:p>
            <w:pPr>
              <w:pStyle w:val="20"/>
              <w:rPr>
                <w:b w:val="0"/>
              </w:rPr>
            </w:pPr>
            <w:r>
              <w:rPr>
                <w:b w:val="0"/>
              </w:rPr>
              <w:t>1426.09</w:t>
            </w:r>
          </w:p>
        </w:tc>
        <w:tc>
          <w:tcPr>
            <w:tcW w:w="1134" w:type="dxa"/>
            <w:vAlign w:val="center"/>
          </w:tcPr>
          <w:p>
            <w:pPr>
              <w:pStyle w:val="20"/>
              <w:rPr>
                <w:b w:val="0"/>
              </w:rPr>
            </w:pPr>
          </w:p>
        </w:tc>
        <w:tc>
          <w:tcPr>
            <w:tcW w:w="1134" w:type="dxa"/>
            <w:vAlign w:val="center"/>
          </w:tcPr>
          <w:p>
            <w:pPr>
              <w:pStyle w:val="20"/>
              <w:rPr>
                <w:b w:val="0"/>
              </w:rPr>
            </w:pPr>
          </w:p>
        </w:tc>
        <w:tc>
          <w:tcPr>
            <w:tcW w:w="1134" w:type="dxa"/>
            <w:vAlign w:val="center"/>
          </w:tcPr>
          <w:p>
            <w:pPr>
              <w:pStyle w:val="20"/>
              <w:rPr>
                <w:b w:val="0"/>
              </w:rPr>
            </w:pPr>
          </w:p>
        </w:tc>
        <w:tc>
          <w:tcPr>
            <w:tcW w:w="1134" w:type="dxa"/>
            <w:vAlign w:val="center"/>
          </w:tcPr>
          <w:p>
            <w:pPr>
              <w:pStyle w:val="20"/>
              <w:rPr>
                <w:b w:val="0"/>
              </w:rPr>
            </w:pPr>
          </w:p>
        </w:tc>
        <w:tc>
          <w:tcPr>
            <w:tcW w:w="1134" w:type="dxa"/>
            <w:vAlign w:val="center"/>
          </w:tcPr>
          <w:p>
            <w:pPr>
              <w:pStyle w:val="20"/>
              <w:rPr>
                <w:b w:val="0"/>
              </w:rPr>
            </w:pPr>
          </w:p>
        </w:tc>
        <w:tc>
          <w:tcPr>
            <w:tcW w:w="1134" w:type="dxa"/>
            <w:vAlign w:val="center"/>
          </w:tcPr>
          <w:p>
            <w:pPr>
              <w:pStyle w:val="20"/>
              <w:rPr>
                <w:b w:val="0"/>
              </w:rPr>
            </w:pPr>
          </w:p>
        </w:tc>
        <w:tc>
          <w:tcPr>
            <w:tcW w:w="1134" w:type="dxa"/>
            <w:vAlign w:val="center"/>
          </w:tcPr>
          <w:p>
            <w:pPr>
              <w:pStyle w:val="20"/>
              <w:rPr>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1012.27</w:t>
            </w:r>
          </w:p>
        </w:tc>
        <w:tc>
          <w:tcPr>
            <w:tcW w:w="1134" w:type="dxa"/>
            <w:vAlign w:val="center"/>
          </w:tcPr>
          <w:p>
            <w:pPr>
              <w:pStyle w:val="16"/>
            </w:pPr>
            <w:r>
              <w:t>1012.27</w:t>
            </w:r>
          </w:p>
        </w:tc>
        <w:tc>
          <w:tcPr>
            <w:tcW w:w="1134" w:type="dxa"/>
            <w:vAlign w:val="center"/>
          </w:tcPr>
          <w:p>
            <w:pPr>
              <w:pStyle w:val="16"/>
            </w:pPr>
            <w:r>
              <w:t>1012.27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20101</w:t>
            </w:r>
          </w:p>
        </w:tc>
        <w:tc>
          <w:tcPr>
            <w:tcW w:w="1559" w:type="dxa"/>
            <w:vAlign w:val="center"/>
          </w:tcPr>
          <w:p>
            <w:pPr>
              <w:pStyle w:val="17"/>
            </w:pPr>
            <w:r>
              <w:t>人大事务</w:t>
            </w:r>
          </w:p>
        </w:tc>
        <w:tc>
          <w:tcPr>
            <w:tcW w:w="1134" w:type="dxa"/>
            <w:vAlign w:val="center"/>
          </w:tcPr>
          <w:p>
            <w:pPr>
              <w:pStyle w:val="16"/>
            </w:pPr>
            <w:r>
              <w:t>1012.27</w:t>
            </w:r>
          </w:p>
        </w:tc>
        <w:tc>
          <w:tcPr>
            <w:tcW w:w="1134" w:type="dxa"/>
            <w:vAlign w:val="center"/>
          </w:tcPr>
          <w:p>
            <w:pPr>
              <w:pStyle w:val="16"/>
            </w:pPr>
            <w:r>
              <w:t>1012.27</w:t>
            </w:r>
          </w:p>
        </w:tc>
        <w:tc>
          <w:tcPr>
            <w:tcW w:w="1134" w:type="dxa"/>
            <w:vAlign w:val="center"/>
          </w:tcPr>
          <w:p>
            <w:pPr>
              <w:pStyle w:val="16"/>
            </w:pPr>
            <w:r>
              <w:t>1012.27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2010101</w:t>
            </w:r>
          </w:p>
        </w:tc>
        <w:tc>
          <w:tcPr>
            <w:tcW w:w="1559" w:type="dxa"/>
            <w:vAlign w:val="center"/>
          </w:tcPr>
          <w:p>
            <w:pPr>
              <w:pStyle w:val="17"/>
            </w:pPr>
            <w:r>
              <w:t>行政运行</w:t>
            </w:r>
          </w:p>
        </w:tc>
        <w:tc>
          <w:tcPr>
            <w:tcW w:w="1134" w:type="dxa"/>
            <w:vAlign w:val="center"/>
          </w:tcPr>
          <w:p>
            <w:pPr>
              <w:pStyle w:val="16"/>
            </w:pPr>
            <w:r>
              <w:t>937.27</w:t>
            </w:r>
          </w:p>
        </w:tc>
        <w:tc>
          <w:tcPr>
            <w:tcW w:w="1134" w:type="dxa"/>
            <w:vAlign w:val="center"/>
          </w:tcPr>
          <w:p>
            <w:pPr>
              <w:pStyle w:val="16"/>
            </w:pPr>
            <w:r>
              <w:t>937.27</w:t>
            </w:r>
          </w:p>
        </w:tc>
        <w:tc>
          <w:tcPr>
            <w:tcW w:w="1134" w:type="dxa"/>
            <w:vAlign w:val="center"/>
          </w:tcPr>
          <w:p>
            <w:pPr>
              <w:pStyle w:val="16"/>
            </w:pPr>
            <w:r>
              <w:t>937.27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2010104</w:t>
            </w:r>
          </w:p>
        </w:tc>
        <w:tc>
          <w:tcPr>
            <w:tcW w:w="1559" w:type="dxa"/>
            <w:vAlign w:val="center"/>
          </w:tcPr>
          <w:p>
            <w:pPr>
              <w:pStyle w:val="17"/>
            </w:pPr>
            <w:r>
              <w:t>人大会议</w:t>
            </w:r>
          </w:p>
        </w:tc>
        <w:tc>
          <w:tcPr>
            <w:tcW w:w="1134" w:type="dxa"/>
            <w:vAlign w:val="center"/>
          </w:tcPr>
          <w:p>
            <w:pPr>
              <w:pStyle w:val="16"/>
            </w:pPr>
            <w:r>
              <w:t>40.00</w:t>
            </w:r>
          </w:p>
        </w:tc>
        <w:tc>
          <w:tcPr>
            <w:tcW w:w="1134" w:type="dxa"/>
            <w:vAlign w:val="center"/>
          </w:tcPr>
          <w:p>
            <w:pPr>
              <w:pStyle w:val="16"/>
            </w:pPr>
            <w:r>
              <w:t>40.00</w:t>
            </w:r>
          </w:p>
        </w:tc>
        <w:tc>
          <w:tcPr>
            <w:tcW w:w="1134" w:type="dxa"/>
            <w:vAlign w:val="center"/>
          </w:tcPr>
          <w:p>
            <w:pPr>
              <w:pStyle w:val="16"/>
            </w:pPr>
            <w:r>
              <w:t>40.00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2010107</w:t>
            </w:r>
          </w:p>
        </w:tc>
        <w:tc>
          <w:tcPr>
            <w:tcW w:w="1559" w:type="dxa"/>
            <w:vAlign w:val="center"/>
          </w:tcPr>
          <w:p>
            <w:pPr>
              <w:pStyle w:val="17"/>
            </w:pPr>
            <w:r>
              <w:t>人大代表履职能力提升</w:t>
            </w:r>
          </w:p>
        </w:tc>
        <w:tc>
          <w:tcPr>
            <w:tcW w:w="1134" w:type="dxa"/>
            <w:vAlign w:val="center"/>
          </w:tcPr>
          <w:p>
            <w:pPr>
              <w:pStyle w:val="16"/>
            </w:pPr>
            <w:r>
              <w:t>35.00</w:t>
            </w:r>
          </w:p>
        </w:tc>
        <w:tc>
          <w:tcPr>
            <w:tcW w:w="1134" w:type="dxa"/>
            <w:vAlign w:val="center"/>
          </w:tcPr>
          <w:p>
            <w:pPr>
              <w:pStyle w:val="16"/>
            </w:pPr>
            <w:r>
              <w:t>35.00</w:t>
            </w:r>
          </w:p>
        </w:tc>
        <w:tc>
          <w:tcPr>
            <w:tcW w:w="1134" w:type="dxa"/>
            <w:vAlign w:val="center"/>
          </w:tcPr>
          <w:p>
            <w:pPr>
              <w:pStyle w:val="16"/>
            </w:pPr>
            <w:r>
              <w:t>35.00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311.79</w:t>
            </w:r>
          </w:p>
        </w:tc>
        <w:tc>
          <w:tcPr>
            <w:tcW w:w="1134" w:type="dxa"/>
            <w:vAlign w:val="center"/>
          </w:tcPr>
          <w:p>
            <w:pPr>
              <w:pStyle w:val="16"/>
            </w:pPr>
            <w:r>
              <w:t>311.79</w:t>
            </w:r>
          </w:p>
        </w:tc>
        <w:tc>
          <w:tcPr>
            <w:tcW w:w="1134" w:type="dxa"/>
            <w:vAlign w:val="center"/>
          </w:tcPr>
          <w:p>
            <w:pPr>
              <w:pStyle w:val="16"/>
            </w:pPr>
            <w:r>
              <w:t>311.79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311.79</w:t>
            </w:r>
          </w:p>
        </w:tc>
        <w:tc>
          <w:tcPr>
            <w:tcW w:w="1134" w:type="dxa"/>
            <w:vAlign w:val="center"/>
          </w:tcPr>
          <w:p>
            <w:pPr>
              <w:pStyle w:val="16"/>
            </w:pPr>
            <w:r>
              <w:t>311.79</w:t>
            </w:r>
          </w:p>
        </w:tc>
        <w:tc>
          <w:tcPr>
            <w:tcW w:w="1134" w:type="dxa"/>
            <w:vAlign w:val="center"/>
          </w:tcPr>
          <w:p>
            <w:pPr>
              <w:pStyle w:val="16"/>
            </w:pPr>
            <w:r>
              <w:t>311.79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220.26</w:t>
            </w:r>
          </w:p>
        </w:tc>
        <w:tc>
          <w:tcPr>
            <w:tcW w:w="1134" w:type="dxa"/>
            <w:vAlign w:val="center"/>
          </w:tcPr>
          <w:p>
            <w:pPr>
              <w:pStyle w:val="16"/>
            </w:pPr>
            <w:r>
              <w:t>220.26</w:t>
            </w:r>
          </w:p>
        </w:tc>
        <w:tc>
          <w:tcPr>
            <w:tcW w:w="1134" w:type="dxa"/>
            <w:vAlign w:val="center"/>
          </w:tcPr>
          <w:p>
            <w:pPr>
              <w:pStyle w:val="16"/>
            </w:pPr>
            <w:r>
              <w:t>220.26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91.53</w:t>
            </w:r>
          </w:p>
        </w:tc>
        <w:tc>
          <w:tcPr>
            <w:tcW w:w="1134" w:type="dxa"/>
            <w:vAlign w:val="center"/>
          </w:tcPr>
          <w:p>
            <w:pPr>
              <w:pStyle w:val="16"/>
            </w:pPr>
            <w:r>
              <w:t>91.53</w:t>
            </w:r>
          </w:p>
        </w:tc>
        <w:tc>
          <w:tcPr>
            <w:tcW w:w="1134" w:type="dxa"/>
            <w:vAlign w:val="center"/>
          </w:tcPr>
          <w:p>
            <w:pPr>
              <w:pStyle w:val="16"/>
            </w:pPr>
            <w:r>
              <w:t>91.53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27.38</w:t>
            </w:r>
          </w:p>
        </w:tc>
        <w:tc>
          <w:tcPr>
            <w:tcW w:w="1134" w:type="dxa"/>
            <w:vAlign w:val="center"/>
          </w:tcPr>
          <w:p>
            <w:pPr>
              <w:pStyle w:val="16"/>
            </w:pPr>
            <w:r>
              <w:t>27.38</w:t>
            </w:r>
          </w:p>
        </w:tc>
        <w:tc>
          <w:tcPr>
            <w:tcW w:w="1134" w:type="dxa"/>
            <w:vAlign w:val="center"/>
          </w:tcPr>
          <w:p>
            <w:pPr>
              <w:pStyle w:val="16"/>
            </w:pPr>
            <w:r>
              <w:t>27.38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27.38</w:t>
            </w:r>
          </w:p>
        </w:tc>
        <w:tc>
          <w:tcPr>
            <w:tcW w:w="1134" w:type="dxa"/>
            <w:vAlign w:val="center"/>
          </w:tcPr>
          <w:p>
            <w:pPr>
              <w:pStyle w:val="16"/>
            </w:pPr>
            <w:r>
              <w:t>27.38</w:t>
            </w:r>
          </w:p>
        </w:tc>
        <w:tc>
          <w:tcPr>
            <w:tcW w:w="1134" w:type="dxa"/>
            <w:vAlign w:val="center"/>
          </w:tcPr>
          <w:p>
            <w:pPr>
              <w:pStyle w:val="16"/>
            </w:pPr>
            <w:r>
              <w:t>27.38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27.38</w:t>
            </w:r>
          </w:p>
        </w:tc>
        <w:tc>
          <w:tcPr>
            <w:tcW w:w="1134" w:type="dxa"/>
            <w:vAlign w:val="center"/>
          </w:tcPr>
          <w:p>
            <w:pPr>
              <w:pStyle w:val="16"/>
            </w:pPr>
            <w:r>
              <w:t>27.38</w:t>
            </w:r>
          </w:p>
        </w:tc>
        <w:tc>
          <w:tcPr>
            <w:tcW w:w="1134" w:type="dxa"/>
            <w:vAlign w:val="center"/>
          </w:tcPr>
          <w:p>
            <w:pPr>
              <w:pStyle w:val="16"/>
            </w:pPr>
            <w:r>
              <w:t>27.38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74.64</w:t>
            </w:r>
          </w:p>
        </w:tc>
        <w:tc>
          <w:tcPr>
            <w:tcW w:w="1134" w:type="dxa"/>
            <w:vAlign w:val="center"/>
          </w:tcPr>
          <w:p>
            <w:pPr>
              <w:pStyle w:val="16"/>
            </w:pPr>
            <w:r>
              <w:t>74.64</w:t>
            </w:r>
          </w:p>
        </w:tc>
        <w:tc>
          <w:tcPr>
            <w:tcW w:w="1134" w:type="dxa"/>
            <w:vAlign w:val="center"/>
          </w:tcPr>
          <w:p>
            <w:pPr>
              <w:pStyle w:val="16"/>
            </w:pPr>
            <w:r>
              <w:t>74.64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74.64</w:t>
            </w:r>
          </w:p>
        </w:tc>
        <w:tc>
          <w:tcPr>
            <w:tcW w:w="1134" w:type="dxa"/>
            <w:vAlign w:val="center"/>
          </w:tcPr>
          <w:p>
            <w:pPr>
              <w:pStyle w:val="16"/>
            </w:pPr>
            <w:r>
              <w:t>74.64</w:t>
            </w:r>
          </w:p>
        </w:tc>
        <w:tc>
          <w:tcPr>
            <w:tcW w:w="1134" w:type="dxa"/>
            <w:vAlign w:val="center"/>
          </w:tcPr>
          <w:p>
            <w:pPr>
              <w:pStyle w:val="16"/>
            </w:pPr>
            <w:r>
              <w:t>74.64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74.64</w:t>
            </w:r>
          </w:p>
        </w:tc>
        <w:tc>
          <w:tcPr>
            <w:tcW w:w="1134" w:type="dxa"/>
            <w:vAlign w:val="center"/>
          </w:tcPr>
          <w:p>
            <w:pPr>
              <w:pStyle w:val="16"/>
            </w:pPr>
            <w:r>
              <w:t>74.64</w:t>
            </w:r>
          </w:p>
        </w:tc>
        <w:tc>
          <w:tcPr>
            <w:tcW w:w="1134" w:type="dxa"/>
            <w:vAlign w:val="center"/>
          </w:tcPr>
          <w:p>
            <w:pPr>
              <w:pStyle w:val="16"/>
            </w:pPr>
            <w:r>
              <w:t>74.64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101001廊坊市广阳区人民代表大会常务委员会本级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b w:val="0"/>
              </w:rPr>
            </w:pPr>
            <w:r>
              <w:rPr>
                <w:b w:val="0"/>
              </w:rPr>
              <w:t>序号</w:t>
            </w:r>
          </w:p>
        </w:tc>
        <w:tc>
          <w:tcPr>
            <w:tcW w:w="5528" w:type="dxa"/>
            <w:gridSpan w:val="2"/>
            <w:vAlign w:val="center"/>
          </w:tcPr>
          <w:p>
            <w:pPr>
              <w:pStyle w:val="15"/>
              <w:rPr>
                <w:b w:val="0"/>
              </w:rPr>
            </w:pPr>
            <w:r>
              <w:rPr>
                <w:b w:val="0"/>
              </w:rPr>
              <w:t>功能分类科目</w:t>
            </w:r>
          </w:p>
        </w:tc>
        <w:tc>
          <w:tcPr>
            <w:tcW w:w="1361" w:type="dxa"/>
            <w:vMerge w:val="restart"/>
            <w:vAlign w:val="center"/>
          </w:tcPr>
          <w:p>
            <w:pPr>
              <w:pStyle w:val="15"/>
              <w:rPr>
                <w:b w:val="0"/>
              </w:rPr>
            </w:pPr>
            <w:r>
              <w:rPr>
                <w:b w:val="0"/>
              </w:rPr>
              <w:t>合计</w:t>
            </w:r>
          </w:p>
        </w:tc>
        <w:tc>
          <w:tcPr>
            <w:tcW w:w="1361" w:type="dxa"/>
            <w:vMerge w:val="restart"/>
            <w:vAlign w:val="center"/>
          </w:tcPr>
          <w:p>
            <w:pPr>
              <w:pStyle w:val="15"/>
              <w:rPr>
                <w:b w:val="0"/>
              </w:rPr>
            </w:pPr>
            <w:r>
              <w:rPr>
                <w:b w:val="0"/>
              </w:rPr>
              <w:t>基本支出</w:t>
            </w:r>
          </w:p>
        </w:tc>
        <w:tc>
          <w:tcPr>
            <w:tcW w:w="1361" w:type="dxa"/>
            <w:vMerge w:val="restart"/>
            <w:vAlign w:val="center"/>
          </w:tcPr>
          <w:p>
            <w:pPr>
              <w:pStyle w:val="15"/>
              <w:rPr>
                <w:b w:val="0"/>
              </w:rPr>
            </w:pPr>
            <w:r>
              <w:rPr>
                <w:b w:val="0"/>
              </w:rPr>
              <w:t>项目支出</w:t>
            </w:r>
          </w:p>
        </w:tc>
        <w:tc>
          <w:tcPr>
            <w:tcW w:w="1361" w:type="dxa"/>
            <w:vMerge w:val="restart"/>
            <w:vAlign w:val="center"/>
          </w:tcPr>
          <w:p>
            <w:pPr>
              <w:pStyle w:val="15"/>
              <w:rPr>
                <w:b w:val="0"/>
              </w:rPr>
            </w:pPr>
            <w:r>
              <w:rPr>
                <w:b w:val="0"/>
              </w:rPr>
              <w:t>经营支出</w:t>
            </w:r>
          </w:p>
        </w:tc>
        <w:tc>
          <w:tcPr>
            <w:tcW w:w="1361" w:type="dxa"/>
            <w:vMerge w:val="restart"/>
            <w:vAlign w:val="center"/>
          </w:tcPr>
          <w:p>
            <w:pPr>
              <w:pStyle w:val="15"/>
              <w:rPr>
                <w:b w:val="0"/>
              </w:rPr>
            </w:pPr>
            <w:r>
              <w:rPr>
                <w:b w:val="0"/>
              </w:rPr>
              <w:t>上解上级     支出</w:t>
            </w:r>
          </w:p>
        </w:tc>
        <w:tc>
          <w:tcPr>
            <w:tcW w:w="1361" w:type="dxa"/>
            <w:vMerge w:val="restart"/>
            <w:vAlign w:val="center"/>
          </w:tcPr>
          <w:p>
            <w:pPr>
              <w:pStyle w:val="15"/>
              <w:rPr>
                <w:b w:val="0"/>
              </w:rPr>
            </w:pPr>
            <w:r>
              <w:rPr>
                <w:b w:val="0"/>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rPr>
                <w:b w:val="0"/>
              </w:rPr>
            </w:pPr>
            <w:r>
              <w:rPr>
                <w:b w:val="0"/>
              </w:rPr>
              <w:t>科目    编码</w:t>
            </w:r>
          </w:p>
        </w:tc>
        <w:tc>
          <w:tcPr>
            <w:tcW w:w="4535" w:type="dxa"/>
            <w:vAlign w:val="center"/>
          </w:tcPr>
          <w:p>
            <w:pPr>
              <w:pStyle w:val="15"/>
              <w:rPr>
                <w:b w:val="0"/>
              </w:rPr>
            </w:pPr>
            <w:r>
              <w:rPr>
                <w:b w:val="0"/>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b w:val="0"/>
              </w:rPr>
            </w:pPr>
            <w:r>
              <w:rPr>
                <w:b w:val="0"/>
              </w:rPr>
              <w:t>栏次</w:t>
            </w:r>
          </w:p>
        </w:tc>
        <w:tc>
          <w:tcPr>
            <w:tcW w:w="992" w:type="dxa"/>
            <w:vAlign w:val="center"/>
          </w:tcPr>
          <w:p>
            <w:pPr>
              <w:pStyle w:val="15"/>
              <w:rPr>
                <w:b w:val="0"/>
              </w:rPr>
            </w:pPr>
            <w:r>
              <w:rPr>
                <w:b w:val="0"/>
              </w:rPr>
              <w:t>1</w:t>
            </w:r>
          </w:p>
        </w:tc>
        <w:tc>
          <w:tcPr>
            <w:tcW w:w="4535" w:type="dxa"/>
            <w:vAlign w:val="center"/>
          </w:tcPr>
          <w:p>
            <w:pPr>
              <w:pStyle w:val="15"/>
              <w:rPr>
                <w:b w:val="0"/>
              </w:rPr>
            </w:pPr>
            <w:r>
              <w:rPr>
                <w:b w:val="0"/>
              </w:rPr>
              <w:t>2</w:t>
            </w:r>
          </w:p>
        </w:tc>
        <w:tc>
          <w:tcPr>
            <w:tcW w:w="1361" w:type="dxa"/>
            <w:vAlign w:val="center"/>
          </w:tcPr>
          <w:p>
            <w:pPr>
              <w:pStyle w:val="15"/>
              <w:rPr>
                <w:b w:val="0"/>
              </w:rPr>
            </w:pPr>
            <w:r>
              <w:rPr>
                <w:b w:val="0"/>
              </w:rPr>
              <w:t>3</w:t>
            </w:r>
          </w:p>
        </w:tc>
        <w:tc>
          <w:tcPr>
            <w:tcW w:w="1361" w:type="dxa"/>
            <w:vAlign w:val="center"/>
          </w:tcPr>
          <w:p>
            <w:pPr>
              <w:pStyle w:val="15"/>
              <w:rPr>
                <w:b w:val="0"/>
              </w:rPr>
            </w:pPr>
            <w:r>
              <w:rPr>
                <w:b w:val="0"/>
              </w:rPr>
              <w:t>4</w:t>
            </w:r>
          </w:p>
        </w:tc>
        <w:tc>
          <w:tcPr>
            <w:tcW w:w="1361" w:type="dxa"/>
            <w:vAlign w:val="center"/>
          </w:tcPr>
          <w:p>
            <w:pPr>
              <w:pStyle w:val="15"/>
              <w:rPr>
                <w:b w:val="0"/>
              </w:rPr>
            </w:pPr>
            <w:r>
              <w:rPr>
                <w:b w:val="0"/>
              </w:rPr>
              <w:t>5</w:t>
            </w:r>
          </w:p>
        </w:tc>
        <w:tc>
          <w:tcPr>
            <w:tcW w:w="1361" w:type="dxa"/>
            <w:vAlign w:val="center"/>
          </w:tcPr>
          <w:p>
            <w:pPr>
              <w:pStyle w:val="15"/>
              <w:rPr>
                <w:b w:val="0"/>
              </w:rPr>
            </w:pPr>
            <w:r>
              <w:rPr>
                <w:b w:val="0"/>
              </w:rPr>
              <w:t>6</w:t>
            </w:r>
          </w:p>
        </w:tc>
        <w:tc>
          <w:tcPr>
            <w:tcW w:w="1361" w:type="dxa"/>
            <w:vAlign w:val="center"/>
          </w:tcPr>
          <w:p>
            <w:pPr>
              <w:pStyle w:val="15"/>
              <w:rPr>
                <w:b w:val="0"/>
              </w:rPr>
            </w:pPr>
            <w:r>
              <w:rPr>
                <w:b w:val="0"/>
              </w:rPr>
              <w:t>7</w:t>
            </w:r>
          </w:p>
        </w:tc>
        <w:tc>
          <w:tcPr>
            <w:tcW w:w="1361" w:type="dxa"/>
            <w:vAlign w:val="center"/>
          </w:tcPr>
          <w:p>
            <w:pPr>
              <w:pStyle w:val="15"/>
              <w:rPr>
                <w:b w:val="0"/>
              </w:rPr>
            </w:pPr>
            <w:r>
              <w:rPr>
                <w:b w:val="0"/>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rPr>
                <w:b w:val="0"/>
              </w:rPr>
            </w:pPr>
          </w:p>
        </w:tc>
        <w:tc>
          <w:tcPr>
            <w:tcW w:w="4535" w:type="dxa"/>
            <w:vAlign w:val="center"/>
          </w:tcPr>
          <w:p>
            <w:pPr>
              <w:pStyle w:val="19"/>
              <w:rPr>
                <w:b w:val="0"/>
              </w:rPr>
            </w:pPr>
            <w:r>
              <w:rPr>
                <w:b w:val="0"/>
              </w:rPr>
              <w:t>合计</w:t>
            </w:r>
          </w:p>
        </w:tc>
        <w:tc>
          <w:tcPr>
            <w:tcW w:w="1361" w:type="dxa"/>
            <w:vAlign w:val="center"/>
          </w:tcPr>
          <w:p>
            <w:pPr>
              <w:pStyle w:val="20"/>
              <w:rPr>
                <w:b w:val="0"/>
              </w:rPr>
            </w:pPr>
            <w:r>
              <w:rPr>
                <w:b w:val="0"/>
              </w:rPr>
              <w:t>1426.09</w:t>
            </w:r>
          </w:p>
        </w:tc>
        <w:tc>
          <w:tcPr>
            <w:tcW w:w="1361" w:type="dxa"/>
            <w:vAlign w:val="center"/>
          </w:tcPr>
          <w:p>
            <w:pPr>
              <w:pStyle w:val="20"/>
              <w:rPr>
                <w:b w:val="0"/>
              </w:rPr>
            </w:pPr>
            <w:r>
              <w:rPr>
                <w:b w:val="0"/>
              </w:rPr>
              <w:t>1322.59</w:t>
            </w:r>
          </w:p>
        </w:tc>
        <w:tc>
          <w:tcPr>
            <w:tcW w:w="1361" w:type="dxa"/>
            <w:vAlign w:val="center"/>
          </w:tcPr>
          <w:p>
            <w:pPr>
              <w:pStyle w:val="20"/>
              <w:rPr>
                <w:b w:val="0"/>
              </w:rPr>
            </w:pPr>
            <w:r>
              <w:rPr>
                <w:b w:val="0"/>
              </w:rPr>
              <w:t>103.50</w:t>
            </w:r>
          </w:p>
        </w:tc>
        <w:tc>
          <w:tcPr>
            <w:tcW w:w="1361" w:type="dxa"/>
            <w:vAlign w:val="center"/>
          </w:tcPr>
          <w:p>
            <w:pPr>
              <w:pStyle w:val="20"/>
              <w:rPr>
                <w:b w:val="0"/>
              </w:rPr>
            </w:pPr>
          </w:p>
        </w:tc>
        <w:tc>
          <w:tcPr>
            <w:tcW w:w="1361" w:type="dxa"/>
            <w:vAlign w:val="center"/>
          </w:tcPr>
          <w:p>
            <w:pPr>
              <w:pStyle w:val="20"/>
              <w:rPr>
                <w:b w:val="0"/>
              </w:rPr>
            </w:pPr>
          </w:p>
        </w:tc>
        <w:tc>
          <w:tcPr>
            <w:tcW w:w="1361" w:type="dxa"/>
            <w:vAlign w:val="center"/>
          </w:tcPr>
          <w:p>
            <w:pPr>
              <w:pStyle w:val="20"/>
              <w:rPr>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1012.27</w:t>
            </w:r>
          </w:p>
        </w:tc>
        <w:tc>
          <w:tcPr>
            <w:tcW w:w="1361" w:type="dxa"/>
            <w:vAlign w:val="center"/>
          </w:tcPr>
          <w:p>
            <w:pPr>
              <w:pStyle w:val="16"/>
            </w:pPr>
            <w:r>
              <w:t>908.77</w:t>
            </w:r>
          </w:p>
        </w:tc>
        <w:tc>
          <w:tcPr>
            <w:tcW w:w="1361" w:type="dxa"/>
            <w:vAlign w:val="center"/>
          </w:tcPr>
          <w:p>
            <w:pPr>
              <w:pStyle w:val="16"/>
            </w:pPr>
            <w:r>
              <w:t>103.50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20101</w:t>
            </w:r>
          </w:p>
        </w:tc>
        <w:tc>
          <w:tcPr>
            <w:tcW w:w="4535" w:type="dxa"/>
            <w:vAlign w:val="center"/>
          </w:tcPr>
          <w:p>
            <w:pPr>
              <w:pStyle w:val="17"/>
            </w:pPr>
            <w:r>
              <w:t>人大事务</w:t>
            </w:r>
          </w:p>
        </w:tc>
        <w:tc>
          <w:tcPr>
            <w:tcW w:w="1361" w:type="dxa"/>
            <w:vAlign w:val="center"/>
          </w:tcPr>
          <w:p>
            <w:pPr>
              <w:pStyle w:val="16"/>
            </w:pPr>
            <w:r>
              <w:t>1012.27</w:t>
            </w:r>
          </w:p>
        </w:tc>
        <w:tc>
          <w:tcPr>
            <w:tcW w:w="1361" w:type="dxa"/>
            <w:vAlign w:val="center"/>
          </w:tcPr>
          <w:p>
            <w:pPr>
              <w:pStyle w:val="16"/>
            </w:pPr>
            <w:r>
              <w:t>908.77</w:t>
            </w:r>
          </w:p>
        </w:tc>
        <w:tc>
          <w:tcPr>
            <w:tcW w:w="1361" w:type="dxa"/>
            <w:vAlign w:val="center"/>
          </w:tcPr>
          <w:p>
            <w:pPr>
              <w:pStyle w:val="16"/>
            </w:pPr>
            <w:r>
              <w:t>103.50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2010101</w:t>
            </w:r>
          </w:p>
        </w:tc>
        <w:tc>
          <w:tcPr>
            <w:tcW w:w="4535" w:type="dxa"/>
            <w:vAlign w:val="center"/>
          </w:tcPr>
          <w:p>
            <w:pPr>
              <w:pStyle w:val="17"/>
            </w:pPr>
            <w:r>
              <w:t>行政运行</w:t>
            </w:r>
          </w:p>
        </w:tc>
        <w:tc>
          <w:tcPr>
            <w:tcW w:w="1361" w:type="dxa"/>
            <w:vAlign w:val="center"/>
          </w:tcPr>
          <w:p>
            <w:pPr>
              <w:pStyle w:val="16"/>
            </w:pPr>
            <w:r>
              <w:t>937.27</w:t>
            </w:r>
          </w:p>
        </w:tc>
        <w:tc>
          <w:tcPr>
            <w:tcW w:w="1361" w:type="dxa"/>
            <w:vAlign w:val="center"/>
          </w:tcPr>
          <w:p>
            <w:pPr>
              <w:pStyle w:val="16"/>
            </w:pPr>
            <w:r>
              <w:t>908.77</w:t>
            </w:r>
          </w:p>
        </w:tc>
        <w:tc>
          <w:tcPr>
            <w:tcW w:w="1361" w:type="dxa"/>
            <w:vAlign w:val="center"/>
          </w:tcPr>
          <w:p>
            <w:pPr>
              <w:pStyle w:val="16"/>
            </w:pPr>
            <w:r>
              <w:t>28.50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2010104</w:t>
            </w:r>
          </w:p>
        </w:tc>
        <w:tc>
          <w:tcPr>
            <w:tcW w:w="4535" w:type="dxa"/>
            <w:vAlign w:val="center"/>
          </w:tcPr>
          <w:p>
            <w:pPr>
              <w:pStyle w:val="17"/>
            </w:pPr>
            <w:r>
              <w:t>人大会议</w:t>
            </w:r>
          </w:p>
        </w:tc>
        <w:tc>
          <w:tcPr>
            <w:tcW w:w="1361" w:type="dxa"/>
            <w:vAlign w:val="center"/>
          </w:tcPr>
          <w:p>
            <w:pPr>
              <w:pStyle w:val="16"/>
            </w:pPr>
            <w:r>
              <w:t>40.00</w:t>
            </w:r>
          </w:p>
        </w:tc>
        <w:tc>
          <w:tcPr>
            <w:tcW w:w="1361" w:type="dxa"/>
            <w:vAlign w:val="center"/>
          </w:tcPr>
          <w:p>
            <w:pPr>
              <w:pStyle w:val="16"/>
            </w:pPr>
          </w:p>
        </w:tc>
        <w:tc>
          <w:tcPr>
            <w:tcW w:w="1361" w:type="dxa"/>
            <w:vAlign w:val="center"/>
          </w:tcPr>
          <w:p>
            <w:pPr>
              <w:pStyle w:val="16"/>
            </w:pPr>
            <w:r>
              <w:t>40.00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2010107</w:t>
            </w:r>
          </w:p>
        </w:tc>
        <w:tc>
          <w:tcPr>
            <w:tcW w:w="4535" w:type="dxa"/>
            <w:vAlign w:val="center"/>
          </w:tcPr>
          <w:p>
            <w:pPr>
              <w:pStyle w:val="17"/>
            </w:pPr>
            <w:r>
              <w:t>人大代表履职能力提升</w:t>
            </w:r>
          </w:p>
        </w:tc>
        <w:tc>
          <w:tcPr>
            <w:tcW w:w="1361" w:type="dxa"/>
            <w:vAlign w:val="center"/>
          </w:tcPr>
          <w:p>
            <w:pPr>
              <w:pStyle w:val="16"/>
            </w:pPr>
            <w:r>
              <w:t>35.00</w:t>
            </w:r>
          </w:p>
        </w:tc>
        <w:tc>
          <w:tcPr>
            <w:tcW w:w="1361" w:type="dxa"/>
            <w:vAlign w:val="center"/>
          </w:tcPr>
          <w:p>
            <w:pPr>
              <w:pStyle w:val="16"/>
            </w:pPr>
          </w:p>
        </w:tc>
        <w:tc>
          <w:tcPr>
            <w:tcW w:w="1361" w:type="dxa"/>
            <w:vAlign w:val="center"/>
          </w:tcPr>
          <w:p>
            <w:pPr>
              <w:pStyle w:val="16"/>
            </w:pPr>
            <w:r>
              <w:t>35.00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311.79</w:t>
            </w:r>
          </w:p>
        </w:tc>
        <w:tc>
          <w:tcPr>
            <w:tcW w:w="1361" w:type="dxa"/>
            <w:vAlign w:val="center"/>
          </w:tcPr>
          <w:p>
            <w:pPr>
              <w:pStyle w:val="16"/>
            </w:pPr>
            <w:r>
              <w:t>311.79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311.79</w:t>
            </w:r>
          </w:p>
        </w:tc>
        <w:tc>
          <w:tcPr>
            <w:tcW w:w="1361" w:type="dxa"/>
            <w:vAlign w:val="center"/>
          </w:tcPr>
          <w:p>
            <w:pPr>
              <w:pStyle w:val="16"/>
            </w:pPr>
            <w:r>
              <w:t>311.79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220.26</w:t>
            </w:r>
          </w:p>
        </w:tc>
        <w:tc>
          <w:tcPr>
            <w:tcW w:w="1361" w:type="dxa"/>
            <w:vAlign w:val="center"/>
          </w:tcPr>
          <w:p>
            <w:pPr>
              <w:pStyle w:val="16"/>
            </w:pPr>
            <w:r>
              <w:t>220.26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91.53</w:t>
            </w:r>
          </w:p>
        </w:tc>
        <w:tc>
          <w:tcPr>
            <w:tcW w:w="1361" w:type="dxa"/>
            <w:vAlign w:val="center"/>
          </w:tcPr>
          <w:p>
            <w:pPr>
              <w:pStyle w:val="16"/>
            </w:pPr>
            <w:r>
              <w:t>91.53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27.38</w:t>
            </w:r>
          </w:p>
        </w:tc>
        <w:tc>
          <w:tcPr>
            <w:tcW w:w="1361" w:type="dxa"/>
            <w:vAlign w:val="center"/>
          </w:tcPr>
          <w:p>
            <w:pPr>
              <w:pStyle w:val="16"/>
            </w:pPr>
            <w:r>
              <w:t>27.38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27.38</w:t>
            </w:r>
          </w:p>
        </w:tc>
        <w:tc>
          <w:tcPr>
            <w:tcW w:w="1361" w:type="dxa"/>
            <w:vAlign w:val="center"/>
          </w:tcPr>
          <w:p>
            <w:pPr>
              <w:pStyle w:val="16"/>
            </w:pPr>
            <w:r>
              <w:t>27.38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27.38</w:t>
            </w:r>
          </w:p>
        </w:tc>
        <w:tc>
          <w:tcPr>
            <w:tcW w:w="1361" w:type="dxa"/>
            <w:vAlign w:val="center"/>
          </w:tcPr>
          <w:p>
            <w:pPr>
              <w:pStyle w:val="16"/>
            </w:pPr>
            <w:r>
              <w:t>27.38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74.64</w:t>
            </w:r>
          </w:p>
        </w:tc>
        <w:tc>
          <w:tcPr>
            <w:tcW w:w="1361" w:type="dxa"/>
            <w:vAlign w:val="center"/>
          </w:tcPr>
          <w:p>
            <w:pPr>
              <w:pStyle w:val="16"/>
            </w:pPr>
            <w:r>
              <w:t>74.64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74.64</w:t>
            </w:r>
          </w:p>
        </w:tc>
        <w:tc>
          <w:tcPr>
            <w:tcW w:w="1361" w:type="dxa"/>
            <w:vAlign w:val="center"/>
          </w:tcPr>
          <w:p>
            <w:pPr>
              <w:pStyle w:val="16"/>
            </w:pPr>
            <w:r>
              <w:t>74.64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74.64</w:t>
            </w:r>
          </w:p>
        </w:tc>
        <w:tc>
          <w:tcPr>
            <w:tcW w:w="1361" w:type="dxa"/>
            <w:vAlign w:val="center"/>
          </w:tcPr>
          <w:p>
            <w:pPr>
              <w:pStyle w:val="16"/>
            </w:pPr>
            <w:r>
              <w:t>74.64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101001廊坊市广阳区人民代表大会常务委员会本级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b w:val="0"/>
              </w:rPr>
            </w:pPr>
            <w:r>
              <w:rPr>
                <w:b w:val="0"/>
              </w:rPr>
              <w:t>序号</w:t>
            </w:r>
          </w:p>
        </w:tc>
        <w:tc>
          <w:tcPr>
            <w:tcW w:w="4876" w:type="dxa"/>
            <w:gridSpan w:val="2"/>
            <w:vAlign w:val="center"/>
          </w:tcPr>
          <w:p>
            <w:pPr>
              <w:pStyle w:val="15"/>
              <w:rPr>
                <w:b w:val="0"/>
              </w:rPr>
            </w:pPr>
            <w:r>
              <w:rPr>
                <w:b w:val="0"/>
              </w:rPr>
              <w:t>收入</w:t>
            </w:r>
          </w:p>
        </w:tc>
        <w:tc>
          <w:tcPr>
            <w:tcW w:w="9298" w:type="dxa"/>
            <w:gridSpan w:val="5"/>
            <w:vAlign w:val="center"/>
          </w:tcPr>
          <w:p>
            <w:pPr>
              <w:pStyle w:val="15"/>
              <w:rPr>
                <w:b w:val="0"/>
              </w:rPr>
            </w:pPr>
            <w:r>
              <w:rPr>
                <w:b w:val="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rPr>
                <w:b w:val="0"/>
              </w:rPr>
            </w:pPr>
            <w:r>
              <w:rPr>
                <w:b w:val="0"/>
              </w:rPr>
              <w:t>项  目</w:t>
            </w:r>
          </w:p>
        </w:tc>
        <w:tc>
          <w:tcPr>
            <w:tcW w:w="1474" w:type="dxa"/>
            <w:vAlign w:val="center"/>
          </w:tcPr>
          <w:p>
            <w:pPr>
              <w:pStyle w:val="15"/>
              <w:rPr>
                <w:b w:val="0"/>
              </w:rPr>
            </w:pPr>
            <w:r>
              <w:rPr>
                <w:b w:val="0"/>
              </w:rPr>
              <w:t>金额</w:t>
            </w:r>
          </w:p>
        </w:tc>
        <w:tc>
          <w:tcPr>
            <w:tcW w:w="3402" w:type="dxa"/>
            <w:vAlign w:val="center"/>
          </w:tcPr>
          <w:p>
            <w:pPr>
              <w:pStyle w:val="15"/>
              <w:rPr>
                <w:b w:val="0"/>
              </w:rPr>
            </w:pPr>
            <w:r>
              <w:rPr>
                <w:b w:val="0"/>
              </w:rPr>
              <w:t>项  目</w:t>
            </w:r>
          </w:p>
        </w:tc>
        <w:tc>
          <w:tcPr>
            <w:tcW w:w="1474" w:type="dxa"/>
            <w:vAlign w:val="center"/>
          </w:tcPr>
          <w:p>
            <w:pPr>
              <w:pStyle w:val="15"/>
              <w:rPr>
                <w:b w:val="0"/>
              </w:rPr>
            </w:pPr>
            <w:r>
              <w:rPr>
                <w:b w:val="0"/>
              </w:rPr>
              <w:t>合计</w:t>
            </w:r>
          </w:p>
        </w:tc>
        <w:tc>
          <w:tcPr>
            <w:tcW w:w="1474" w:type="dxa"/>
            <w:vAlign w:val="center"/>
          </w:tcPr>
          <w:p>
            <w:pPr>
              <w:pStyle w:val="15"/>
              <w:rPr>
                <w:b w:val="0"/>
              </w:rPr>
            </w:pPr>
            <w:r>
              <w:rPr>
                <w:b w:val="0"/>
              </w:rPr>
              <w:t>一般公共预算财政拨款</w:t>
            </w:r>
          </w:p>
        </w:tc>
        <w:tc>
          <w:tcPr>
            <w:tcW w:w="1474" w:type="dxa"/>
            <w:vAlign w:val="center"/>
          </w:tcPr>
          <w:p>
            <w:pPr>
              <w:pStyle w:val="15"/>
              <w:rPr>
                <w:b w:val="0"/>
              </w:rPr>
            </w:pPr>
            <w:r>
              <w:rPr>
                <w:b w:val="0"/>
              </w:rPr>
              <w:t>政府性基金预算财政    拨款</w:t>
            </w:r>
          </w:p>
        </w:tc>
        <w:tc>
          <w:tcPr>
            <w:tcW w:w="1474" w:type="dxa"/>
            <w:vAlign w:val="center"/>
          </w:tcPr>
          <w:p>
            <w:pPr>
              <w:pStyle w:val="15"/>
              <w:rPr>
                <w:b w:val="0"/>
              </w:rPr>
            </w:pPr>
            <w:r>
              <w:rPr>
                <w:b w:val="0"/>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b w:val="0"/>
              </w:rPr>
            </w:pPr>
            <w:r>
              <w:rPr>
                <w:b w:val="0"/>
              </w:rPr>
              <w:t>栏次</w:t>
            </w:r>
          </w:p>
        </w:tc>
        <w:tc>
          <w:tcPr>
            <w:tcW w:w="3402" w:type="dxa"/>
            <w:vAlign w:val="center"/>
          </w:tcPr>
          <w:p>
            <w:pPr>
              <w:pStyle w:val="15"/>
              <w:rPr>
                <w:b w:val="0"/>
              </w:rPr>
            </w:pPr>
            <w:r>
              <w:rPr>
                <w:b w:val="0"/>
              </w:rPr>
              <w:t>1</w:t>
            </w:r>
          </w:p>
        </w:tc>
        <w:tc>
          <w:tcPr>
            <w:tcW w:w="1474" w:type="dxa"/>
            <w:vAlign w:val="center"/>
          </w:tcPr>
          <w:p>
            <w:pPr>
              <w:pStyle w:val="15"/>
              <w:rPr>
                <w:b w:val="0"/>
              </w:rPr>
            </w:pPr>
            <w:r>
              <w:rPr>
                <w:b w:val="0"/>
              </w:rPr>
              <w:t>2</w:t>
            </w:r>
          </w:p>
        </w:tc>
        <w:tc>
          <w:tcPr>
            <w:tcW w:w="3402" w:type="dxa"/>
            <w:vAlign w:val="center"/>
          </w:tcPr>
          <w:p>
            <w:pPr>
              <w:pStyle w:val="15"/>
              <w:rPr>
                <w:b w:val="0"/>
              </w:rPr>
            </w:pPr>
            <w:r>
              <w:rPr>
                <w:b w:val="0"/>
              </w:rPr>
              <w:t>3</w:t>
            </w:r>
          </w:p>
        </w:tc>
        <w:tc>
          <w:tcPr>
            <w:tcW w:w="1474" w:type="dxa"/>
            <w:vAlign w:val="center"/>
          </w:tcPr>
          <w:p>
            <w:pPr>
              <w:pStyle w:val="15"/>
              <w:rPr>
                <w:b w:val="0"/>
              </w:rPr>
            </w:pPr>
            <w:r>
              <w:rPr>
                <w:b w:val="0"/>
              </w:rPr>
              <w:t>4</w:t>
            </w:r>
          </w:p>
        </w:tc>
        <w:tc>
          <w:tcPr>
            <w:tcW w:w="1474" w:type="dxa"/>
            <w:vAlign w:val="center"/>
          </w:tcPr>
          <w:p>
            <w:pPr>
              <w:pStyle w:val="15"/>
              <w:rPr>
                <w:b w:val="0"/>
              </w:rPr>
            </w:pPr>
            <w:r>
              <w:rPr>
                <w:b w:val="0"/>
              </w:rPr>
              <w:t>5</w:t>
            </w:r>
          </w:p>
        </w:tc>
        <w:tc>
          <w:tcPr>
            <w:tcW w:w="1474" w:type="dxa"/>
            <w:vAlign w:val="center"/>
          </w:tcPr>
          <w:p>
            <w:pPr>
              <w:pStyle w:val="15"/>
              <w:rPr>
                <w:b w:val="0"/>
              </w:rPr>
            </w:pPr>
            <w:r>
              <w:rPr>
                <w:b w:val="0"/>
              </w:rPr>
              <w:t>6</w:t>
            </w:r>
          </w:p>
        </w:tc>
        <w:tc>
          <w:tcPr>
            <w:tcW w:w="1474" w:type="dxa"/>
            <w:vAlign w:val="center"/>
          </w:tcPr>
          <w:p>
            <w:pPr>
              <w:pStyle w:val="15"/>
              <w:rPr>
                <w:b w:val="0"/>
              </w:rPr>
            </w:pPr>
            <w:r>
              <w:rPr>
                <w:b w:val="0"/>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1426.09</w:t>
            </w:r>
          </w:p>
        </w:tc>
        <w:tc>
          <w:tcPr>
            <w:tcW w:w="3402" w:type="dxa"/>
            <w:vAlign w:val="center"/>
          </w:tcPr>
          <w:p>
            <w:pPr>
              <w:pStyle w:val="17"/>
            </w:pPr>
            <w:r>
              <w:t>一、一般公共服务支出</w:t>
            </w:r>
          </w:p>
        </w:tc>
        <w:tc>
          <w:tcPr>
            <w:tcW w:w="1474" w:type="dxa"/>
            <w:vAlign w:val="center"/>
          </w:tcPr>
          <w:p>
            <w:pPr>
              <w:pStyle w:val="16"/>
            </w:pPr>
            <w:r>
              <w:t>1012.27</w:t>
            </w:r>
          </w:p>
        </w:tc>
        <w:tc>
          <w:tcPr>
            <w:tcW w:w="1474" w:type="dxa"/>
            <w:vAlign w:val="center"/>
          </w:tcPr>
          <w:p>
            <w:pPr>
              <w:pStyle w:val="16"/>
            </w:pPr>
            <w:r>
              <w:t>1012.27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311.79</w:t>
            </w:r>
          </w:p>
        </w:tc>
        <w:tc>
          <w:tcPr>
            <w:tcW w:w="1474" w:type="dxa"/>
            <w:vAlign w:val="center"/>
          </w:tcPr>
          <w:p>
            <w:pPr>
              <w:pStyle w:val="16"/>
            </w:pPr>
            <w:r>
              <w:t>311.79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27.38</w:t>
            </w:r>
          </w:p>
        </w:tc>
        <w:tc>
          <w:tcPr>
            <w:tcW w:w="1474" w:type="dxa"/>
            <w:vAlign w:val="center"/>
          </w:tcPr>
          <w:p>
            <w:pPr>
              <w:pStyle w:val="16"/>
            </w:pPr>
            <w:r>
              <w:t>27.38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74.64</w:t>
            </w:r>
          </w:p>
        </w:tc>
        <w:tc>
          <w:tcPr>
            <w:tcW w:w="1474" w:type="dxa"/>
            <w:vAlign w:val="center"/>
          </w:tcPr>
          <w:p>
            <w:pPr>
              <w:pStyle w:val="16"/>
            </w:pPr>
            <w:r>
              <w:t>74.64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rPr>
                <w:b w:val="0"/>
              </w:rPr>
            </w:pPr>
            <w:r>
              <w:rPr>
                <w:b w:val="0"/>
              </w:rPr>
              <w:t>本年收入合计</w:t>
            </w:r>
          </w:p>
        </w:tc>
        <w:tc>
          <w:tcPr>
            <w:tcW w:w="1474" w:type="dxa"/>
            <w:vAlign w:val="center"/>
          </w:tcPr>
          <w:p>
            <w:pPr>
              <w:pStyle w:val="20"/>
              <w:rPr>
                <w:b w:val="0"/>
              </w:rPr>
            </w:pPr>
            <w:r>
              <w:rPr>
                <w:b w:val="0"/>
              </w:rPr>
              <w:t>1426.09</w:t>
            </w:r>
          </w:p>
        </w:tc>
        <w:tc>
          <w:tcPr>
            <w:tcW w:w="3402" w:type="dxa"/>
            <w:vAlign w:val="center"/>
          </w:tcPr>
          <w:p>
            <w:pPr>
              <w:pStyle w:val="19"/>
              <w:rPr>
                <w:b w:val="0"/>
              </w:rPr>
            </w:pPr>
            <w:r>
              <w:rPr>
                <w:b w:val="0"/>
              </w:rPr>
              <w:t>本年支出合计</w:t>
            </w:r>
          </w:p>
        </w:tc>
        <w:tc>
          <w:tcPr>
            <w:tcW w:w="1474" w:type="dxa"/>
            <w:vAlign w:val="center"/>
          </w:tcPr>
          <w:p>
            <w:pPr>
              <w:pStyle w:val="20"/>
              <w:rPr>
                <w:b w:val="0"/>
              </w:rPr>
            </w:pPr>
            <w:r>
              <w:rPr>
                <w:b w:val="0"/>
              </w:rPr>
              <w:t>1426.09</w:t>
            </w:r>
          </w:p>
        </w:tc>
        <w:tc>
          <w:tcPr>
            <w:tcW w:w="1474" w:type="dxa"/>
            <w:vAlign w:val="center"/>
          </w:tcPr>
          <w:p>
            <w:pPr>
              <w:pStyle w:val="20"/>
              <w:rPr>
                <w:b w:val="0"/>
              </w:rPr>
            </w:pPr>
            <w:r>
              <w:rPr>
                <w:b w:val="0"/>
              </w:rPr>
              <w:t>1426.09</w:t>
            </w:r>
          </w:p>
        </w:tc>
        <w:tc>
          <w:tcPr>
            <w:tcW w:w="1474" w:type="dxa"/>
            <w:vAlign w:val="center"/>
          </w:tcPr>
          <w:p>
            <w:pPr>
              <w:pStyle w:val="20"/>
              <w:rPr>
                <w:b w:val="0"/>
              </w:rPr>
            </w:pPr>
          </w:p>
        </w:tc>
        <w:tc>
          <w:tcPr>
            <w:tcW w:w="1474" w:type="dxa"/>
            <w:vAlign w:val="center"/>
          </w:tcPr>
          <w:p>
            <w:pPr>
              <w:pStyle w:val="20"/>
              <w:rPr>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rPr>
                <w:b w:val="0"/>
              </w:rPr>
            </w:pPr>
            <w:r>
              <w:rPr>
                <w:b w:val="0"/>
              </w:rPr>
              <w:t>收入总计</w:t>
            </w:r>
          </w:p>
        </w:tc>
        <w:tc>
          <w:tcPr>
            <w:tcW w:w="1474" w:type="dxa"/>
            <w:vAlign w:val="center"/>
          </w:tcPr>
          <w:p>
            <w:pPr>
              <w:pStyle w:val="20"/>
              <w:rPr>
                <w:b w:val="0"/>
              </w:rPr>
            </w:pPr>
            <w:r>
              <w:rPr>
                <w:b w:val="0"/>
              </w:rPr>
              <w:t>1426.09</w:t>
            </w:r>
          </w:p>
        </w:tc>
        <w:tc>
          <w:tcPr>
            <w:tcW w:w="3402" w:type="dxa"/>
            <w:vAlign w:val="center"/>
          </w:tcPr>
          <w:p>
            <w:pPr>
              <w:pStyle w:val="19"/>
              <w:rPr>
                <w:b w:val="0"/>
              </w:rPr>
            </w:pPr>
            <w:r>
              <w:rPr>
                <w:b w:val="0"/>
              </w:rPr>
              <w:t>支出总计</w:t>
            </w:r>
          </w:p>
        </w:tc>
        <w:tc>
          <w:tcPr>
            <w:tcW w:w="1474" w:type="dxa"/>
            <w:vAlign w:val="center"/>
          </w:tcPr>
          <w:p>
            <w:pPr>
              <w:pStyle w:val="20"/>
              <w:rPr>
                <w:b w:val="0"/>
              </w:rPr>
            </w:pPr>
            <w:r>
              <w:rPr>
                <w:b w:val="0"/>
              </w:rPr>
              <w:t>1426.09</w:t>
            </w:r>
          </w:p>
        </w:tc>
        <w:tc>
          <w:tcPr>
            <w:tcW w:w="1474" w:type="dxa"/>
            <w:vAlign w:val="center"/>
          </w:tcPr>
          <w:p>
            <w:pPr>
              <w:pStyle w:val="20"/>
              <w:rPr>
                <w:b w:val="0"/>
              </w:rPr>
            </w:pPr>
            <w:r>
              <w:rPr>
                <w:b w:val="0"/>
              </w:rPr>
              <w:t>1426.09</w:t>
            </w:r>
          </w:p>
        </w:tc>
        <w:tc>
          <w:tcPr>
            <w:tcW w:w="1474" w:type="dxa"/>
            <w:vAlign w:val="center"/>
          </w:tcPr>
          <w:p>
            <w:pPr>
              <w:pStyle w:val="20"/>
              <w:rPr>
                <w:b w:val="0"/>
              </w:rPr>
            </w:pPr>
          </w:p>
        </w:tc>
        <w:tc>
          <w:tcPr>
            <w:tcW w:w="1474" w:type="dxa"/>
            <w:vAlign w:val="center"/>
          </w:tcPr>
          <w:p>
            <w:pPr>
              <w:pStyle w:val="20"/>
              <w:rPr>
                <w:b w:val="0"/>
              </w:rPr>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101001廊坊市广阳区人民代表大会常务委员会本级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b w:val="0"/>
              </w:rPr>
            </w:pPr>
            <w:r>
              <w:rPr>
                <w:b w:val="0"/>
              </w:rPr>
              <w:t>序号</w:t>
            </w:r>
          </w:p>
        </w:tc>
        <w:tc>
          <w:tcPr>
            <w:tcW w:w="5726" w:type="dxa"/>
            <w:gridSpan w:val="2"/>
            <w:vAlign w:val="center"/>
          </w:tcPr>
          <w:p>
            <w:pPr>
              <w:pStyle w:val="15"/>
              <w:rPr>
                <w:b w:val="0"/>
              </w:rPr>
            </w:pPr>
            <w:r>
              <w:rPr>
                <w:b w:val="0"/>
              </w:rPr>
              <w:t>功能分类科目</w:t>
            </w:r>
          </w:p>
        </w:tc>
        <w:tc>
          <w:tcPr>
            <w:tcW w:w="2551" w:type="dxa"/>
            <w:vMerge w:val="restart"/>
            <w:vAlign w:val="center"/>
          </w:tcPr>
          <w:p>
            <w:pPr>
              <w:pStyle w:val="15"/>
              <w:rPr>
                <w:b w:val="0"/>
              </w:rPr>
            </w:pPr>
            <w:r>
              <w:rPr>
                <w:b w:val="0"/>
              </w:rPr>
              <w:t>合计</w:t>
            </w:r>
          </w:p>
        </w:tc>
        <w:tc>
          <w:tcPr>
            <w:tcW w:w="2551" w:type="dxa"/>
            <w:vMerge w:val="restart"/>
            <w:vAlign w:val="center"/>
          </w:tcPr>
          <w:p>
            <w:pPr>
              <w:pStyle w:val="15"/>
              <w:rPr>
                <w:b w:val="0"/>
              </w:rPr>
            </w:pPr>
            <w:r>
              <w:rPr>
                <w:b w:val="0"/>
              </w:rPr>
              <w:t>基本支出</w:t>
            </w:r>
          </w:p>
        </w:tc>
        <w:tc>
          <w:tcPr>
            <w:tcW w:w="2551" w:type="dxa"/>
            <w:vMerge w:val="restart"/>
            <w:vAlign w:val="center"/>
          </w:tcPr>
          <w:p>
            <w:pPr>
              <w:pStyle w:val="15"/>
              <w:rPr>
                <w:b w:val="0"/>
              </w:rPr>
            </w:pPr>
            <w:r>
              <w:rPr>
                <w:b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rPr>
                <w:b w:val="0"/>
              </w:rPr>
            </w:pPr>
            <w:r>
              <w:rPr>
                <w:b w:val="0"/>
              </w:rPr>
              <w:t>科目编码</w:t>
            </w:r>
          </w:p>
        </w:tc>
        <w:tc>
          <w:tcPr>
            <w:tcW w:w="4535" w:type="dxa"/>
            <w:vAlign w:val="center"/>
          </w:tcPr>
          <w:p>
            <w:pPr>
              <w:pStyle w:val="15"/>
              <w:rPr>
                <w:b w:val="0"/>
              </w:rPr>
            </w:pPr>
            <w:r>
              <w:rPr>
                <w:b w:val="0"/>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b w:val="0"/>
              </w:rPr>
            </w:pPr>
            <w:r>
              <w:rPr>
                <w:b w:val="0"/>
              </w:rPr>
              <w:t>栏次</w:t>
            </w:r>
          </w:p>
        </w:tc>
        <w:tc>
          <w:tcPr>
            <w:tcW w:w="1191" w:type="dxa"/>
            <w:vAlign w:val="center"/>
          </w:tcPr>
          <w:p>
            <w:pPr>
              <w:pStyle w:val="15"/>
              <w:rPr>
                <w:b w:val="0"/>
              </w:rPr>
            </w:pPr>
            <w:r>
              <w:rPr>
                <w:b w:val="0"/>
              </w:rPr>
              <w:t>1</w:t>
            </w:r>
          </w:p>
        </w:tc>
        <w:tc>
          <w:tcPr>
            <w:tcW w:w="4535" w:type="dxa"/>
            <w:vAlign w:val="center"/>
          </w:tcPr>
          <w:p>
            <w:pPr>
              <w:pStyle w:val="15"/>
              <w:rPr>
                <w:b w:val="0"/>
              </w:rPr>
            </w:pPr>
            <w:r>
              <w:rPr>
                <w:b w:val="0"/>
              </w:rPr>
              <w:t>2</w:t>
            </w:r>
          </w:p>
        </w:tc>
        <w:tc>
          <w:tcPr>
            <w:tcW w:w="2551" w:type="dxa"/>
            <w:vAlign w:val="center"/>
          </w:tcPr>
          <w:p>
            <w:pPr>
              <w:pStyle w:val="15"/>
              <w:rPr>
                <w:b w:val="0"/>
              </w:rPr>
            </w:pPr>
            <w:r>
              <w:rPr>
                <w:b w:val="0"/>
              </w:rPr>
              <w:t>3</w:t>
            </w:r>
          </w:p>
        </w:tc>
        <w:tc>
          <w:tcPr>
            <w:tcW w:w="2551" w:type="dxa"/>
            <w:vAlign w:val="center"/>
          </w:tcPr>
          <w:p>
            <w:pPr>
              <w:pStyle w:val="15"/>
              <w:rPr>
                <w:b w:val="0"/>
              </w:rPr>
            </w:pPr>
            <w:r>
              <w:rPr>
                <w:b w:val="0"/>
              </w:rPr>
              <w:t>4</w:t>
            </w:r>
          </w:p>
        </w:tc>
        <w:tc>
          <w:tcPr>
            <w:tcW w:w="2551" w:type="dxa"/>
            <w:vAlign w:val="center"/>
          </w:tcPr>
          <w:p>
            <w:pPr>
              <w:pStyle w:val="15"/>
              <w:rPr>
                <w:b w:val="0"/>
              </w:rPr>
            </w:pPr>
            <w:r>
              <w:rPr>
                <w:b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rPr>
                <w:b w:val="0"/>
              </w:rPr>
            </w:pPr>
          </w:p>
        </w:tc>
        <w:tc>
          <w:tcPr>
            <w:tcW w:w="4535" w:type="dxa"/>
            <w:vAlign w:val="center"/>
          </w:tcPr>
          <w:p>
            <w:pPr>
              <w:pStyle w:val="19"/>
              <w:rPr>
                <w:b w:val="0"/>
              </w:rPr>
            </w:pPr>
            <w:r>
              <w:rPr>
                <w:b w:val="0"/>
              </w:rPr>
              <w:t>合计</w:t>
            </w:r>
          </w:p>
        </w:tc>
        <w:tc>
          <w:tcPr>
            <w:tcW w:w="2551" w:type="dxa"/>
            <w:vAlign w:val="center"/>
          </w:tcPr>
          <w:p>
            <w:pPr>
              <w:pStyle w:val="20"/>
              <w:rPr>
                <w:b w:val="0"/>
              </w:rPr>
            </w:pPr>
            <w:r>
              <w:rPr>
                <w:b w:val="0"/>
              </w:rPr>
              <w:t>1426.09</w:t>
            </w:r>
          </w:p>
        </w:tc>
        <w:tc>
          <w:tcPr>
            <w:tcW w:w="2551" w:type="dxa"/>
            <w:vAlign w:val="center"/>
          </w:tcPr>
          <w:p>
            <w:pPr>
              <w:pStyle w:val="20"/>
              <w:rPr>
                <w:b w:val="0"/>
              </w:rPr>
            </w:pPr>
            <w:r>
              <w:rPr>
                <w:b w:val="0"/>
              </w:rPr>
              <w:t>1322.59</w:t>
            </w:r>
          </w:p>
        </w:tc>
        <w:tc>
          <w:tcPr>
            <w:tcW w:w="2551" w:type="dxa"/>
            <w:vAlign w:val="center"/>
          </w:tcPr>
          <w:p>
            <w:pPr>
              <w:pStyle w:val="20"/>
              <w:rPr>
                <w:b w:val="0"/>
              </w:rPr>
            </w:pPr>
            <w:r>
              <w:rPr>
                <w:b w:val="0"/>
              </w:rPr>
              <w:t>103.50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1012.27</w:t>
            </w:r>
          </w:p>
        </w:tc>
        <w:tc>
          <w:tcPr>
            <w:tcW w:w="2551" w:type="dxa"/>
            <w:vAlign w:val="center"/>
          </w:tcPr>
          <w:p>
            <w:pPr>
              <w:pStyle w:val="16"/>
            </w:pPr>
            <w:r>
              <w:t>908.77</w:t>
            </w:r>
          </w:p>
        </w:tc>
        <w:tc>
          <w:tcPr>
            <w:tcW w:w="2551" w:type="dxa"/>
            <w:vAlign w:val="center"/>
          </w:tcPr>
          <w:p>
            <w:pPr>
              <w:pStyle w:val="16"/>
            </w:pPr>
            <w:r>
              <w:t>103.50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20101</w:t>
            </w:r>
          </w:p>
        </w:tc>
        <w:tc>
          <w:tcPr>
            <w:tcW w:w="4535" w:type="dxa"/>
            <w:vAlign w:val="center"/>
          </w:tcPr>
          <w:p>
            <w:pPr>
              <w:pStyle w:val="17"/>
            </w:pPr>
            <w:r>
              <w:t>人大事务</w:t>
            </w:r>
          </w:p>
        </w:tc>
        <w:tc>
          <w:tcPr>
            <w:tcW w:w="2551" w:type="dxa"/>
            <w:vAlign w:val="center"/>
          </w:tcPr>
          <w:p>
            <w:pPr>
              <w:pStyle w:val="16"/>
            </w:pPr>
            <w:r>
              <w:t>1012.27</w:t>
            </w:r>
          </w:p>
        </w:tc>
        <w:tc>
          <w:tcPr>
            <w:tcW w:w="2551" w:type="dxa"/>
            <w:vAlign w:val="center"/>
          </w:tcPr>
          <w:p>
            <w:pPr>
              <w:pStyle w:val="16"/>
            </w:pPr>
            <w:r>
              <w:t>908.77</w:t>
            </w:r>
          </w:p>
        </w:tc>
        <w:tc>
          <w:tcPr>
            <w:tcW w:w="2551" w:type="dxa"/>
            <w:vAlign w:val="center"/>
          </w:tcPr>
          <w:p>
            <w:pPr>
              <w:pStyle w:val="16"/>
            </w:pPr>
            <w:r>
              <w:t>103.50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2010101</w:t>
            </w:r>
          </w:p>
        </w:tc>
        <w:tc>
          <w:tcPr>
            <w:tcW w:w="4535" w:type="dxa"/>
            <w:vAlign w:val="center"/>
          </w:tcPr>
          <w:p>
            <w:pPr>
              <w:pStyle w:val="17"/>
            </w:pPr>
            <w:r>
              <w:t>行政运行</w:t>
            </w:r>
          </w:p>
        </w:tc>
        <w:tc>
          <w:tcPr>
            <w:tcW w:w="2551" w:type="dxa"/>
            <w:vAlign w:val="center"/>
          </w:tcPr>
          <w:p>
            <w:pPr>
              <w:pStyle w:val="16"/>
            </w:pPr>
            <w:r>
              <w:t>937.27</w:t>
            </w:r>
          </w:p>
        </w:tc>
        <w:tc>
          <w:tcPr>
            <w:tcW w:w="2551" w:type="dxa"/>
            <w:vAlign w:val="center"/>
          </w:tcPr>
          <w:p>
            <w:pPr>
              <w:pStyle w:val="16"/>
            </w:pPr>
            <w:r>
              <w:t>908.77</w:t>
            </w:r>
          </w:p>
        </w:tc>
        <w:tc>
          <w:tcPr>
            <w:tcW w:w="2551" w:type="dxa"/>
            <w:vAlign w:val="center"/>
          </w:tcPr>
          <w:p>
            <w:pPr>
              <w:pStyle w:val="16"/>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2010104</w:t>
            </w:r>
          </w:p>
        </w:tc>
        <w:tc>
          <w:tcPr>
            <w:tcW w:w="4535" w:type="dxa"/>
            <w:vAlign w:val="center"/>
          </w:tcPr>
          <w:p>
            <w:pPr>
              <w:pStyle w:val="17"/>
            </w:pPr>
            <w:r>
              <w:t>人大会议</w:t>
            </w:r>
          </w:p>
        </w:tc>
        <w:tc>
          <w:tcPr>
            <w:tcW w:w="2551" w:type="dxa"/>
            <w:vAlign w:val="center"/>
          </w:tcPr>
          <w:p>
            <w:pPr>
              <w:pStyle w:val="16"/>
            </w:pPr>
            <w:r>
              <w:t>40.00</w:t>
            </w:r>
          </w:p>
        </w:tc>
        <w:tc>
          <w:tcPr>
            <w:tcW w:w="2551" w:type="dxa"/>
            <w:vAlign w:val="center"/>
          </w:tcPr>
          <w:p>
            <w:pPr>
              <w:pStyle w:val="16"/>
            </w:pPr>
          </w:p>
        </w:tc>
        <w:tc>
          <w:tcPr>
            <w:tcW w:w="2551" w:type="dxa"/>
            <w:vAlign w:val="center"/>
          </w:tcPr>
          <w:p>
            <w:pPr>
              <w:pStyle w:val="16"/>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2010107</w:t>
            </w:r>
          </w:p>
        </w:tc>
        <w:tc>
          <w:tcPr>
            <w:tcW w:w="4535" w:type="dxa"/>
            <w:vAlign w:val="center"/>
          </w:tcPr>
          <w:p>
            <w:pPr>
              <w:pStyle w:val="17"/>
            </w:pPr>
            <w:r>
              <w:t>人大代表履职能力提升</w:t>
            </w:r>
          </w:p>
        </w:tc>
        <w:tc>
          <w:tcPr>
            <w:tcW w:w="2551" w:type="dxa"/>
            <w:vAlign w:val="center"/>
          </w:tcPr>
          <w:p>
            <w:pPr>
              <w:pStyle w:val="16"/>
            </w:pPr>
            <w:r>
              <w:t>35.00</w:t>
            </w:r>
          </w:p>
        </w:tc>
        <w:tc>
          <w:tcPr>
            <w:tcW w:w="2551" w:type="dxa"/>
            <w:vAlign w:val="center"/>
          </w:tcPr>
          <w:p>
            <w:pPr>
              <w:pStyle w:val="16"/>
            </w:pPr>
          </w:p>
        </w:tc>
        <w:tc>
          <w:tcPr>
            <w:tcW w:w="2551" w:type="dxa"/>
            <w:vAlign w:val="center"/>
          </w:tcPr>
          <w:p>
            <w:pPr>
              <w:pStyle w:val="16"/>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311.79</w:t>
            </w:r>
          </w:p>
        </w:tc>
        <w:tc>
          <w:tcPr>
            <w:tcW w:w="2551" w:type="dxa"/>
            <w:vAlign w:val="center"/>
          </w:tcPr>
          <w:p>
            <w:pPr>
              <w:pStyle w:val="16"/>
            </w:pPr>
            <w:r>
              <w:t>311.79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311.79</w:t>
            </w:r>
          </w:p>
        </w:tc>
        <w:tc>
          <w:tcPr>
            <w:tcW w:w="2551" w:type="dxa"/>
            <w:vAlign w:val="center"/>
          </w:tcPr>
          <w:p>
            <w:pPr>
              <w:pStyle w:val="16"/>
            </w:pPr>
            <w:r>
              <w:t>311.79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220.26</w:t>
            </w:r>
          </w:p>
        </w:tc>
        <w:tc>
          <w:tcPr>
            <w:tcW w:w="2551" w:type="dxa"/>
            <w:vAlign w:val="center"/>
          </w:tcPr>
          <w:p>
            <w:pPr>
              <w:pStyle w:val="16"/>
            </w:pPr>
            <w:r>
              <w:t>220.26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91.53</w:t>
            </w:r>
          </w:p>
        </w:tc>
        <w:tc>
          <w:tcPr>
            <w:tcW w:w="2551" w:type="dxa"/>
            <w:vAlign w:val="center"/>
          </w:tcPr>
          <w:p>
            <w:pPr>
              <w:pStyle w:val="16"/>
            </w:pPr>
            <w:r>
              <w:t>91.53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27.38</w:t>
            </w:r>
          </w:p>
        </w:tc>
        <w:tc>
          <w:tcPr>
            <w:tcW w:w="2551" w:type="dxa"/>
            <w:vAlign w:val="center"/>
          </w:tcPr>
          <w:p>
            <w:pPr>
              <w:pStyle w:val="16"/>
            </w:pPr>
            <w:r>
              <w:t>27.38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27.38</w:t>
            </w:r>
          </w:p>
        </w:tc>
        <w:tc>
          <w:tcPr>
            <w:tcW w:w="2551" w:type="dxa"/>
            <w:vAlign w:val="center"/>
          </w:tcPr>
          <w:p>
            <w:pPr>
              <w:pStyle w:val="16"/>
            </w:pPr>
            <w:r>
              <w:t>27.38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27.38</w:t>
            </w:r>
          </w:p>
        </w:tc>
        <w:tc>
          <w:tcPr>
            <w:tcW w:w="2551" w:type="dxa"/>
            <w:vAlign w:val="center"/>
          </w:tcPr>
          <w:p>
            <w:pPr>
              <w:pStyle w:val="16"/>
            </w:pPr>
            <w:r>
              <w:t>27.38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74.64</w:t>
            </w:r>
          </w:p>
        </w:tc>
        <w:tc>
          <w:tcPr>
            <w:tcW w:w="2551" w:type="dxa"/>
            <w:vAlign w:val="center"/>
          </w:tcPr>
          <w:p>
            <w:pPr>
              <w:pStyle w:val="16"/>
            </w:pPr>
            <w:r>
              <w:t>74.64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74.64</w:t>
            </w:r>
          </w:p>
        </w:tc>
        <w:tc>
          <w:tcPr>
            <w:tcW w:w="2551" w:type="dxa"/>
            <w:vAlign w:val="center"/>
          </w:tcPr>
          <w:p>
            <w:pPr>
              <w:pStyle w:val="16"/>
            </w:pPr>
            <w:r>
              <w:t>74.64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74.64</w:t>
            </w:r>
          </w:p>
        </w:tc>
        <w:tc>
          <w:tcPr>
            <w:tcW w:w="2551" w:type="dxa"/>
            <w:vAlign w:val="center"/>
          </w:tcPr>
          <w:p>
            <w:pPr>
              <w:pStyle w:val="16"/>
            </w:pPr>
            <w:r>
              <w:t>74.64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101001廊坊市广阳区人民代表大会常务委员会本级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b w:val="0"/>
              </w:rPr>
            </w:pPr>
            <w:r>
              <w:rPr>
                <w:b w:val="0"/>
              </w:rPr>
              <w:t>序号</w:t>
            </w:r>
          </w:p>
        </w:tc>
        <w:tc>
          <w:tcPr>
            <w:tcW w:w="5726" w:type="dxa"/>
            <w:gridSpan w:val="2"/>
            <w:vAlign w:val="center"/>
          </w:tcPr>
          <w:p>
            <w:pPr>
              <w:pStyle w:val="15"/>
              <w:rPr>
                <w:b w:val="0"/>
              </w:rPr>
            </w:pPr>
            <w:r>
              <w:rPr>
                <w:b w:val="0"/>
              </w:rPr>
              <w:t>支出部门经济分类科目</w:t>
            </w:r>
          </w:p>
        </w:tc>
        <w:tc>
          <w:tcPr>
            <w:tcW w:w="7654" w:type="dxa"/>
            <w:gridSpan w:val="3"/>
            <w:vAlign w:val="center"/>
          </w:tcPr>
          <w:p>
            <w:pPr>
              <w:pStyle w:val="15"/>
              <w:rPr>
                <w:b w:val="0"/>
              </w:rPr>
            </w:pPr>
            <w:r>
              <w:rPr>
                <w:b w:val="0"/>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rPr>
                <w:b w:val="0"/>
              </w:rPr>
            </w:pPr>
            <w:r>
              <w:rPr>
                <w:b w:val="0"/>
              </w:rPr>
              <w:t>科目编码</w:t>
            </w:r>
          </w:p>
        </w:tc>
        <w:tc>
          <w:tcPr>
            <w:tcW w:w="4535" w:type="dxa"/>
            <w:vAlign w:val="center"/>
          </w:tcPr>
          <w:p>
            <w:pPr>
              <w:pStyle w:val="15"/>
              <w:rPr>
                <w:b w:val="0"/>
              </w:rPr>
            </w:pPr>
            <w:r>
              <w:rPr>
                <w:b w:val="0"/>
              </w:rPr>
              <w:t>科目名称</w:t>
            </w:r>
          </w:p>
        </w:tc>
        <w:tc>
          <w:tcPr>
            <w:tcW w:w="2551" w:type="dxa"/>
            <w:vAlign w:val="center"/>
          </w:tcPr>
          <w:p>
            <w:pPr>
              <w:pStyle w:val="15"/>
              <w:rPr>
                <w:b w:val="0"/>
              </w:rPr>
            </w:pPr>
            <w:r>
              <w:rPr>
                <w:b w:val="0"/>
              </w:rPr>
              <w:t>合计</w:t>
            </w:r>
          </w:p>
        </w:tc>
        <w:tc>
          <w:tcPr>
            <w:tcW w:w="2551" w:type="dxa"/>
            <w:vAlign w:val="center"/>
          </w:tcPr>
          <w:p>
            <w:pPr>
              <w:pStyle w:val="15"/>
              <w:rPr>
                <w:b w:val="0"/>
              </w:rPr>
            </w:pPr>
            <w:r>
              <w:rPr>
                <w:b w:val="0"/>
              </w:rPr>
              <w:t>人员经费</w:t>
            </w:r>
          </w:p>
        </w:tc>
        <w:tc>
          <w:tcPr>
            <w:tcW w:w="2551" w:type="dxa"/>
            <w:vAlign w:val="center"/>
          </w:tcPr>
          <w:p>
            <w:pPr>
              <w:pStyle w:val="15"/>
              <w:rPr>
                <w:b w:val="0"/>
              </w:rPr>
            </w:pPr>
            <w:r>
              <w:rPr>
                <w:b w:val="0"/>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b w:val="0"/>
              </w:rPr>
            </w:pPr>
            <w:r>
              <w:rPr>
                <w:b w:val="0"/>
              </w:rPr>
              <w:t>栏次</w:t>
            </w:r>
          </w:p>
        </w:tc>
        <w:tc>
          <w:tcPr>
            <w:tcW w:w="1191" w:type="dxa"/>
            <w:vAlign w:val="center"/>
          </w:tcPr>
          <w:p>
            <w:pPr>
              <w:pStyle w:val="15"/>
              <w:rPr>
                <w:b w:val="0"/>
              </w:rPr>
            </w:pPr>
            <w:r>
              <w:rPr>
                <w:b w:val="0"/>
              </w:rPr>
              <w:t>1</w:t>
            </w:r>
          </w:p>
        </w:tc>
        <w:tc>
          <w:tcPr>
            <w:tcW w:w="4535" w:type="dxa"/>
            <w:vAlign w:val="center"/>
          </w:tcPr>
          <w:p>
            <w:pPr>
              <w:pStyle w:val="15"/>
              <w:rPr>
                <w:b w:val="0"/>
              </w:rPr>
            </w:pPr>
            <w:r>
              <w:rPr>
                <w:b w:val="0"/>
              </w:rPr>
              <w:t>2</w:t>
            </w:r>
          </w:p>
        </w:tc>
        <w:tc>
          <w:tcPr>
            <w:tcW w:w="2551" w:type="dxa"/>
            <w:vAlign w:val="center"/>
          </w:tcPr>
          <w:p>
            <w:pPr>
              <w:pStyle w:val="15"/>
              <w:rPr>
                <w:b w:val="0"/>
              </w:rPr>
            </w:pPr>
            <w:r>
              <w:rPr>
                <w:b w:val="0"/>
              </w:rPr>
              <w:t>3</w:t>
            </w:r>
          </w:p>
        </w:tc>
        <w:tc>
          <w:tcPr>
            <w:tcW w:w="2551" w:type="dxa"/>
            <w:vAlign w:val="center"/>
          </w:tcPr>
          <w:p>
            <w:pPr>
              <w:pStyle w:val="15"/>
              <w:rPr>
                <w:b w:val="0"/>
              </w:rPr>
            </w:pPr>
            <w:r>
              <w:rPr>
                <w:b w:val="0"/>
              </w:rPr>
              <w:t>4</w:t>
            </w:r>
          </w:p>
        </w:tc>
        <w:tc>
          <w:tcPr>
            <w:tcW w:w="2551" w:type="dxa"/>
            <w:vAlign w:val="center"/>
          </w:tcPr>
          <w:p>
            <w:pPr>
              <w:pStyle w:val="15"/>
              <w:rPr>
                <w:b w:val="0"/>
              </w:rPr>
            </w:pPr>
            <w:r>
              <w:rPr>
                <w:b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rPr>
                <w:b w:val="0"/>
              </w:rPr>
            </w:pPr>
          </w:p>
        </w:tc>
        <w:tc>
          <w:tcPr>
            <w:tcW w:w="4535" w:type="dxa"/>
            <w:vAlign w:val="center"/>
          </w:tcPr>
          <w:p>
            <w:pPr>
              <w:pStyle w:val="19"/>
              <w:rPr>
                <w:b w:val="0"/>
              </w:rPr>
            </w:pPr>
            <w:r>
              <w:rPr>
                <w:b w:val="0"/>
              </w:rPr>
              <w:t>合计</w:t>
            </w:r>
          </w:p>
        </w:tc>
        <w:tc>
          <w:tcPr>
            <w:tcW w:w="2551" w:type="dxa"/>
            <w:vAlign w:val="center"/>
          </w:tcPr>
          <w:p>
            <w:pPr>
              <w:pStyle w:val="20"/>
              <w:rPr>
                <w:b w:val="0"/>
              </w:rPr>
            </w:pPr>
            <w:r>
              <w:rPr>
                <w:b w:val="0"/>
              </w:rPr>
              <w:t>1322.59</w:t>
            </w:r>
          </w:p>
        </w:tc>
        <w:tc>
          <w:tcPr>
            <w:tcW w:w="2551" w:type="dxa"/>
            <w:vAlign w:val="center"/>
          </w:tcPr>
          <w:p>
            <w:pPr>
              <w:pStyle w:val="20"/>
              <w:rPr>
                <w:b w:val="0"/>
              </w:rPr>
            </w:pPr>
            <w:r>
              <w:rPr>
                <w:b w:val="0"/>
              </w:rPr>
              <w:t>1170.32</w:t>
            </w:r>
          </w:p>
        </w:tc>
        <w:tc>
          <w:tcPr>
            <w:tcW w:w="2551" w:type="dxa"/>
            <w:vAlign w:val="center"/>
          </w:tcPr>
          <w:p>
            <w:pPr>
              <w:pStyle w:val="20"/>
              <w:rPr>
                <w:b w:val="0"/>
              </w:rPr>
            </w:pPr>
            <w:r>
              <w:rPr>
                <w:b w:val="0"/>
              </w:rPr>
              <w:t>152.27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949.99</w:t>
            </w:r>
          </w:p>
        </w:tc>
        <w:tc>
          <w:tcPr>
            <w:tcW w:w="2551" w:type="dxa"/>
            <w:vAlign w:val="center"/>
          </w:tcPr>
          <w:p>
            <w:pPr>
              <w:pStyle w:val="16"/>
            </w:pPr>
            <w:r>
              <w:t>949.99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279.63</w:t>
            </w:r>
          </w:p>
        </w:tc>
        <w:tc>
          <w:tcPr>
            <w:tcW w:w="2551" w:type="dxa"/>
            <w:vAlign w:val="center"/>
          </w:tcPr>
          <w:p>
            <w:pPr>
              <w:pStyle w:val="16"/>
            </w:pPr>
            <w:r>
              <w:t>279.63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278.45</w:t>
            </w:r>
          </w:p>
        </w:tc>
        <w:tc>
          <w:tcPr>
            <w:tcW w:w="2551" w:type="dxa"/>
            <w:vAlign w:val="center"/>
          </w:tcPr>
          <w:p>
            <w:pPr>
              <w:pStyle w:val="16"/>
            </w:pPr>
            <w:r>
              <w:t>278.45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179.02</w:t>
            </w:r>
          </w:p>
        </w:tc>
        <w:tc>
          <w:tcPr>
            <w:tcW w:w="2551" w:type="dxa"/>
            <w:vAlign w:val="center"/>
          </w:tcPr>
          <w:p>
            <w:pPr>
              <w:pStyle w:val="16"/>
            </w:pPr>
            <w:r>
              <w:t>179.02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16.37</w:t>
            </w:r>
          </w:p>
        </w:tc>
        <w:tc>
          <w:tcPr>
            <w:tcW w:w="2551" w:type="dxa"/>
            <w:vAlign w:val="center"/>
          </w:tcPr>
          <w:p>
            <w:pPr>
              <w:pStyle w:val="16"/>
            </w:pPr>
            <w:r>
              <w:t>16.37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91.53</w:t>
            </w:r>
          </w:p>
        </w:tc>
        <w:tc>
          <w:tcPr>
            <w:tcW w:w="2551" w:type="dxa"/>
            <w:vAlign w:val="center"/>
          </w:tcPr>
          <w:p>
            <w:pPr>
              <w:pStyle w:val="16"/>
            </w:pPr>
            <w:r>
              <w:t>91.53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27.07</w:t>
            </w:r>
          </w:p>
        </w:tc>
        <w:tc>
          <w:tcPr>
            <w:tcW w:w="2551" w:type="dxa"/>
            <w:vAlign w:val="center"/>
          </w:tcPr>
          <w:p>
            <w:pPr>
              <w:pStyle w:val="16"/>
            </w:pPr>
            <w:r>
              <w:t>27.07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2.63</w:t>
            </w:r>
          </w:p>
        </w:tc>
        <w:tc>
          <w:tcPr>
            <w:tcW w:w="2551" w:type="dxa"/>
            <w:vAlign w:val="center"/>
          </w:tcPr>
          <w:p>
            <w:pPr>
              <w:pStyle w:val="16"/>
            </w:pPr>
            <w:r>
              <w:t>2.63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74.64</w:t>
            </w:r>
          </w:p>
        </w:tc>
        <w:tc>
          <w:tcPr>
            <w:tcW w:w="2551" w:type="dxa"/>
            <w:vAlign w:val="center"/>
          </w:tcPr>
          <w:p>
            <w:pPr>
              <w:pStyle w:val="16"/>
            </w:pPr>
            <w:r>
              <w:t>74.64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0.65</w:t>
            </w:r>
          </w:p>
        </w:tc>
        <w:tc>
          <w:tcPr>
            <w:tcW w:w="2551" w:type="dxa"/>
            <w:vAlign w:val="center"/>
          </w:tcPr>
          <w:p>
            <w:pPr>
              <w:pStyle w:val="16"/>
            </w:pPr>
            <w:r>
              <w:t>0.65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152.27</w:t>
            </w:r>
          </w:p>
        </w:tc>
        <w:tc>
          <w:tcPr>
            <w:tcW w:w="2551" w:type="dxa"/>
            <w:vAlign w:val="center"/>
          </w:tcPr>
          <w:p>
            <w:pPr>
              <w:pStyle w:val="16"/>
            </w:pPr>
          </w:p>
        </w:tc>
        <w:tc>
          <w:tcPr>
            <w:tcW w:w="2551" w:type="dxa"/>
            <w:vAlign w:val="center"/>
          </w:tcPr>
          <w:p>
            <w:pPr>
              <w:pStyle w:val="16"/>
            </w:pPr>
            <w:r>
              <w:t>152.27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11.23</w:t>
            </w:r>
          </w:p>
        </w:tc>
        <w:tc>
          <w:tcPr>
            <w:tcW w:w="2551" w:type="dxa"/>
            <w:vAlign w:val="center"/>
          </w:tcPr>
          <w:p>
            <w:pPr>
              <w:pStyle w:val="16"/>
            </w:pPr>
          </w:p>
        </w:tc>
        <w:tc>
          <w:tcPr>
            <w:tcW w:w="2551" w:type="dxa"/>
            <w:vAlign w:val="center"/>
          </w:tcPr>
          <w:p>
            <w:pPr>
              <w:pStyle w:val="16"/>
            </w:pPr>
            <w:r>
              <w:t>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1.40</w:t>
            </w:r>
          </w:p>
        </w:tc>
        <w:tc>
          <w:tcPr>
            <w:tcW w:w="2551" w:type="dxa"/>
            <w:vAlign w:val="center"/>
          </w:tcPr>
          <w:p>
            <w:pPr>
              <w:pStyle w:val="16"/>
            </w:pPr>
          </w:p>
        </w:tc>
        <w:tc>
          <w:tcPr>
            <w:tcW w:w="2551" w:type="dxa"/>
            <w:vAlign w:val="center"/>
          </w:tcPr>
          <w:p>
            <w:pPr>
              <w:pStyle w:val="16"/>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1.66</w:t>
            </w:r>
          </w:p>
        </w:tc>
        <w:tc>
          <w:tcPr>
            <w:tcW w:w="2551" w:type="dxa"/>
            <w:vAlign w:val="center"/>
          </w:tcPr>
          <w:p>
            <w:pPr>
              <w:pStyle w:val="16"/>
            </w:pPr>
          </w:p>
        </w:tc>
        <w:tc>
          <w:tcPr>
            <w:tcW w:w="2551" w:type="dxa"/>
            <w:vAlign w:val="center"/>
          </w:tcPr>
          <w:p>
            <w:pPr>
              <w:pStyle w:val="16"/>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4.68</w:t>
            </w:r>
          </w:p>
        </w:tc>
        <w:tc>
          <w:tcPr>
            <w:tcW w:w="2551" w:type="dxa"/>
            <w:vAlign w:val="center"/>
          </w:tcPr>
          <w:p>
            <w:pPr>
              <w:pStyle w:val="16"/>
            </w:pPr>
          </w:p>
        </w:tc>
        <w:tc>
          <w:tcPr>
            <w:tcW w:w="2551" w:type="dxa"/>
            <w:vAlign w:val="center"/>
          </w:tcPr>
          <w:p>
            <w:pPr>
              <w:pStyle w:val="16"/>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33.88</w:t>
            </w:r>
          </w:p>
        </w:tc>
        <w:tc>
          <w:tcPr>
            <w:tcW w:w="2551" w:type="dxa"/>
            <w:vAlign w:val="center"/>
          </w:tcPr>
          <w:p>
            <w:pPr>
              <w:pStyle w:val="16"/>
            </w:pPr>
          </w:p>
        </w:tc>
        <w:tc>
          <w:tcPr>
            <w:tcW w:w="2551" w:type="dxa"/>
            <w:vAlign w:val="center"/>
          </w:tcPr>
          <w:p>
            <w:pPr>
              <w:pStyle w:val="16"/>
            </w:pPr>
            <w:r>
              <w:t>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3.02</w:t>
            </w:r>
          </w:p>
        </w:tc>
        <w:tc>
          <w:tcPr>
            <w:tcW w:w="2551" w:type="dxa"/>
            <w:vAlign w:val="center"/>
          </w:tcPr>
          <w:p>
            <w:pPr>
              <w:pStyle w:val="16"/>
            </w:pPr>
          </w:p>
        </w:tc>
        <w:tc>
          <w:tcPr>
            <w:tcW w:w="2551" w:type="dxa"/>
            <w:vAlign w:val="center"/>
          </w:tcPr>
          <w:p>
            <w:pPr>
              <w:pStyle w:val="16"/>
            </w:pPr>
            <w:r>
              <w:t>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10.82</w:t>
            </w:r>
          </w:p>
        </w:tc>
        <w:tc>
          <w:tcPr>
            <w:tcW w:w="2551" w:type="dxa"/>
            <w:vAlign w:val="center"/>
          </w:tcPr>
          <w:p>
            <w:pPr>
              <w:pStyle w:val="16"/>
            </w:pPr>
          </w:p>
        </w:tc>
        <w:tc>
          <w:tcPr>
            <w:tcW w:w="2551" w:type="dxa"/>
            <w:vAlign w:val="center"/>
          </w:tcPr>
          <w:p>
            <w:pPr>
              <w:pStyle w:val="16"/>
            </w:pPr>
            <w:r>
              <w:t>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0.83</w:t>
            </w:r>
          </w:p>
        </w:tc>
        <w:tc>
          <w:tcPr>
            <w:tcW w:w="2551" w:type="dxa"/>
            <w:vAlign w:val="center"/>
          </w:tcPr>
          <w:p>
            <w:pPr>
              <w:pStyle w:val="16"/>
            </w:pPr>
          </w:p>
        </w:tc>
        <w:tc>
          <w:tcPr>
            <w:tcW w:w="2551" w:type="dxa"/>
            <w:vAlign w:val="center"/>
          </w:tcPr>
          <w:p>
            <w:pPr>
              <w:pStyle w:val="16"/>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28.50</w:t>
            </w:r>
          </w:p>
        </w:tc>
        <w:tc>
          <w:tcPr>
            <w:tcW w:w="2551" w:type="dxa"/>
            <w:vAlign w:val="center"/>
          </w:tcPr>
          <w:p>
            <w:pPr>
              <w:pStyle w:val="16"/>
            </w:pPr>
          </w:p>
        </w:tc>
        <w:tc>
          <w:tcPr>
            <w:tcW w:w="2551" w:type="dxa"/>
            <w:vAlign w:val="center"/>
          </w:tcPr>
          <w:p>
            <w:pPr>
              <w:pStyle w:val="16"/>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5.33</w:t>
            </w:r>
          </w:p>
        </w:tc>
        <w:tc>
          <w:tcPr>
            <w:tcW w:w="2551" w:type="dxa"/>
            <w:vAlign w:val="center"/>
          </w:tcPr>
          <w:p>
            <w:pPr>
              <w:pStyle w:val="16"/>
            </w:pPr>
          </w:p>
        </w:tc>
        <w:tc>
          <w:tcPr>
            <w:tcW w:w="2551" w:type="dxa"/>
            <w:vAlign w:val="center"/>
          </w:tcPr>
          <w:p>
            <w:pPr>
              <w:pStyle w:val="16"/>
            </w:pPr>
            <w:r>
              <w:t>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5.22</w:t>
            </w:r>
          </w:p>
        </w:tc>
        <w:tc>
          <w:tcPr>
            <w:tcW w:w="2551" w:type="dxa"/>
            <w:vAlign w:val="center"/>
          </w:tcPr>
          <w:p>
            <w:pPr>
              <w:pStyle w:val="16"/>
            </w:pPr>
          </w:p>
        </w:tc>
        <w:tc>
          <w:tcPr>
            <w:tcW w:w="2551" w:type="dxa"/>
            <w:vAlign w:val="center"/>
          </w:tcPr>
          <w:p>
            <w:pPr>
              <w:pStyle w:val="16"/>
            </w:pPr>
            <w:r>
              <w:t>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8.76</w:t>
            </w:r>
          </w:p>
        </w:tc>
        <w:tc>
          <w:tcPr>
            <w:tcW w:w="2551" w:type="dxa"/>
            <w:vAlign w:val="center"/>
          </w:tcPr>
          <w:p>
            <w:pPr>
              <w:pStyle w:val="16"/>
            </w:pPr>
          </w:p>
        </w:tc>
        <w:tc>
          <w:tcPr>
            <w:tcW w:w="2551" w:type="dxa"/>
            <w:vAlign w:val="center"/>
          </w:tcPr>
          <w:p>
            <w:pPr>
              <w:pStyle w:val="16"/>
            </w:pPr>
            <w:r>
              <w:t>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36.94</w:t>
            </w:r>
          </w:p>
        </w:tc>
        <w:tc>
          <w:tcPr>
            <w:tcW w:w="2551" w:type="dxa"/>
            <w:vAlign w:val="center"/>
          </w:tcPr>
          <w:p>
            <w:pPr>
              <w:pStyle w:val="16"/>
            </w:pPr>
          </w:p>
        </w:tc>
        <w:tc>
          <w:tcPr>
            <w:tcW w:w="2551" w:type="dxa"/>
            <w:vAlign w:val="center"/>
          </w:tcPr>
          <w:p>
            <w:pPr>
              <w:pStyle w:val="16"/>
            </w:pPr>
            <w:r>
              <w:t>36.94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220.32</w:t>
            </w:r>
          </w:p>
        </w:tc>
        <w:tc>
          <w:tcPr>
            <w:tcW w:w="2551" w:type="dxa"/>
            <w:vAlign w:val="center"/>
          </w:tcPr>
          <w:p>
            <w:pPr>
              <w:pStyle w:val="16"/>
            </w:pPr>
            <w:r>
              <w:t>220.32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220.26</w:t>
            </w:r>
          </w:p>
        </w:tc>
        <w:tc>
          <w:tcPr>
            <w:tcW w:w="2551" w:type="dxa"/>
            <w:vAlign w:val="center"/>
          </w:tcPr>
          <w:p>
            <w:pPr>
              <w:pStyle w:val="16"/>
            </w:pPr>
            <w:r>
              <w:t>220.26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0.06</w:t>
            </w:r>
          </w:p>
        </w:tc>
        <w:tc>
          <w:tcPr>
            <w:tcW w:w="2551" w:type="dxa"/>
            <w:vAlign w:val="center"/>
          </w:tcPr>
          <w:p>
            <w:pPr>
              <w:pStyle w:val="16"/>
            </w:pPr>
            <w:r>
              <w:t>0.06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101001廊坊市广阳区人民代表大会常务委员会本级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b w:val="0"/>
              </w:rPr>
            </w:pPr>
            <w:r>
              <w:rPr>
                <w:b w:val="0"/>
              </w:rPr>
              <w:t>序号</w:t>
            </w:r>
          </w:p>
        </w:tc>
        <w:tc>
          <w:tcPr>
            <w:tcW w:w="5726" w:type="dxa"/>
            <w:gridSpan w:val="2"/>
            <w:vAlign w:val="center"/>
          </w:tcPr>
          <w:p>
            <w:pPr>
              <w:pStyle w:val="15"/>
              <w:rPr>
                <w:b w:val="0"/>
              </w:rPr>
            </w:pPr>
            <w:r>
              <w:rPr>
                <w:b w:val="0"/>
              </w:rPr>
              <w:t>功能分类科目</w:t>
            </w:r>
          </w:p>
        </w:tc>
        <w:tc>
          <w:tcPr>
            <w:tcW w:w="2551" w:type="dxa"/>
            <w:vMerge w:val="restart"/>
            <w:vAlign w:val="center"/>
          </w:tcPr>
          <w:p>
            <w:pPr>
              <w:pStyle w:val="15"/>
              <w:rPr>
                <w:b w:val="0"/>
              </w:rPr>
            </w:pPr>
            <w:r>
              <w:rPr>
                <w:b w:val="0"/>
              </w:rPr>
              <w:t>合计</w:t>
            </w:r>
          </w:p>
        </w:tc>
        <w:tc>
          <w:tcPr>
            <w:tcW w:w="2551" w:type="dxa"/>
            <w:vMerge w:val="restart"/>
            <w:vAlign w:val="center"/>
          </w:tcPr>
          <w:p>
            <w:pPr>
              <w:pStyle w:val="15"/>
              <w:rPr>
                <w:b w:val="0"/>
              </w:rPr>
            </w:pPr>
            <w:r>
              <w:rPr>
                <w:b w:val="0"/>
              </w:rPr>
              <w:t>基本支出</w:t>
            </w:r>
          </w:p>
        </w:tc>
        <w:tc>
          <w:tcPr>
            <w:tcW w:w="2551" w:type="dxa"/>
            <w:vMerge w:val="restart"/>
            <w:vAlign w:val="center"/>
          </w:tcPr>
          <w:p>
            <w:pPr>
              <w:pStyle w:val="15"/>
              <w:rPr>
                <w:b w:val="0"/>
              </w:rPr>
            </w:pPr>
            <w:r>
              <w:rPr>
                <w:b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rPr>
                <w:b w:val="0"/>
              </w:rPr>
            </w:pPr>
            <w:r>
              <w:rPr>
                <w:b w:val="0"/>
              </w:rPr>
              <w:t>科目编码</w:t>
            </w:r>
          </w:p>
        </w:tc>
        <w:tc>
          <w:tcPr>
            <w:tcW w:w="4535" w:type="dxa"/>
            <w:vAlign w:val="center"/>
          </w:tcPr>
          <w:p>
            <w:pPr>
              <w:pStyle w:val="15"/>
              <w:rPr>
                <w:b w:val="0"/>
              </w:rPr>
            </w:pPr>
            <w:r>
              <w:rPr>
                <w:b w:val="0"/>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b w:val="0"/>
              </w:rPr>
            </w:pPr>
            <w:r>
              <w:rPr>
                <w:b w:val="0"/>
              </w:rPr>
              <w:t>栏次</w:t>
            </w:r>
          </w:p>
        </w:tc>
        <w:tc>
          <w:tcPr>
            <w:tcW w:w="1191" w:type="dxa"/>
            <w:vAlign w:val="center"/>
          </w:tcPr>
          <w:p>
            <w:pPr>
              <w:pStyle w:val="15"/>
              <w:rPr>
                <w:b w:val="0"/>
              </w:rPr>
            </w:pPr>
            <w:r>
              <w:rPr>
                <w:b w:val="0"/>
              </w:rPr>
              <w:t>1</w:t>
            </w:r>
          </w:p>
        </w:tc>
        <w:tc>
          <w:tcPr>
            <w:tcW w:w="4535" w:type="dxa"/>
            <w:vAlign w:val="center"/>
          </w:tcPr>
          <w:p>
            <w:pPr>
              <w:pStyle w:val="15"/>
              <w:rPr>
                <w:b w:val="0"/>
              </w:rPr>
            </w:pPr>
            <w:r>
              <w:rPr>
                <w:b w:val="0"/>
              </w:rPr>
              <w:t>2</w:t>
            </w:r>
          </w:p>
        </w:tc>
        <w:tc>
          <w:tcPr>
            <w:tcW w:w="2551" w:type="dxa"/>
            <w:vAlign w:val="center"/>
          </w:tcPr>
          <w:p>
            <w:pPr>
              <w:pStyle w:val="15"/>
              <w:rPr>
                <w:b w:val="0"/>
              </w:rPr>
            </w:pPr>
            <w:r>
              <w:rPr>
                <w:b w:val="0"/>
              </w:rPr>
              <w:t>3</w:t>
            </w:r>
          </w:p>
        </w:tc>
        <w:tc>
          <w:tcPr>
            <w:tcW w:w="2551" w:type="dxa"/>
            <w:vAlign w:val="center"/>
          </w:tcPr>
          <w:p>
            <w:pPr>
              <w:pStyle w:val="15"/>
              <w:rPr>
                <w:b w:val="0"/>
              </w:rPr>
            </w:pPr>
            <w:r>
              <w:rPr>
                <w:b w:val="0"/>
              </w:rPr>
              <w:t>4</w:t>
            </w:r>
          </w:p>
        </w:tc>
        <w:tc>
          <w:tcPr>
            <w:tcW w:w="2551" w:type="dxa"/>
            <w:vAlign w:val="center"/>
          </w:tcPr>
          <w:p>
            <w:pPr>
              <w:pStyle w:val="15"/>
              <w:rPr>
                <w:b w:val="0"/>
              </w:rPr>
            </w:pPr>
            <w:r>
              <w:rPr>
                <w:b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101001廊坊市广阳区人民代表大会常务委员会本级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b w:val="0"/>
              </w:rPr>
            </w:pPr>
            <w:r>
              <w:rPr>
                <w:b w:val="0"/>
              </w:rPr>
              <w:t>序号</w:t>
            </w:r>
          </w:p>
        </w:tc>
        <w:tc>
          <w:tcPr>
            <w:tcW w:w="5726" w:type="dxa"/>
            <w:gridSpan w:val="2"/>
            <w:vAlign w:val="center"/>
          </w:tcPr>
          <w:p>
            <w:pPr>
              <w:pStyle w:val="15"/>
              <w:rPr>
                <w:b w:val="0"/>
              </w:rPr>
            </w:pPr>
            <w:r>
              <w:rPr>
                <w:b w:val="0"/>
              </w:rPr>
              <w:t>功能分类科目</w:t>
            </w:r>
          </w:p>
        </w:tc>
        <w:tc>
          <w:tcPr>
            <w:tcW w:w="2551" w:type="dxa"/>
            <w:vMerge w:val="restart"/>
            <w:vAlign w:val="center"/>
          </w:tcPr>
          <w:p>
            <w:pPr>
              <w:pStyle w:val="15"/>
              <w:rPr>
                <w:b w:val="0"/>
              </w:rPr>
            </w:pPr>
            <w:r>
              <w:rPr>
                <w:b w:val="0"/>
              </w:rPr>
              <w:t>合计</w:t>
            </w:r>
          </w:p>
        </w:tc>
        <w:tc>
          <w:tcPr>
            <w:tcW w:w="2551" w:type="dxa"/>
            <w:vMerge w:val="restart"/>
            <w:vAlign w:val="center"/>
          </w:tcPr>
          <w:p>
            <w:pPr>
              <w:pStyle w:val="15"/>
              <w:rPr>
                <w:b w:val="0"/>
              </w:rPr>
            </w:pPr>
            <w:r>
              <w:rPr>
                <w:b w:val="0"/>
              </w:rPr>
              <w:t>基本支出</w:t>
            </w:r>
          </w:p>
        </w:tc>
        <w:tc>
          <w:tcPr>
            <w:tcW w:w="2551" w:type="dxa"/>
            <w:vMerge w:val="restart"/>
            <w:vAlign w:val="center"/>
          </w:tcPr>
          <w:p>
            <w:pPr>
              <w:pStyle w:val="15"/>
              <w:rPr>
                <w:b w:val="0"/>
              </w:rPr>
            </w:pPr>
            <w:r>
              <w:rPr>
                <w:b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rPr>
                <w:b w:val="0"/>
              </w:rPr>
            </w:pPr>
            <w:r>
              <w:rPr>
                <w:b w:val="0"/>
              </w:rPr>
              <w:t>科目编码</w:t>
            </w:r>
          </w:p>
        </w:tc>
        <w:tc>
          <w:tcPr>
            <w:tcW w:w="4535" w:type="dxa"/>
            <w:vAlign w:val="center"/>
          </w:tcPr>
          <w:p>
            <w:pPr>
              <w:pStyle w:val="15"/>
              <w:rPr>
                <w:b w:val="0"/>
              </w:rPr>
            </w:pPr>
            <w:r>
              <w:rPr>
                <w:b w:val="0"/>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b w:val="0"/>
              </w:rPr>
            </w:pPr>
            <w:r>
              <w:rPr>
                <w:b w:val="0"/>
              </w:rPr>
              <w:t>栏次</w:t>
            </w:r>
          </w:p>
        </w:tc>
        <w:tc>
          <w:tcPr>
            <w:tcW w:w="1191" w:type="dxa"/>
            <w:vAlign w:val="center"/>
          </w:tcPr>
          <w:p>
            <w:pPr>
              <w:pStyle w:val="15"/>
              <w:rPr>
                <w:b w:val="0"/>
              </w:rPr>
            </w:pPr>
            <w:r>
              <w:rPr>
                <w:b w:val="0"/>
              </w:rPr>
              <w:t>1</w:t>
            </w:r>
          </w:p>
        </w:tc>
        <w:tc>
          <w:tcPr>
            <w:tcW w:w="4535" w:type="dxa"/>
            <w:vAlign w:val="center"/>
          </w:tcPr>
          <w:p>
            <w:pPr>
              <w:pStyle w:val="15"/>
              <w:rPr>
                <w:b w:val="0"/>
              </w:rPr>
            </w:pPr>
            <w:r>
              <w:rPr>
                <w:b w:val="0"/>
              </w:rPr>
              <w:t>2</w:t>
            </w:r>
          </w:p>
        </w:tc>
        <w:tc>
          <w:tcPr>
            <w:tcW w:w="2551" w:type="dxa"/>
            <w:vAlign w:val="center"/>
          </w:tcPr>
          <w:p>
            <w:pPr>
              <w:pStyle w:val="15"/>
              <w:rPr>
                <w:b w:val="0"/>
              </w:rPr>
            </w:pPr>
            <w:r>
              <w:rPr>
                <w:b w:val="0"/>
              </w:rPr>
              <w:t>3</w:t>
            </w:r>
          </w:p>
        </w:tc>
        <w:tc>
          <w:tcPr>
            <w:tcW w:w="2551" w:type="dxa"/>
            <w:vAlign w:val="center"/>
          </w:tcPr>
          <w:p>
            <w:pPr>
              <w:pStyle w:val="15"/>
              <w:rPr>
                <w:b w:val="0"/>
              </w:rPr>
            </w:pPr>
            <w:r>
              <w:rPr>
                <w:b w:val="0"/>
              </w:rPr>
              <w:t>4</w:t>
            </w:r>
          </w:p>
        </w:tc>
        <w:tc>
          <w:tcPr>
            <w:tcW w:w="2551" w:type="dxa"/>
            <w:vAlign w:val="center"/>
          </w:tcPr>
          <w:p>
            <w:pPr>
              <w:pStyle w:val="15"/>
              <w:rPr>
                <w:b w:val="0"/>
              </w:rPr>
            </w:pPr>
            <w:r>
              <w:rPr>
                <w:b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101001廊坊市广阳区人民代表大会常务委员会本级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b w:val="0"/>
              </w:rPr>
            </w:pPr>
            <w:r>
              <w:rPr>
                <w:b w:val="0"/>
              </w:rPr>
              <w:t>序号</w:t>
            </w:r>
          </w:p>
        </w:tc>
        <w:tc>
          <w:tcPr>
            <w:tcW w:w="3798" w:type="dxa"/>
            <w:vMerge w:val="restart"/>
            <w:vAlign w:val="center"/>
          </w:tcPr>
          <w:p>
            <w:pPr>
              <w:pStyle w:val="15"/>
              <w:rPr>
                <w:b w:val="0"/>
              </w:rPr>
            </w:pPr>
            <w:r>
              <w:rPr>
                <w:b w:val="0"/>
              </w:rPr>
              <w:t>项  目</w:t>
            </w:r>
          </w:p>
        </w:tc>
        <w:tc>
          <w:tcPr>
            <w:tcW w:w="9524" w:type="dxa"/>
            <w:gridSpan w:val="4"/>
            <w:vAlign w:val="center"/>
          </w:tcPr>
          <w:p>
            <w:pPr>
              <w:pStyle w:val="15"/>
              <w:rPr>
                <w:b w:val="0"/>
              </w:rPr>
            </w:pPr>
            <w:r>
              <w:rPr>
                <w:b w:val="0"/>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rPr>
                <w:b w:val="0"/>
              </w:rPr>
            </w:pPr>
            <w:r>
              <w:rPr>
                <w:b w:val="0"/>
              </w:rPr>
              <w:t>合计</w:t>
            </w:r>
          </w:p>
        </w:tc>
        <w:tc>
          <w:tcPr>
            <w:tcW w:w="2381" w:type="dxa"/>
            <w:vAlign w:val="center"/>
          </w:tcPr>
          <w:p>
            <w:pPr>
              <w:pStyle w:val="15"/>
              <w:rPr>
                <w:b w:val="0"/>
              </w:rPr>
            </w:pPr>
            <w:r>
              <w:rPr>
                <w:b w:val="0"/>
              </w:rPr>
              <w:t>一般公共预算              财政拨款</w:t>
            </w:r>
          </w:p>
        </w:tc>
        <w:tc>
          <w:tcPr>
            <w:tcW w:w="2381" w:type="dxa"/>
            <w:vAlign w:val="center"/>
          </w:tcPr>
          <w:p>
            <w:pPr>
              <w:pStyle w:val="15"/>
              <w:rPr>
                <w:b w:val="0"/>
              </w:rPr>
            </w:pPr>
            <w:r>
              <w:rPr>
                <w:b w:val="0"/>
              </w:rPr>
              <w:t>政府性基金                  预算拨款</w:t>
            </w:r>
          </w:p>
        </w:tc>
        <w:tc>
          <w:tcPr>
            <w:tcW w:w="2381" w:type="dxa"/>
            <w:vAlign w:val="center"/>
          </w:tcPr>
          <w:p>
            <w:pPr>
              <w:pStyle w:val="15"/>
              <w:rPr>
                <w:b w:val="0"/>
              </w:rPr>
            </w:pPr>
            <w:r>
              <w:rPr>
                <w:b w:val="0"/>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rPr>
                <w:b w:val="0"/>
              </w:rPr>
            </w:pPr>
            <w:r>
              <w:rPr>
                <w:b w:val="0"/>
              </w:rPr>
              <w:t>栏次</w:t>
            </w:r>
          </w:p>
        </w:tc>
        <w:tc>
          <w:tcPr>
            <w:tcW w:w="3798" w:type="dxa"/>
            <w:vAlign w:val="center"/>
          </w:tcPr>
          <w:p>
            <w:pPr>
              <w:pStyle w:val="15"/>
              <w:rPr>
                <w:b w:val="0"/>
              </w:rPr>
            </w:pPr>
            <w:r>
              <w:rPr>
                <w:b w:val="0"/>
              </w:rPr>
              <w:t>1</w:t>
            </w:r>
          </w:p>
        </w:tc>
        <w:tc>
          <w:tcPr>
            <w:tcW w:w="2381" w:type="dxa"/>
            <w:vAlign w:val="center"/>
          </w:tcPr>
          <w:p>
            <w:pPr>
              <w:pStyle w:val="15"/>
              <w:rPr>
                <w:b w:val="0"/>
              </w:rPr>
            </w:pPr>
            <w:r>
              <w:rPr>
                <w:b w:val="0"/>
              </w:rPr>
              <w:t>2</w:t>
            </w:r>
          </w:p>
        </w:tc>
        <w:tc>
          <w:tcPr>
            <w:tcW w:w="2381" w:type="dxa"/>
            <w:vAlign w:val="center"/>
          </w:tcPr>
          <w:p>
            <w:pPr>
              <w:pStyle w:val="15"/>
              <w:rPr>
                <w:b w:val="0"/>
              </w:rPr>
            </w:pPr>
            <w:r>
              <w:rPr>
                <w:b w:val="0"/>
              </w:rPr>
              <w:t>3</w:t>
            </w:r>
          </w:p>
        </w:tc>
        <w:tc>
          <w:tcPr>
            <w:tcW w:w="2381" w:type="dxa"/>
            <w:vAlign w:val="center"/>
          </w:tcPr>
          <w:p>
            <w:pPr>
              <w:pStyle w:val="15"/>
              <w:rPr>
                <w:b w:val="0"/>
              </w:rPr>
            </w:pPr>
            <w:r>
              <w:rPr>
                <w:b w:val="0"/>
              </w:rPr>
              <w:t>4</w:t>
            </w:r>
          </w:p>
        </w:tc>
        <w:tc>
          <w:tcPr>
            <w:tcW w:w="2381" w:type="dxa"/>
            <w:vAlign w:val="center"/>
          </w:tcPr>
          <w:p>
            <w:pPr>
              <w:pStyle w:val="15"/>
              <w:rPr>
                <w:b w:val="0"/>
              </w:rPr>
            </w:pPr>
            <w:r>
              <w:rPr>
                <w:b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rPr>
                <w:b w:val="0"/>
              </w:rPr>
            </w:pPr>
            <w:r>
              <w:rPr>
                <w:b w:val="0"/>
              </w:rPr>
              <w:t>“三公”经费小计</w:t>
            </w:r>
          </w:p>
        </w:tc>
        <w:tc>
          <w:tcPr>
            <w:tcW w:w="2381" w:type="dxa"/>
            <w:vAlign w:val="center"/>
          </w:tcPr>
          <w:p>
            <w:pPr>
              <w:pStyle w:val="20"/>
              <w:rPr>
                <w:b w:val="0"/>
              </w:rPr>
            </w:pPr>
            <w:r>
              <w:rPr>
                <w:b w:val="0"/>
              </w:rPr>
              <w:t>37.26</w:t>
            </w:r>
          </w:p>
        </w:tc>
        <w:tc>
          <w:tcPr>
            <w:tcW w:w="2381" w:type="dxa"/>
            <w:vAlign w:val="center"/>
          </w:tcPr>
          <w:p>
            <w:pPr>
              <w:pStyle w:val="20"/>
              <w:rPr>
                <w:b w:val="0"/>
              </w:rPr>
            </w:pPr>
            <w:r>
              <w:rPr>
                <w:b w:val="0"/>
              </w:rPr>
              <w:t>37.26</w:t>
            </w:r>
          </w:p>
        </w:tc>
        <w:tc>
          <w:tcPr>
            <w:tcW w:w="2381" w:type="dxa"/>
            <w:vAlign w:val="center"/>
          </w:tcPr>
          <w:p>
            <w:pPr>
              <w:pStyle w:val="20"/>
              <w:rPr>
                <w:b w:val="0"/>
              </w:rPr>
            </w:pPr>
          </w:p>
        </w:tc>
        <w:tc>
          <w:tcPr>
            <w:tcW w:w="2381" w:type="dxa"/>
            <w:vAlign w:val="center"/>
          </w:tcPr>
          <w:p>
            <w:pPr>
              <w:pStyle w:val="20"/>
              <w:rPr>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8.76</w:t>
            </w:r>
          </w:p>
        </w:tc>
        <w:tc>
          <w:tcPr>
            <w:tcW w:w="2381" w:type="dxa"/>
            <w:vAlign w:val="center"/>
          </w:tcPr>
          <w:p>
            <w:pPr>
              <w:pStyle w:val="16"/>
            </w:pPr>
            <w:r>
              <w:t>8.76</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8.76</w:t>
            </w:r>
          </w:p>
        </w:tc>
        <w:tc>
          <w:tcPr>
            <w:tcW w:w="2381" w:type="dxa"/>
            <w:vAlign w:val="center"/>
          </w:tcPr>
          <w:p>
            <w:pPr>
              <w:pStyle w:val="16"/>
            </w:pPr>
            <w:r>
              <w:t>8.76</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r>
              <w:t>28.50</w:t>
            </w:r>
          </w:p>
        </w:tc>
        <w:tc>
          <w:tcPr>
            <w:tcW w:w="2381" w:type="dxa"/>
            <w:vAlign w:val="center"/>
          </w:tcPr>
          <w:p>
            <w:pPr>
              <w:pStyle w:val="16"/>
            </w:pPr>
            <w:r>
              <w:t>28.50</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廊坊市广阳区人民代表大会常务委员会本级2023年单位预算信息公开情况说明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预算法》、《地方预决算公开操作规程》和《关于进一步推进预算公开工作的实施意见》规定，现将廊坊市广阳区人民代表大会常务委员会本级2023年单位预算公开如下：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color w:val="000000"/>
          <w:sz w:val="32"/>
        </w:rPr>
        <w:t>单位职责：</w:t>
      </w:r>
    </w:p>
    <w:p>
      <w:pPr>
        <w:pStyle w:val="30"/>
      </w:pPr>
      <w:r>
        <w:t>根据《廊坊市广阳区人民代表大会常务委员会职能配置、内设机构和人员编制规定》，廊坊市广阳区人民代表大会常务委员会的主要职责是：</w:t>
      </w:r>
    </w:p>
    <w:p>
      <w:pPr>
        <w:pStyle w:val="30"/>
      </w:pPr>
      <w:r>
        <w:t>廊坊市广阳区人民代表大会常务委员会是廊坊市广阳区人民代表大会的常设机关。依照宪法和地方组织法的规定，区人民代表大会常务委员会行使下列职权:</w:t>
      </w:r>
    </w:p>
    <w:p>
      <w:pPr>
        <w:pStyle w:val="30"/>
      </w:pPr>
      <w:r>
        <w:t>（一）在广阳区人民代表大会闭会期间，根据本行政区域的具体情况和实际需要，审议决定广阳区政治、经济、科学、教育、文化、卫生、环境与资源保护、民政、民族等工作的重大事项以及人民群众普遍关注和迫切要求解决的重大问题；在广阳区人民代表大会闭会期间，审查和批准国民经济和社会发展计划、预算在执行过程中所必须作的部分调整方案。</w:t>
      </w:r>
    </w:p>
    <w:p>
      <w:pPr>
        <w:pStyle w:val="30"/>
      </w:pPr>
      <w:r>
        <w:t>（二）监督广阳区人民政府、广阳区监察委员会、广阳区人民法院、广阳区人民检察院的工作。</w:t>
      </w:r>
    </w:p>
    <w:p>
      <w:pPr>
        <w:pStyle w:val="30"/>
      </w:pPr>
      <w:r>
        <w:t>（三）撤销广阳区人民政府制定的同宪法、法律、法规相抵触的行政法规、决定和命令；撤销下一级国家权力机关制定的同宪法、法律和行政法规相抵触的决定和决议。</w:t>
      </w:r>
    </w:p>
    <w:p>
      <w:pPr>
        <w:pStyle w:val="30"/>
      </w:pPr>
      <w:r>
        <w:t>（四）在广阳区人民代表大会闭会期间，根据广阳区人民政府区长的提名，决定广阳区人民政府办公室主任、局长的人选；根据广阳区监察委员会主任提请，任免监察委员会副主任委员、委员；根据广阳区人民法院院长的提请，任免广阳区人民法院副院长、庭长、审判委员会委员、审判员；根据广阳区人民检察院检察长的提请，任免广阳区人民检察院副检察长、检察委员会委员、检察员。</w:t>
      </w:r>
    </w:p>
    <w:p>
      <w:pPr>
        <w:pStyle w:val="30"/>
      </w:pPr>
      <w:r>
        <w:t>（五）审议决定常务委员会认为应当依法审议、决定的其他重大事项。</w:t>
      </w:r>
    </w:p>
    <w:p>
      <w:pPr>
        <w:pStyle w:val="30"/>
      </w:pPr>
    </w:p>
    <w:p>
      <w:pPr>
        <w:ind w:firstLine="640"/>
      </w:pPr>
      <w:r>
        <w:rPr>
          <w:rFonts w:ascii="方正楷体_GBK" w:hAnsi="方正楷体_GBK" w:eastAsia="方正楷体_GBK" w:cs="方正楷体_GBK"/>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rPr>
                <w:b w:val="0"/>
              </w:rPr>
            </w:pPr>
            <w:r>
              <w:rPr>
                <w:b w:val="0"/>
              </w:rPr>
              <w:t>单位名称</w:t>
            </w:r>
          </w:p>
        </w:tc>
        <w:tc>
          <w:tcPr>
            <w:tcW w:w="1843" w:type="dxa"/>
            <w:vAlign w:val="center"/>
          </w:tcPr>
          <w:p>
            <w:pPr>
              <w:pStyle w:val="15"/>
              <w:rPr>
                <w:b w:val="0"/>
              </w:rPr>
            </w:pPr>
            <w:r>
              <w:rPr>
                <w:b w:val="0"/>
              </w:rPr>
              <w:t>单位性质</w:t>
            </w:r>
          </w:p>
        </w:tc>
        <w:tc>
          <w:tcPr>
            <w:tcW w:w="2126" w:type="dxa"/>
            <w:vAlign w:val="center"/>
          </w:tcPr>
          <w:p>
            <w:pPr>
              <w:pStyle w:val="15"/>
              <w:rPr>
                <w:b w:val="0"/>
              </w:rPr>
            </w:pPr>
            <w:r>
              <w:rPr>
                <w:b w:val="0"/>
              </w:rPr>
              <w:t>单位规格</w:t>
            </w:r>
          </w:p>
        </w:tc>
        <w:tc>
          <w:tcPr>
            <w:tcW w:w="3827" w:type="dxa"/>
            <w:vAlign w:val="center"/>
          </w:tcPr>
          <w:p>
            <w:pPr>
              <w:pStyle w:val="15"/>
              <w:rPr>
                <w:b w:val="0"/>
              </w:rPr>
            </w:pPr>
            <w:r>
              <w:rPr>
                <w:b w:val="0"/>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廊坊市广阳区人民代表大会常务委员会本级</w:t>
            </w:r>
          </w:p>
        </w:tc>
        <w:tc>
          <w:tcPr>
            <w:tcW w:w="1843" w:type="dxa"/>
            <w:vAlign w:val="center"/>
          </w:tcPr>
          <w:p>
            <w:pPr>
              <w:pStyle w:val="18"/>
            </w:pPr>
            <w:r>
              <w:t>行政</w:t>
            </w:r>
          </w:p>
        </w:tc>
        <w:tc>
          <w:tcPr>
            <w:tcW w:w="2126" w:type="dxa"/>
            <w:vAlign w:val="center"/>
          </w:tcPr>
          <w:p>
            <w:pPr>
              <w:pStyle w:val="18"/>
            </w:pPr>
            <w:r>
              <w:t>正处（县）级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按照预算管理有关规定，目前我区单位预算的编制实行综合预算管理，即全部收入和支出都反映在预算中。</w:t>
      </w:r>
    </w:p>
    <w:p>
      <w:pPr>
        <w:pStyle w:val="31"/>
      </w:pPr>
      <w:r>
        <w:t>1、收入说明</w:t>
      </w:r>
    </w:p>
    <w:p>
      <w:pPr>
        <w:pStyle w:val="31"/>
      </w:pPr>
      <w:r>
        <w:t>反映本单位当年全部收入。2023年预算收入1426.09万元，其中：一般公共预算收入1426.09万元，基金预算收入0万元，财政专户核拨收入0万元，其他来源收入0万元，上年结转0万元。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人民代表大会常务委员会本级2023年度部门预算中支出预算的总体情况。2023年支出预算1426.09万元，其中基本支出1322.59万元，包括人员经费1170.32万元和日常公用经费152.27万元；项目支出103.50万元，主要为第六届人民代表大会第三次会议经费、学习培训经费、政务服务管理经费经费支出。</w:t>
      </w:r>
    </w:p>
    <w:p>
      <w:pPr>
        <w:pStyle w:val="31"/>
      </w:pPr>
      <w:r>
        <w:t>3、比上年增减情况</w:t>
      </w:r>
    </w:p>
    <w:p>
      <w:pPr>
        <w:pStyle w:val="31"/>
      </w:pPr>
      <w:r>
        <w:t>2023年预算收支安排1426.09万元，较2022年预算增加121.8万元，其中：基本支出增加138.3万元，增加原因主要为人员增加；项目支出减少16.5万元，减少原因主要为建设代表联络站经费项目支出减少。</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2023年，我单位运行经费共计安排152.27万元，主要用于机关办公区的日常维修、办公用房水电费、办公用房取暖费、办公用房物业管理费等日常运行支出。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37.26万元。其中，因公出国（境）费0万元；公务用车购置及运维费8.76万元（其中：公务用车购置费为0万元，公务用车运维费8.76万元)；公务接待费28.5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hint="eastAsia" w:ascii="方正楷体_GBK" w:eastAsia="方正楷体_GBK"/>
          <w:bCs/>
          <w:color w:val="000000"/>
          <w:sz w:val="32"/>
          <w:szCs w:val="32"/>
        </w:rPr>
        <w:t>第一部分 部门整体绩效目标</w:t>
      </w:r>
    </w:p>
    <w:p>
      <w:pPr>
        <w:spacing w:line="500" w:lineRule="exact"/>
        <w:ind w:firstLine="560"/>
      </w:pPr>
      <w:r>
        <w:rPr>
          <w:rFonts w:ascii="方正仿宋_GBK" w:eastAsia="方正仿宋_GBK"/>
          <w:color w:val="000000"/>
          <w:sz w:val="28"/>
          <w:szCs w:val="28"/>
        </w:rPr>
        <w:t>（一）总体绩效目标</w:t>
      </w:r>
    </w:p>
    <w:p>
      <w:pPr>
        <w:pStyle w:val="26"/>
      </w:pPr>
      <w:r>
        <w:rPr>
          <w:rFonts w:ascii="方正仿宋_GBK"/>
        </w:rPr>
        <w:t>坚持党的领导、</w:t>
      </w:r>
      <w:r>
        <w:rPr>
          <w:rFonts w:hint="eastAsia" w:ascii="方正仿宋_GBK"/>
          <w:lang w:eastAsia="zh-CN"/>
        </w:rPr>
        <w:t>人民当家作主</w:t>
      </w:r>
      <w:r>
        <w:rPr>
          <w:rFonts w:ascii="方正仿宋_GBK"/>
        </w:rPr>
        <w:t>、依法治国有机统一，坚定不移走中国特色社会主义政治发展道路。坚持人民代表大会制度，讨论和决定本行政区域内的重大事项，保证宪法、法律和上级人民代表大会及其常务委员会决议的遵守和执行，全年召开</w:t>
      </w:r>
      <w:r>
        <w:t>7</w:t>
      </w:r>
      <w:r>
        <w:rPr>
          <w:rFonts w:ascii="方正仿宋_GBK"/>
        </w:rPr>
        <w:t>次法定会议。通过依法监督工作，开展专项调研、视察、执法检查活动全年不少于</w:t>
      </w:r>
      <w:r>
        <w:t>6</w:t>
      </w:r>
      <w:r>
        <w:rPr>
          <w:rFonts w:ascii="方正仿宋_GBK"/>
        </w:rPr>
        <w:t>次，进一步保障和改善民生，维护社会和谐。在区人民代表大会闭会期间，依法任免</w:t>
      </w:r>
      <w:r>
        <w:t>“</w:t>
      </w:r>
      <w:r>
        <w:rPr>
          <w:rFonts w:ascii="方正仿宋_GBK"/>
        </w:rPr>
        <w:t>一府一委两院</w:t>
      </w:r>
      <w:r>
        <w:t>”</w:t>
      </w:r>
      <w:r>
        <w:rPr>
          <w:rFonts w:ascii="方正仿宋_GBK"/>
        </w:rPr>
        <w:t>和区人大常委会机关工作人员。联系区人民代表大会代表，全年组织代表履职和培训交流活动，受理人民群众的申诉和意见，更好担负起宪法和法律赋予的神圣职责。</w:t>
      </w:r>
    </w:p>
    <w:p>
      <w:pPr>
        <w:spacing w:line="500" w:lineRule="exact"/>
        <w:ind w:firstLine="560"/>
      </w:pPr>
      <w:r>
        <w:rPr>
          <w:rFonts w:ascii="方正仿宋_GBK" w:eastAsia="方正仿宋_GBK"/>
          <w:color w:val="000000"/>
          <w:sz w:val="28"/>
          <w:szCs w:val="28"/>
        </w:rPr>
        <w:t>（二）分项绩效目标</w:t>
      </w:r>
    </w:p>
    <w:p>
      <w:pPr>
        <w:pStyle w:val="27"/>
      </w:pPr>
      <w:r>
        <w:t>1</w:t>
      </w:r>
      <w:r>
        <w:rPr>
          <w:rFonts w:ascii="方正仿宋_GBK"/>
        </w:rPr>
        <w:t>、政务服务管理经费</w:t>
      </w:r>
    </w:p>
    <w:p>
      <w:pPr>
        <w:pStyle w:val="27"/>
      </w:pPr>
      <w:r>
        <w:rPr>
          <w:rFonts w:ascii="方正仿宋_GBK"/>
        </w:rPr>
        <w:t>绩效目标：保障廊坊市广阳区人民代表大会常务委员会各项工作顺利开展，保障廊坊市广阳区人民代表大会常务委员会完成上级布置的各项工作，实现工作高效规范开展，提高服务质量。</w:t>
      </w:r>
      <w:r>
        <w:tab/>
      </w:r>
      <w:r>
        <w:tab/>
      </w:r>
      <w:r>
        <w:tab/>
      </w:r>
    </w:p>
    <w:p>
      <w:pPr>
        <w:pStyle w:val="27"/>
      </w:pPr>
      <w:r>
        <w:rPr>
          <w:rFonts w:ascii="方正仿宋_GBK"/>
        </w:rPr>
        <w:t>绩效指标：数量指标完成工作量占应完成总量的比例</w:t>
      </w:r>
      <w:r>
        <w:t>≥95.00%</w:t>
      </w:r>
      <w:r>
        <w:rPr>
          <w:rFonts w:ascii="方正仿宋_GBK"/>
        </w:rPr>
        <w:t>；质量指标合格数量占总数量的比例</w:t>
      </w:r>
      <w:r>
        <w:t>≥95.00%</w:t>
      </w:r>
      <w:r>
        <w:rPr>
          <w:rFonts w:ascii="方正仿宋_GBK"/>
        </w:rPr>
        <w:t>；时效指标经费保障及时；成本指标不超预算成本</w:t>
      </w:r>
      <w:r>
        <w:t>≤100.00%</w:t>
      </w:r>
      <w:r>
        <w:rPr>
          <w:rFonts w:ascii="方正仿宋_GBK"/>
        </w:rPr>
        <w:t>；社会效益指标购置对业务保障能力的提升情况有效提升；经济效益指标有效提升经济发展；服务对象满意度指标满意人数占总人数的比例</w:t>
      </w:r>
      <w:r>
        <w:t>≥95.00%</w:t>
      </w:r>
    </w:p>
    <w:p>
      <w:pPr>
        <w:pStyle w:val="27"/>
      </w:pPr>
      <w:r>
        <w:t>2</w:t>
      </w:r>
      <w:r>
        <w:rPr>
          <w:rFonts w:ascii="方正仿宋_GBK"/>
        </w:rPr>
        <w:t>、学习培训经费</w:t>
      </w:r>
    </w:p>
    <w:p>
      <w:pPr>
        <w:pStyle w:val="27"/>
      </w:pPr>
      <w:r>
        <w:rPr>
          <w:rFonts w:ascii="方正仿宋_GBK"/>
        </w:rPr>
        <w:t>绩效目标：加强人员培训，加大宣传力度，强化预算绩效管理意识，促进预算绩效管理水平提升。</w:t>
      </w:r>
      <w:r>
        <w:tab/>
      </w:r>
      <w:r>
        <w:tab/>
      </w:r>
      <w:r>
        <w:tab/>
      </w:r>
      <w:r>
        <w:tab/>
      </w:r>
      <w:r>
        <w:tab/>
      </w:r>
      <w:r>
        <w:tab/>
      </w:r>
    </w:p>
    <w:p>
      <w:pPr>
        <w:pStyle w:val="27"/>
      </w:pPr>
      <w:r>
        <w:rPr>
          <w:rFonts w:ascii="方正仿宋_GBK"/>
        </w:rPr>
        <w:t>绩效指标：数量指标培训次数大于等于</w:t>
      </w:r>
      <w:r>
        <w:t>1</w:t>
      </w:r>
      <w:r>
        <w:rPr>
          <w:rFonts w:ascii="方正仿宋_GBK"/>
        </w:rPr>
        <w:t>次；质量指标培训资料保管率</w:t>
      </w:r>
      <w:r>
        <w:t>≥95.00%</w:t>
      </w:r>
      <w:r>
        <w:rPr>
          <w:rFonts w:ascii="方正仿宋_GBK"/>
        </w:rPr>
        <w:t>；时效指标培训及时；成本指标培训标准</w:t>
      </w:r>
      <w:r>
        <w:t>≤450.00</w:t>
      </w:r>
      <w:r>
        <w:tab/>
      </w:r>
      <w:r>
        <w:rPr>
          <w:rFonts w:ascii="方正仿宋_GBK"/>
        </w:rPr>
        <w:t>元</w:t>
      </w:r>
      <w:r>
        <w:t>/</w:t>
      </w:r>
      <w:r>
        <w:rPr>
          <w:rFonts w:ascii="方正仿宋_GBK"/>
        </w:rPr>
        <w:t>人</w:t>
      </w:r>
      <w:r>
        <w:t>/</w:t>
      </w:r>
      <w:r>
        <w:rPr>
          <w:rFonts w:ascii="方正仿宋_GBK"/>
        </w:rPr>
        <w:t>天；社会效益指标参加培训人员业务提升有效提升；经济效益指标有效推动经济发展</w:t>
      </w:r>
      <w:r>
        <w:tab/>
      </w:r>
      <w:r>
        <w:rPr>
          <w:rFonts w:ascii="方正仿宋_GBK"/>
        </w:rPr>
        <w:t>；服务对象满意度指标培训人员满意度</w:t>
      </w:r>
      <w:r>
        <w:t>≥95.00</w:t>
      </w:r>
      <w:r>
        <w:tab/>
      </w:r>
      <w:r>
        <w:t>%</w:t>
      </w:r>
    </w:p>
    <w:p>
      <w:pPr>
        <w:pStyle w:val="27"/>
      </w:pPr>
      <w:r>
        <w:t>3</w:t>
      </w:r>
      <w:r>
        <w:rPr>
          <w:rFonts w:ascii="方正仿宋_GBK"/>
        </w:rPr>
        <w:t>、第六届人民代表大会第三次会议经费</w:t>
      </w:r>
    </w:p>
    <w:p>
      <w:pPr>
        <w:pStyle w:val="27"/>
      </w:pPr>
      <w:r>
        <w:rPr>
          <w:rFonts w:ascii="方正仿宋_GBK"/>
        </w:rPr>
        <w:t>绩效目标：完善各项会议制度，规范会议程序，提高会议质量，提高人大代表履职水平。</w:t>
      </w:r>
      <w:r>
        <w:tab/>
      </w:r>
      <w:r>
        <w:tab/>
      </w:r>
      <w:r>
        <w:tab/>
      </w:r>
      <w:r>
        <w:tab/>
      </w:r>
      <w:r>
        <w:tab/>
      </w:r>
      <w:r>
        <w:tab/>
      </w:r>
    </w:p>
    <w:p>
      <w:pPr>
        <w:pStyle w:val="27"/>
      </w:pPr>
      <w:r>
        <w:rPr>
          <w:rFonts w:ascii="方正仿宋_GBK"/>
        </w:rPr>
        <w:t>绩效指标：数量指标会议数量</w:t>
      </w:r>
      <w:r>
        <w:t>1</w:t>
      </w:r>
      <w:r>
        <w:rPr>
          <w:rFonts w:ascii="方正仿宋_GBK"/>
        </w:rPr>
        <w:t>次；质量指标会议圆满完成；时效指标会议完成时间</w:t>
      </w:r>
      <w:r>
        <w:t>3</w:t>
      </w:r>
      <w:r>
        <w:rPr>
          <w:rFonts w:ascii="方正仿宋_GBK"/>
        </w:rPr>
        <w:t>月前；成本指标成本控制率</w:t>
      </w:r>
      <w:r>
        <w:t>≤100.00%</w:t>
      </w:r>
      <w:r>
        <w:rPr>
          <w:rFonts w:ascii="方正仿宋_GBK"/>
        </w:rPr>
        <w:t>；社会效益指标推动工作开展</w:t>
      </w:r>
      <w:r>
        <w:t>≥5.00%</w:t>
      </w:r>
      <w:r>
        <w:rPr>
          <w:rFonts w:ascii="方正仿宋_GBK"/>
        </w:rPr>
        <w:t>；经济效益指标有效推动经济发展；服务对象满意度指标参会人员满意度</w:t>
      </w:r>
      <w:r>
        <w:t>≥95.00%</w:t>
      </w:r>
    </w:p>
    <w:p>
      <w:pPr>
        <w:pStyle w:val="27"/>
      </w:pPr>
      <w:r>
        <w:t xml:space="preserve"> </w:t>
      </w:r>
    </w:p>
    <w:p>
      <w:pPr>
        <w:pStyle w:val="27"/>
      </w:pPr>
      <w:r>
        <w:t xml:space="preserve"> </w:t>
      </w:r>
    </w:p>
    <w:p>
      <w:pPr>
        <w:spacing w:line="500" w:lineRule="exact"/>
        <w:ind w:firstLine="560"/>
      </w:pPr>
      <w:r>
        <w:rPr>
          <w:rFonts w:ascii="方正仿宋_GBK" w:eastAsia="方正仿宋_GBK"/>
          <w:color w:val="000000"/>
          <w:sz w:val="28"/>
          <w:szCs w:val="28"/>
        </w:rPr>
        <w:t>（三）工作保障措施</w:t>
      </w:r>
    </w:p>
    <w:p>
      <w:pPr>
        <w:pStyle w:val="28"/>
      </w:pPr>
      <w:r>
        <w:t>1</w:t>
      </w:r>
      <w:r>
        <w:rPr>
          <w:rFonts w:ascii="方正仿宋_GBK"/>
        </w:rPr>
        <w:t>、健全完善机关制度建设。健全和完善预算绩效管理制度和机关财务管理制度，为全年预算绩效目标的实现奠定制度基础。</w:t>
      </w:r>
    </w:p>
    <w:p>
      <w:pPr>
        <w:pStyle w:val="28"/>
      </w:pPr>
      <w:r>
        <w:t>2</w:t>
      </w:r>
      <w:r>
        <w:rPr>
          <w:rFonts w:ascii="方正仿宋_GBK"/>
        </w:rPr>
        <w:t>、加强预算支出管理。通过对下一年度预算的科学、详实、有序的编制，优化支出结构、编细编实预算。按照批复的年初预算，及早着手项目启动工作，确保支出进度达标。</w:t>
      </w:r>
    </w:p>
    <w:p>
      <w:pPr>
        <w:pStyle w:val="28"/>
      </w:pPr>
      <w:r>
        <w:t>3</w:t>
      </w:r>
      <w:r>
        <w:rPr>
          <w:rFonts w:ascii="方正仿宋_GBK"/>
        </w:rPr>
        <w:t>、加强预算绩效监控。按照预算绩效管理办法要求，开展项目绩效运行监控，同工作开展情况相联系，及时进行项目工作督导，确保绩效目标保质保量完成，达到预期效果。</w:t>
      </w:r>
    </w:p>
    <w:p>
      <w:pPr>
        <w:pStyle w:val="28"/>
      </w:pPr>
      <w:r>
        <w:t>4</w:t>
      </w:r>
      <w:r>
        <w:rPr>
          <w:rFonts w:ascii="方正仿宋_GBK"/>
        </w:rPr>
        <w:t>、加强内部监督工作。按照机关</w:t>
      </w:r>
      <w:r>
        <w:t>“</w:t>
      </w:r>
      <w:r>
        <w:rPr>
          <w:rFonts w:ascii="方正仿宋_GBK"/>
        </w:rPr>
        <w:t>三重一大</w:t>
      </w:r>
      <w:r>
        <w:t>”</w:t>
      </w:r>
      <w:r>
        <w:rPr>
          <w:rFonts w:ascii="方正仿宋_GBK"/>
        </w:rPr>
        <w:t>制度管理要求，加强预算项目资金管理。对预算绩效和预算支出进度情况进行及时检查督促，做好每年度收支内部审计工作，保证财政资金的安全有效。</w:t>
      </w:r>
    </w:p>
    <w:p>
      <w:pPr>
        <w:pStyle w:val="28"/>
      </w:pPr>
      <w:r>
        <w:t>5</w:t>
      </w:r>
      <w:r>
        <w:rPr>
          <w:rFonts w:ascii="方正仿宋_GBK"/>
        </w:rPr>
        <w:t>、规范机关资产管理。健全完善机关资产管理制度，严格预算资金的审批程序，做到事前有审批，事后有验收。加强资产购置、使用、登记和报废处置管理，做到支出合理，物尽其用。</w:t>
      </w:r>
    </w:p>
    <w:p>
      <w:pPr>
        <w:pStyle w:val="28"/>
      </w:pPr>
      <w:r>
        <w:t>6</w:t>
      </w:r>
      <w:r>
        <w:rPr>
          <w:rFonts w:ascii="方正仿宋_GBK"/>
        </w:rPr>
        <w:t>、做好项目绩效自评工作。按照预算绩效管理办法规定，开展上年度部门预算绩效自评和重点评价工作，对评价中发现的问题及时整改，调整优化支出结构，提高财政资金使用效益。</w:t>
      </w:r>
    </w:p>
    <w:p>
      <w:pPr>
        <w:pStyle w:val="28"/>
      </w:pPr>
      <w:r>
        <w:t>7</w:t>
      </w:r>
      <w:r>
        <w:rPr>
          <w:rFonts w:ascii="方正仿宋_GBK"/>
        </w:rPr>
        <w:t>、强化领导，统筹协调。总体谋划和制定区人大常委会工作要点。明确目标任务、责任主体，重要工作成立领导小组，确保各项工作有序、有效开展。</w:t>
      </w:r>
    </w:p>
    <w:p>
      <w:pPr>
        <w:pStyle w:val="28"/>
      </w:pPr>
      <w:r>
        <w:t>8</w:t>
      </w:r>
      <w:r>
        <w:rPr>
          <w:rFonts w:ascii="方正仿宋_GBK"/>
        </w:rPr>
        <w:t>、创新方式，深入调研。强化创新意识，提高综合工作效能，实现工作效果最大化。把深入开展调查研究作为提升工作成效的重要手段。同时，加强人员培训，提高业务素质，促进整体工作进一步提升。</w:t>
      </w:r>
    </w:p>
    <w:p>
      <w:pPr>
        <w:pStyle w:val="28"/>
      </w:pPr>
      <w:r>
        <w:t xml:space="preserve"> </w:t>
      </w:r>
    </w:p>
    <w:p>
      <w:pPr>
        <w:ind w:firstLine="640"/>
      </w:pPr>
      <w:r>
        <w:rPr>
          <w:rFonts w:hint="eastAsia" w:ascii="方正仿宋_GBK" w:hAnsi="方正楷体_GBK" w:eastAsia="方正仿宋_GBK" w:cs="方正楷体_GBK"/>
          <w:color w:val="000000"/>
          <w:sz w:val="28"/>
          <w:szCs w:val="28"/>
        </w:rPr>
        <w:t>（四）部门整体支出绩效指标</w:t>
      </w:r>
    </w:p>
    <w:p>
      <w:pPr>
        <w:rPr>
          <w:rFonts w:ascii="方正书宋_GBK" w:eastAsia="方正书宋_GBK"/>
          <w:bCs/>
          <w:color w:val="000000"/>
        </w:rPr>
        <w:sectPr>
          <w:pgSz w:w="16840" w:h="11900" w:orient="landscape"/>
          <w:pgMar w:top="1361" w:right="1020" w:bottom="1361" w:left="1020" w:header="720" w:footer="720" w:gutter="0"/>
          <w:cols w:space="720" w:num="1"/>
        </w:sectPr>
      </w:pP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83"/>
        <w:gridCol w:w="603"/>
        <w:gridCol w:w="2099"/>
        <w:gridCol w:w="5889"/>
        <w:gridCol w:w="2815"/>
        <w:gridCol w:w="475"/>
        <w:gridCol w:w="400"/>
        <w:gridCol w:w="782"/>
        <w:gridCol w:w="884"/>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0" w:type="auto"/>
            <w:vMerge w:val="restart"/>
            <w:tcBorders>
              <w:top w:val="single" w:color="000000"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bCs/>
                <w:color w:val="000000"/>
              </w:rPr>
            </w:pPr>
            <w:r>
              <w:rPr>
                <w:rFonts w:hint="eastAsia" w:ascii="方正书宋_GBK" w:eastAsia="方正书宋_GBK"/>
                <w:bCs/>
                <w:color w:val="000000"/>
              </w:rPr>
              <w:t>一级指标</w:t>
            </w:r>
          </w:p>
        </w:tc>
        <w:tc>
          <w:tcPr>
            <w:tcW w:w="0" w:type="auto"/>
            <w:vMerge w:val="restart"/>
            <w:tcBorders>
              <w:top w:val="single" w:color="000000"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bCs/>
                <w:color w:val="000000"/>
              </w:rPr>
            </w:pPr>
            <w:r>
              <w:rPr>
                <w:rFonts w:hint="eastAsia" w:ascii="方正书宋_GBK" w:eastAsia="方正书宋_GBK"/>
                <w:bCs/>
                <w:color w:val="000000"/>
              </w:rPr>
              <w:t>二级</w:t>
            </w:r>
          </w:p>
          <w:p>
            <w:pPr>
              <w:jc w:val="center"/>
              <w:rPr>
                <w:rFonts w:ascii="方正书宋_GBK" w:eastAsia="方正书宋_GBK"/>
                <w:bCs/>
                <w:color w:val="000000"/>
              </w:rPr>
            </w:pPr>
            <w:r>
              <w:rPr>
                <w:rFonts w:hint="eastAsia" w:ascii="方正书宋_GBK" w:eastAsia="方正书宋_GBK"/>
                <w:bCs/>
                <w:color w:val="000000"/>
              </w:rPr>
              <w:t>指标</w:t>
            </w:r>
          </w:p>
        </w:tc>
        <w:tc>
          <w:tcPr>
            <w:tcW w:w="0" w:type="auto"/>
            <w:vMerge w:val="restart"/>
            <w:tcBorders>
              <w:top w:val="single" w:color="000000"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bCs/>
                <w:color w:val="000000"/>
              </w:rPr>
            </w:pPr>
            <w:r>
              <w:rPr>
                <w:rFonts w:hint="eastAsia" w:ascii="方正书宋_GBK" w:eastAsia="方正书宋_GBK"/>
                <w:bCs/>
                <w:color w:val="000000"/>
              </w:rPr>
              <w:t>三级指标</w:t>
            </w:r>
          </w:p>
        </w:tc>
        <w:tc>
          <w:tcPr>
            <w:tcW w:w="0" w:type="auto"/>
            <w:vMerge w:val="restart"/>
            <w:tcBorders>
              <w:top w:val="single" w:color="000000"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bCs/>
                <w:color w:val="000000"/>
              </w:rPr>
            </w:pPr>
            <w:r>
              <w:rPr>
                <w:rFonts w:hint="eastAsia" w:ascii="方正书宋_GBK" w:eastAsia="方正书宋_GBK"/>
                <w:bCs/>
                <w:color w:val="000000"/>
              </w:rPr>
              <w:t>评（扣）分标准</w:t>
            </w:r>
          </w:p>
        </w:tc>
        <w:tc>
          <w:tcPr>
            <w:tcW w:w="0" w:type="auto"/>
            <w:vMerge w:val="restart"/>
            <w:tcBorders>
              <w:top w:val="single" w:color="000000"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bCs/>
                <w:color w:val="000000"/>
              </w:rPr>
            </w:pPr>
            <w:r>
              <w:rPr>
                <w:rFonts w:hint="eastAsia" w:ascii="方正书宋_GBK" w:eastAsia="方正书宋_GBK"/>
                <w:bCs/>
                <w:color w:val="000000"/>
              </w:rPr>
              <w:t>绩效指标描述</w:t>
            </w:r>
          </w:p>
        </w:tc>
        <w:tc>
          <w:tcPr>
            <w:tcW w:w="0" w:type="auto"/>
            <w:gridSpan w:val="3"/>
            <w:tcBorders>
              <w:top w:val="single" w:color="000000"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bCs/>
                <w:color w:val="000000"/>
              </w:rPr>
            </w:pPr>
            <w:r>
              <w:rPr>
                <w:rFonts w:hint="eastAsia" w:ascii="方正书宋_GBK" w:eastAsia="方正书宋_GBK"/>
                <w:bCs/>
                <w:color w:val="000000"/>
              </w:rPr>
              <w:t>指标值</w:t>
            </w:r>
          </w:p>
        </w:tc>
        <w:tc>
          <w:tcPr>
            <w:tcW w:w="0" w:type="auto"/>
            <w:vMerge w:val="restart"/>
            <w:tcBorders>
              <w:top w:val="single" w:color="000000"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bCs/>
                <w:color w:val="000000"/>
              </w:rPr>
            </w:pPr>
            <w:r>
              <w:rPr>
                <w:rFonts w:hint="eastAsia" w:ascii="方正书宋_GBK" w:eastAsia="方正书宋_GBK"/>
                <w:bCs/>
                <w:color w:val="000000"/>
              </w:rPr>
              <w:t>指标值</w:t>
            </w:r>
          </w:p>
          <w:p>
            <w:pPr>
              <w:jc w:val="center"/>
              <w:rPr>
                <w:rFonts w:ascii="方正书宋_GBK" w:eastAsia="方正书宋_GBK"/>
                <w:bCs/>
                <w:color w:val="000000"/>
              </w:rPr>
            </w:pPr>
            <w:r>
              <w:rPr>
                <w:rFonts w:hint="eastAsia" w:ascii="方正书宋_GBK" w:eastAsia="方正书宋_GBK"/>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0" w:type="auto"/>
            <w:vMerge w:val="continue"/>
            <w:tcBorders>
              <w:top w:val="single" w:color="000000" w:sz="8" w:space="0"/>
              <w:left w:val="single" w:color="auto" w:sz="8" w:space="0"/>
              <w:bottom w:val="single" w:color="auto" w:sz="8" w:space="0"/>
              <w:right w:val="single" w:color="auto" w:sz="8" w:space="0"/>
            </w:tcBorders>
            <w:vAlign w:val="center"/>
          </w:tcPr>
          <w:p>
            <w:pPr>
              <w:rPr>
                <w:rFonts w:ascii="方正书宋_GBK" w:eastAsia="方正书宋_GBK"/>
                <w:bCs/>
                <w:color w:val="000000"/>
              </w:rPr>
            </w:pPr>
          </w:p>
        </w:tc>
        <w:tc>
          <w:tcPr>
            <w:tcW w:w="0" w:type="auto"/>
            <w:vMerge w:val="continue"/>
            <w:tcBorders>
              <w:top w:val="single" w:color="000000" w:sz="8" w:space="0"/>
              <w:left w:val="nil"/>
              <w:bottom w:val="single" w:color="auto" w:sz="8" w:space="0"/>
              <w:right w:val="single" w:color="auto" w:sz="8" w:space="0"/>
            </w:tcBorders>
            <w:vAlign w:val="center"/>
          </w:tcPr>
          <w:p>
            <w:pPr>
              <w:rPr>
                <w:rFonts w:ascii="方正书宋_GBK" w:eastAsia="方正书宋_GBK"/>
                <w:bCs/>
                <w:color w:val="000000"/>
              </w:rPr>
            </w:pPr>
          </w:p>
        </w:tc>
        <w:tc>
          <w:tcPr>
            <w:tcW w:w="0" w:type="auto"/>
            <w:vMerge w:val="continue"/>
            <w:tcBorders>
              <w:top w:val="single" w:color="000000" w:sz="8" w:space="0"/>
              <w:left w:val="nil"/>
              <w:bottom w:val="single" w:color="auto" w:sz="8" w:space="0"/>
              <w:right w:val="single" w:color="auto" w:sz="8" w:space="0"/>
            </w:tcBorders>
            <w:vAlign w:val="center"/>
          </w:tcPr>
          <w:p>
            <w:pPr>
              <w:rPr>
                <w:rFonts w:ascii="方正书宋_GBK" w:eastAsia="方正书宋_GBK"/>
                <w:bCs/>
                <w:color w:val="000000"/>
              </w:rPr>
            </w:pPr>
          </w:p>
        </w:tc>
        <w:tc>
          <w:tcPr>
            <w:tcW w:w="0" w:type="auto"/>
            <w:vMerge w:val="continue"/>
            <w:tcBorders>
              <w:top w:val="single" w:color="000000" w:sz="8" w:space="0"/>
              <w:left w:val="nil"/>
              <w:bottom w:val="single" w:color="auto" w:sz="8" w:space="0"/>
              <w:right w:val="single" w:color="auto" w:sz="8" w:space="0"/>
            </w:tcBorders>
            <w:vAlign w:val="center"/>
          </w:tcPr>
          <w:p>
            <w:pPr>
              <w:rPr>
                <w:rFonts w:ascii="方正书宋_GBK" w:eastAsia="方正书宋_GBK"/>
                <w:bCs/>
                <w:color w:val="000000"/>
              </w:rPr>
            </w:pPr>
          </w:p>
        </w:tc>
        <w:tc>
          <w:tcPr>
            <w:tcW w:w="0" w:type="auto"/>
            <w:vMerge w:val="continue"/>
            <w:tcBorders>
              <w:top w:val="single" w:color="000000" w:sz="8" w:space="0"/>
              <w:left w:val="nil"/>
              <w:bottom w:val="single" w:color="auto" w:sz="8" w:space="0"/>
              <w:right w:val="single" w:color="auto" w:sz="8" w:space="0"/>
            </w:tcBorders>
            <w:vAlign w:val="center"/>
          </w:tcPr>
          <w:p>
            <w:pPr>
              <w:rPr>
                <w:rFonts w:ascii="方正书宋_GBK" w:eastAsia="方正书宋_GBK"/>
                <w:bCs/>
                <w:color w:val="000000"/>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bCs/>
                <w:color w:val="000000"/>
              </w:rPr>
            </w:pPr>
            <w:r>
              <w:rPr>
                <w:rFonts w:hint="eastAsia" w:ascii="方正书宋_GBK" w:eastAsia="方正书宋_GBK"/>
                <w:bCs/>
                <w:color w:val="000000"/>
              </w:rPr>
              <w:t>符号</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bCs/>
                <w:color w:val="000000"/>
              </w:rPr>
            </w:pPr>
            <w:r>
              <w:rPr>
                <w:rFonts w:hint="eastAsia" w:ascii="方正书宋_GBK" w:eastAsia="方正书宋_GBK"/>
                <w:bCs/>
                <w:color w:val="000000"/>
              </w:rPr>
              <w:t>值</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bCs/>
                <w:color w:val="000000"/>
              </w:rPr>
            </w:pPr>
            <w:r>
              <w:rPr>
                <w:rFonts w:hint="eastAsia" w:ascii="方正书宋_GBK" w:eastAsia="方正书宋_GBK"/>
                <w:bCs/>
                <w:color w:val="000000"/>
              </w:rPr>
              <w:t>单位</w:t>
            </w:r>
          </w:p>
        </w:tc>
        <w:tc>
          <w:tcPr>
            <w:tcW w:w="0" w:type="auto"/>
            <w:vMerge w:val="continue"/>
            <w:tcBorders>
              <w:top w:val="single" w:color="000000" w:sz="8" w:space="0"/>
              <w:left w:val="nil"/>
              <w:bottom w:val="single" w:color="auto" w:sz="8" w:space="0"/>
              <w:right w:val="single" w:color="auto" w:sz="8" w:space="0"/>
            </w:tcBorders>
            <w:vAlign w:val="center"/>
          </w:tcPr>
          <w:p>
            <w:pPr>
              <w:rPr>
                <w:rFonts w:ascii="方正书宋_GBK" w:eastAsia="方正书宋_GBK"/>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restart"/>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lang w:eastAsia="zh-CN"/>
              </w:rPr>
              <w:t>单位</w:t>
            </w:r>
            <w:r>
              <w:rPr>
                <w:rFonts w:hint="eastAsia" w:ascii="方正书宋_GBK" w:eastAsia="方正书宋_GBK"/>
                <w:color w:val="000000"/>
                <w:sz w:val="21"/>
                <w:szCs w:val="21"/>
              </w:rPr>
              <w:t>产出</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会议数量</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会议数量</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次</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培训次数</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培训次数</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次</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日常工作完成率</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达到指标值得满分，每降低指标值1%，扣权重分1%</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完成工作量占应完成总量的比例</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质量</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采购质量合格率</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达到指标值得满分，每降低指标值1%，扣权重分1%</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合格数量占总数量的比例</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会议圆满完成</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会议圆满完成</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圆满完成</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质量达标率</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达到指标值得满分，每超出指标值权重的10%，扣权重分值的10%</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培训资料保管率</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经费保障及时性</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经费保障及时性</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及时</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会议完成时间</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会议完成时间</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3月前</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培训及时性</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培训及时性</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及时</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不超预算成本</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达到指标值得满分，每降低指标值1%，扣权重分1%</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不超预算成本</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成本</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成本控制率(%)</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达到指标值得满分，每超出指标值权重的10%，扣权重分值的10%</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成本控制率(%)</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培训标准</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达到指标值得满分，每超出指标值权重的10%，扣权重分值的10%</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培训标准</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450</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元/人/天</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restart"/>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lang w:eastAsia="zh-CN"/>
              </w:rPr>
              <w:t>单位</w:t>
            </w:r>
            <w:r>
              <w:rPr>
                <w:rFonts w:hint="eastAsia" w:ascii="方正书宋_GBK" w:eastAsia="方正书宋_GBK"/>
                <w:color w:val="000000"/>
                <w:sz w:val="21"/>
                <w:szCs w:val="21"/>
              </w:rPr>
              <w:t>效果</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业务保障能力提升情况</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购置对业务保障能力的提升情况</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有效提升</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推动工作开展</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达到指标值得满分，每超出指标值权重的10%，扣权重分值的10%</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推动工作开展</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5</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统计分析</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推动工作开展</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参加培训人员业务提升情况</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有效提升</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经济</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经济效益指标</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有效推动经济发展</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有效提升</w:t>
            </w:r>
          </w:p>
        </w:tc>
        <w:tc>
          <w:tcPr>
            <w:tcW w:w="0" w:type="auto"/>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方正书宋_GBK" w:eastAsia="方正书宋_GBK"/>
                <w:color w:val="000000"/>
                <w:sz w:val="21"/>
                <w:szCs w:val="21"/>
              </w:rPr>
            </w:pPr>
          </w:p>
        </w:tc>
        <w:tc>
          <w:tcPr>
            <w:tcW w:w="0" w:type="auto"/>
            <w:tcBorders>
              <w:top w:val="single" w:color="auto" w:sz="8" w:space="0"/>
              <w:left w:val="nil"/>
              <w:bottom w:val="single" w:color="000000"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w:t>
            </w:r>
          </w:p>
        </w:tc>
        <w:tc>
          <w:tcPr>
            <w:tcW w:w="0" w:type="auto"/>
            <w:tcBorders>
              <w:top w:val="single" w:color="auto" w:sz="8" w:space="0"/>
              <w:left w:val="nil"/>
              <w:bottom w:val="single" w:color="000000" w:sz="8" w:space="0"/>
              <w:right w:val="single" w:color="auto" w:sz="8" w:space="0"/>
            </w:tcBorders>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服务对象满意度指标</w:t>
            </w:r>
          </w:p>
        </w:tc>
        <w:tc>
          <w:tcPr>
            <w:tcW w:w="0" w:type="auto"/>
            <w:tcBorders>
              <w:top w:val="single" w:color="auto" w:sz="8" w:space="0"/>
              <w:left w:val="nil"/>
              <w:bottom w:val="single" w:color="000000" w:sz="8" w:space="0"/>
              <w:right w:val="single" w:color="auto" w:sz="8" w:space="0"/>
            </w:tcBorders>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tcBorders>
              <w:top w:val="single" w:color="auto" w:sz="8" w:space="0"/>
              <w:left w:val="nil"/>
              <w:bottom w:val="single" w:color="000000" w:sz="8" w:space="0"/>
              <w:right w:val="single" w:color="auto" w:sz="8" w:space="0"/>
            </w:tcBorders>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服务对象满意度指标</w:t>
            </w:r>
          </w:p>
        </w:tc>
        <w:tc>
          <w:tcPr>
            <w:tcW w:w="0" w:type="auto"/>
            <w:tcBorders>
              <w:top w:val="single" w:color="auto" w:sz="8" w:space="0"/>
              <w:left w:val="nil"/>
              <w:bottom w:val="single" w:color="000000"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tcBorders>
              <w:top w:val="single" w:color="auto" w:sz="8" w:space="0"/>
              <w:left w:val="nil"/>
              <w:bottom w:val="single" w:color="000000"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0" w:type="auto"/>
            <w:tcBorders>
              <w:top w:val="single" w:color="auto" w:sz="8" w:space="0"/>
              <w:left w:val="nil"/>
              <w:bottom w:val="single" w:color="000000"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tcBorders>
              <w:top w:val="single" w:color="auto" w:sz="8" w:space="0"/>
              <w:left w:val="nil"/>
              <w:bottom w:val="single" w:color="000000" w:sz="8" w:space="0"/>
              <w:right w:val="single" w:color="auto" w:sz="8" w:space="0"/>
            </w:tcBorders>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电话调查</w:t>
            </w:r>
          </w:p>
        </w:tc>
      </w:tr>
    </w:tbl>
    <w:p>
      <w:pPr>
        <w:ind w:firstLine="640"/>
        <w:rPr>
          <w:rFonts w:ascii="方正楷体_GBK" w:eastAsia="方正楷体_GBK"/>
          <w:bCs/>
          <w:color w:val="000000"/>
          <w:sz w:val="32"/>
          <w:szCs w:val="32"/>
        </w:rPr>
      </w:pPr>
      <w:r>
        <w:rPr>
          <w:rFonts w:hint="eastAsia" w:ascii="方正楷体_GBK" w:eastAsia="方正楷体_GBK"/>
          <w:bCs/>
          <w:color w:val="000000"/>
          <w:sz w:val="32"/>
          <w:szCs w:val="32"/>
        </w:rPr>
        <w:t xml:space="preserve"> </w:t>
      </w:r>
    </w:p>
    <w:p>
      <w:pPr>
        <w:ind w:firstLine="640"/>
        <w:rPr>
          <w:lang w:eastAsia="zh-CN"/>
        </w:rPr>
        <w:sectPr>
          <w:pgSz w:w="16840" w:h="11900" w:orient="landscape"/>
          <w:pgMar w:top="1361" w:right="1020" w:bottom="1361" w:left="1020" w:header="720" w:footer="720" w:gutter="0"/>
          <w:cols w:space="720" w:num="1"/>
        </w:sectPr>
      </w:pPr>
      <w:r>
        <w:rPr>
          <w:rFonts w:hint="eastAsia" w:ascii="方正楷体_GBK" w:eastAsia="方正楷体_GBK"/>
          <w:bCs/>
          <w:color w:val="000000"/>
          <w:sz w:val="32"/>
          <w:szCs w:val="32"/>
        </w:rPr>
        <w:t>第二部分  预算项目绩效目标</w:t>
      </w:r>
      <w:r>
        <w:br w:type="page"/>
      </w:r>
    </w:p>
    <w:p>
      <w:pPr>
        <w:ind w:firstLine="560"/>
      </w:pPr>
      <w:r>
        <w:rPr>
          <w:rFonts w:ascii="方正仿宋_GBK" w:hAnsi="方正仿宋_GBK" w:eastAsia="方正仿宋_GBK" w:cs="方正仿宋_GBK"/>
          <w:color w:val="000000"/>
          <w:sz w:val="28"/>
        </w:rPr>
        <w:t>1、政务服务管理经费绩效目标表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b w:val="0"/>
              </w:rPr>
            </w:pPr>
            <w:r>
              <w:rPr>
                <w:b w:val="0"/>
              </w:rPr>
              <w:t>绩效目标</w:t>
            </w:r>
          </w:p>
        </w:tc>
        <w:tc>
          <w:tcPr>
            <w:tcW w:w="12756" w:type="dxa"/>
            <w:tcBorders>
              <w:bottom w:val="single" w:color="FFFFFF" w:sz="6" w:space="0"/>
            </w:tcBorders>
            <w:vAlign w:val="center"/>
          </w:tcPr>
          <w:p>
            <w:pPr>
              <w:pStyle w:val="17"/>
            </w:pPr>
            <w:r>
              <w:t>1.保障廊坊市广阳区人民代表大会常务委员会各项工作顺利开展，保障廊坊市广阳区人民代表大会常务委员会完成上级布置的各项工作，实现工作高效规范开展，提高服务质量。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b w:val="0"/>
              </w:rPr>
            </w:pPr>
            <w:r>
              <w:rPr>
                <w:b w:val="0"/>
              </w:rPr>
              <w:t>一级指标</w:t>
            </w:r>
          </w:p>
        </w:tc>
        <w:tc>
          <w:tcPr>
            <w:tcW w:w="2268" w:type="dxa"/>
            <w:vAlign w:val="center"/>
          </w:tcPr>
          <w:p>
            <w:pPr>
              <w:pStyle w:val="15"/>
              <w:rPr>
                <w:b w:val="0"/>
              </w:rPr>
            </w:pPr>
            <w:r>
              <w:rPr>
                <w:b w:val="0"/>
              </w:rPr>
              <w:t>二级指标</w:t>
            </w:r>
          </w:p>
        </w:tc>
        <w:tc>
          <w:tcPr>
            <w:tcW w:w="2835" w:type="dxa"/>
            <w:vAlign w:val="center"/>
          </w:tcPr>
          <w:p>
            <w:pPr>
              <w:pStyle w:val="15"/>
              <w:rPr>
                <w:b w:val="0"/>
              </w:rPr>
            </w:pPr>
            <w:r>
              <w:rPr>
                <w:b w:val="0"/>
              </w:rPr>
              <w:t>三级指标</w:t>
            </w:r>
          </w:p>
        </w:tc>
        <w:tc>
          <w:tcPr>
            <w:tcW w:w="2835" w:type="dxa"/>
            <w:vAlign w:val="center"/>
          </w:tcPr>
          <w:p>
            <w:pPr>
              <w:pStyle w:val="15"/>
              <w:rPr>
                <w:b w:val="0"/>
              </w:rPr>
            </w:pPr>
            <w:r>
              <w:rPr>
                <w:b w:val="0"/>
              </w:rPr>
              <w:t>绩效指标描述</w:t>
            </w:r>
          </w:p>
        </w:tc>
        <w:tc>
          <w:tcPr>
            <w:tcW w:w="2551" w:type="dxa"/>
            <w:vAlign w:val="center"/>
          </w:tcPr>
          <w:p>
            <w:pPr>
              <w:pStyle w:val="15"/>
              <w:rPr>
                <w:b w:val="0"/>
              </w:rPr>
            </w:pPr>
            <w:r>
              <w:rPr>
                <w:b w:val="0"/>
              </w:rPr>
              <w:t>指标值</w:t>
            </w:r>
          </w:p>
        </w:tc>
        <w:tc>
          <w:tcPr>
            <w:tcW w:w="2268" w:type="dxa"/>
            <w:vAlign w:val="center"/>
          </w:tcPr>
          <w:p>
            <w:pPr>
              <w:pStyle w:val="15"/>
              <w:rPr>
                <w:b w:val="0"/>
              </w:rPr>
            </w:pPr>
            <w:r>
              <w:rPr>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日常工作完成率</w:t>
            </w:r>
          </w:p>
        </w:tc>
        <w:tc>
          <w:tcPr>
            <w:tcW w:w="2835" w:type="dxa"/>
            <w:vAlign w:val="center"/>
          </w:tcPr>
          <w:p>
            <w:pPr>
              <w:pStyle w:val="17"/>
            </w:pPr>
            <w:r>
              <w:t>完成工作量占应完成总量的比例</w:t>
            </w:r>
          </w:p>
        </w:tc>
        <w:tc>
          <w:tcPr>
            <w:tcW w:w="2551" w:type="dxa"/>
            <w:vAlign w:val="center"/>
          </w:tcPr>
          <w:p>
            <w:pPr>
              <w:pStyle w:val="17"/>
            </w:pPr>
            <w:r>
              <w:t>≥95%</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采购质量合格率</w:t>
            </w:r>
          </w:p>
        </w:tc>
        <w:tc>
          <w:tcPr>
            <w:tcW w:w="2835" w:type="dxa"/>
            <w:vAlign w:val="center"/>
          </w:tcPr>
          <w:p>
            <w:pPr>
              <w:pStyle w:val="17"/>
            </w:pPr>
            <w:r>
              <w:t>合格数量占总数量的比例</w:t>
            </w:r>
          </w:p>
        </w:tc>
        <w:tc>
          <w:tcPr>
            <w:tcW w:w="2551" w:type="dxa"/>
            <w:vAlign w:val="center"/>
          </w:tcPr>
          <w:p>
            <w:pPr>
              <w:pStyle w:val="17"/>
            </w:pPr>
            <w:r>
              <w:t>≥95%</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经费保障及时性</w:t>
            </w:r>
          </w:p>
        </w:tc>
        <w:tc>
          <w:tcPr>
            <w:tcW w:w="2835" w:type="dxa"/>
            <w:vAlign w:val="center"/>
          </w:tcPr>
          <w:p>
            <w:pPr>
              <w:pStyle w:val="17"/>
            </w:pPr>
            <w:r>
              <w:t>经费保障及时性</w:t>
            </w:r>
          </w:p>
        </w:tc>
        <w:tc>
          <w:tcPr>
            <w:tcW w:w="2551" w:type="dxa"/>
            <w:vAlign w:val="center"/>
          </w:tcPr>
          <w:p>
            <w:pPr>
              <w:pStyle w:val="17"/>
            </w:pPr>
            <w:r>
              <w:t>及时</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不超预算成本</w:t>
            </w:r>
          </w:p>
        </w:tc>
        <w:tc>
          <w:tcPr>
            <w:tcW w:w="2835" w:type="dxa"/>
            <w:vAlign w:val="center"/>
          </w:tcPr>
          <w:p>
            <w:pPr>
              <w:pStyle w:val="17"/>
            </w:pPr>
            <w:r>
              <w:t>不超预算成本</w:t>
            </w:r>
          </w:p>
        </w:tc>
        <w:tc>
          <w:tcPr>
            <w:tcW w:w="2551" w:type="dxa"/>
            <w:vAlign w:val="center"/>
          </w:tcPr>
          <w:p>
            <w:pPr>
              <w:pStyle w:val="17"/>
            </w:pPr>
            <w:r>
              <w:t>≤100%</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业务保障能力提升情况</w:t>
            </w:r>
          </w:p>
        </w:tc>
        <w:tc>
          <w:tcPr>
            <w:tcW w:w="2835" w:type="dxa"/>
            <w:vAlign w:val="center"/>
          </w:tcPr>
          <w:p>
            <w:pPr>
              <w:pStyle w:val="17"/>
            </w:pPr>
            <w:r>
              <w:t>购置对业务保障能力的提升情况</w:t>
            </w:r>
          </w:p>
        </w:tc>
        <w:tc>
          <w:tcPr>
            <w:tcW w:w="2551" w:type="dxa"/>
            <w:vAlign w:val="center"/>
          </w:tcPr>
          <w:p>
            <w:pPr>
              <w:pStyle w:val="17"/>
            </w:pPr>
            <w:r>
              <w:t>有效提升</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有效提升经济发展</w:t>
            </w:r>
          </w:p>
        </w:tc>
        <w:tc>
          <w:tcPr>
            <w:tcW w:w="2835" w:type="dxa"/>
            <w:vAlign w:val="center"/>
          </w:tcPr>
          <w:p>
            <w:pPr>
              <w:pStyle w:val="17"/>
            </w:pPr>
            <w:r>
              <w:t>有效提升经济发展</w:t>
            </w:r>
          </w:p>
        </w:tc>
        <w:tc>
          <w:tcPr>
            <w:tcW w:w="2551" w:type="dxa"/>
            <w:vAlign w:val="center"/>
          </w:tcPr>
          <w:p>
            <w:pPr>
              <w:pStyle w:val="17"/>
            </w:pPr>
            <w:r>
              <w:t>有效提升</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满意人数占总人数的比例</w:t>
            </w:r>
          </w:p>
        </w:tc>
        <w:tc>
          <w:tcPr>
            <w:tcW w:w="2551" w:type="dxa"/>
            <w:vAlign w:val="center"/>
          </w:tcPr>
          <w:p>
            <w:pPr>
              <w:pStyle w:val="17"/>
            </w:pPr>
            <w:r>
              <w:t>≥95%</w:t>
            </w:r>
          </w:p>
        </w:tc>
        <w:tc>
          <w:tcPr>
            <w:tcW w:w="2268" w:type="dxa"/>
            <w:vAlign w:val="center"/>
          </w:tcPr>
          <w:p>
            <w:pPr>
              <w:pStyle w:val="17"/>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2、第六届人民代表大会第三次会议经费绩效目标表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b w:val="0"/>
              </w:rPr>
            </w:pPr>
            <w:r>
              <w:rPr>
                <w:b w:val="0"/>
              </w:rPr>
              <w:t>绩效目标</w:t>
            </w:r>
          </w:p>
        </w:tc>
        <w:tc>
          <w:tcPr>
            <w:tcW w:w="12756" w:type="dxa"/>
            <w:tcBorders>
              <w:bottom w:val="single" w:color="FFFFFF" w:sz="6" w:space="0"/>
            </w:tcBorders>
            <w:vAlign w:val="center"/>
          </w:tcPr>
          <w:p>
            <w:pPr>
              <w:pStyle w:val="17"/>
            </w:pPr>
            <w:r>
              <w:t>1.完善各项会议制度，规范会议程序，提高会议质量，提高人大代表履职水平。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b w:val="0"/>
              </w:rPr>
            </w:pPr>
            <w:r>
              <w:rPr>
                <w:b w:val="0"/>
              </w:rPr>
              <w:t>一级指标</w:t>
            </w:r>
          </w:p>
        </w:tc>
        <w:tc>
          <w:tcPr>
            <w:tcW w:w="2268" w:type="dxa"/>
            <w:vAlign w:val="center"/>
          </w:tcPr>
          <w:p>
            <w:pPr>
              <w:pStyle w:val="15"/>
              <w:rPr>
                <w:b w:val="0"/>
              </w:rPr>
            </w:pPr>
            <w:r>
              <w:rPr>
                <w:b w:val="0"/>
              </w:rPr>
              <w:t>二级指标</w:t>
            </w:r>
          </w:p>
        </w:tc>
        <w:tc>
          <w:tcPr>
            <w:tcW w:w="2835" w:type="dxa"/>
            <w:vAlign w:val="center"/>
          </w:tcPr>
          <w:p>
            <w:pPr>
              <w:pStyle w:val="15"/>
              <w:rPr>
                <w:b w:val="0"/>
              </w:rPr>
            </w:pPr>
            <w:r>
              <w:rPr>
                <w:b w:val="0"/>
              </w:rPr>
              <w:t>三级指标</w:t>
            </w:r>
          </w:p>
        </w:tc>
        <w:tc>
          <w:tcPr>
            <w:tcW w:w="2835" w:type="dxa"/>
            <w:vAlign w:val="center"/>
          </w:tcPr>
          <w:p>
            <w:pPr>
              <w:pStyle w:val="15"/>
              <w:rPr>
                <w:b w:val="0"/>
              </w:rPr>
            </w:pPr>
            <w:r>
              <w:rPr>
                <w:b w:val="0"/>
              </w:rPr>
              <w:t>绩效指标描述</w:t>
            </w:r>
          </w:p>
        </w:tc>
        <w:tc>
          <w:tcPr>
            <w:tcW w:w="2551" w:type="dxa"/>
            <w:vAlign w:val="center"/>
          </w:tcPr>
          <w:p>
            <w:pPr>
              <w:pStyle w:val="15"/>
              <w:rPr>
                <w:b w:val="0"/>
              </w:rPr>
            </w:pPr>
            <w:r>
              <w:rPr>
                <w:b w:val="0"/>
              </w:rPr>
              <w:t>指标值</w:t>
            </w:r>
          </w:p>
        </w:tc>
        <w:tc>
          <w:tcPr>
            <w:tcW w:w="2268" w:type="dxa"/>
            <w:vAlign w:val="center"/>
          </w:tcPr>
          <w:p>
            <w:pPr>
              <w:pStyle w:val="15"/>
              <w:rPr>
                <w:b w:val="0"/>
              </w:rPr>
            </w:pPr>
            <w:r>
              <w:rPr>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会议数量</w:t>
            </w:r>
          </w:p>
        </w:tc>
        <w:tc>
          <w:tcPr>
            <w:tcW w:w="2835" w:type="dxa"/>
            <w:vAlign w:val="center"/>
          </w:tcPr>
          <w:p>
            <w:pPr>
              <w:pStyle w:val="17"/>
            </w:pPr>
            <w:r>
              <w:t>会议数量</w:t>
            </w:r>
          </w:p>
        </w:tc>
        <w:tc>
          <w:tcPr>
            <w:tcW w:w="2551" w:type="dxa"/>
            <w:vAlign w:val="center"/>
          </w:tcPr>
          <w:p>
            <w:pPr>
              <w:pStyle w:val="17"/>
            </w:pPr>
            <w:r>
              <w:t>1次</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会议圆满完成</w:t>
            </w:r>
          </w:p>
          <w:p>
            <w:pPr>
              <w:pStyle w:val="17"/>
            </w:pPr>
          </w:p>
          <w:p>
            <w:pPr>
              <w:pStyle w:val="17"/>
            </w:pPr>
          </w:p>
        </w:tc>
        <w:tc>
          <w:tcPr>
            <w:tcW w:w="2835" w:type="dxa"/>
            <w:vAlign w:val="center"/>
          </w:tcPr>
          <w:p>
            <w:pPr>
              <w:pStyle w:val="17"/>
            </w:pPr>
            <w:r>
              <w:t>会议圆满完成</w:t>
            </w:r>
          </w:p>
          <w:p>
            <w:pPr>
              <w:pStyle w:val="17"/>
            </w:pPr>
          </w:p>
          <w:p>
            <w:pPr>
              <w:pStyle w:val="17"/>
            </w:pPr>
          </w:p>
        </w:tc>
        <w:tc>
          <w:tcPr>
            <w:tcW w:w="2551" w:type="dxa"/>
            <w:vAlign w:val="center"/>
          </w:tcPr>
          <w:p>
            <w:pPr>
              <w:pStyle w:val="17"/>
            </w:pPr>
            <w:r>
              <w:t>圆满完成</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会议完成时间</w:t>
            </w:r>
          </w:p>
        </w:tc>
        <w:tc>
          <w:tcPr>
            <w:tcW w:w="2835" w:type="dxa"/>
            <w:vAlign w:val="center"/>
          </w:tcPr>
          <w:p>
            <w:pPr>
              <w:pStyle w:val="17"/>
            </w:pPr>
            <w:r>
              <w:t>会议完成时间</w:t>
            </w:r>
          </w:p>
        </w:tc>
        <w:tc>
          <w:tcPr>
            <w:tcW w:w="2551" w:type="dxa"/>
            <w:vAlign w:val="center"/>
          </w:tcPr>
          <w:p>
            <w:pPr>
              <w:pStyle w:val="17"/>
            </w:pPr>
            <w:r>
              <w:t>3月前</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≤100%</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推动工作开展</w:t>
            </w:r>
          </w:p>
        </w:tc>
        <w:tc>
          <w:tcPr>
            <w:tcW w:w="2835" w:type="dxa"/>
            <w:vAlign w:val="center"/>
          </w:tcPr>
          <w:p>
            <w:pPr>
              <w:pStyle w:val="17"/>
            </w:pPr>
            <w:r>
              <w:t>推动工作开展</w:t>
            </w:r>
          </w:p>
        </w:tc>
        <w:tc>
          <w:tcPr>
            <w:tcW w:w="2551" w:type="dxa"/>
            <w:vAlign w:val="center"/>
          </w:tcPr>
          <w:p>
            <w:pPr>
              <w:pStyle w:val="17"/>
            </w:pPr>
            <w:r>
              <w:t>≥5%</w:t>
            </w:r>
          </w:p>
        </w:tc>
        <w:tc>
          <w:tcPr>
            <w:tcW w:w="2268" w:type="dxa"/>
            <w:vAlign w:val="center"/>
          </w:tcPr>
          <w:p>
            <w:pPr>
              <w:pStyle w:val="17"/>
            </w:pPr>
            <w: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经济效益指标</w:t>
            </w:r>
          </w:p>
        </w:tc>
        <w:tc>
          <w:tcPr>
            <w:tcW w:w="2835" w:type="dxa"/>
            <w:vAlign w:val="center"/>
          </w:tcPr>
          <w:p>
            <w:pPr>
              <w:pStyle w:val="17"/>
            </w:pPr>
            <w:r>
              <w:t>有效推动经济发展</w:t>
            </w:r>
          </w:p>
        </w:tc>
        <w:tc>
          <w:tcPr>
            <w:tcW w:w="2551" w:type="dxa"/>
            <w:vAlign w:val="center"/>
          </w:tcPr>
          <w:p>
            <w:pPr>
              <w:pStyle w:val="17"/>
            </w:pPr>
            <w:r>
              <w:t>有效提升</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参会人员满意度</w:t>
            </w:r>
          </w:p>
        </w:tc>
        <w:tc>
          <w:tcPr>
            <w:tcW w:w="2835" w:type="dxa"/>
            <w:vAlign w:val="center"/>
          </w:tcPr>
          <w:p>
            <w:pPr>
              <w:pStyle w:val="17"/>
            </w:pPr>
            <w:r>
              <w:t>参会人员满意度</w:t>
            </w:r>
          </w:p>
        </w:tc>
        <w:tc>
          <w:tcPr>
            <w:tcW w:w="2551" w:type="dxa"/>
            <w:vAlign w:val="center"/>
          </w:tcPr>
          <w:p>
            <w:pPr>
              <w:pStyle w:val="17"/>
            </w:pPr>
            <w:r>
              <w:t>≥95%</w:t>
            </w:r>
          </w:p>
        </w:tc>
        <w:tc>
          <w:tcPr>
            <w:tcW w:w="2268" w:type="dxa"/>
            <w:vAlign w:val="center"/>
          </w:tcPr>
          <w:p>
            <w:pPr>
              <w:pStyle w:val="17"/>
            </w:pPr>
            <w:r>
              <w:t>电话调查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3、学习培训经费绩效目标表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b w:val="0"/>
              </w:rPr>
            </w:pPr>
            <w:r>
              <w:rPr>
                <w:b w:val="0"/>
              </w:rPr>
              <w:t>绩效目标</w:t>
            </w:r>
          </w:p>
        </w:tc>
        <w:tc>
          <w:tcPr>
            <w:tcW w:w="12756" w:type="dxa"/>
            <w:tcBorders>
              <w:bottom w:val="single" w:color="FFFFFF" w:sz="6" w:space="0"/>
            </w:tcBorders>
            <w:vAlign w:val="center"/>
          </w:tcPr>
          <w:p>
            <w:pPr>
              <w:pStyle w:val="17"/>
            </w:pPr>
            <w:r>
              <w:t>1.加强人员培训，加大宣传力度，强化预算绩效管理意识，促进预算绩效管理水平提升。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b w:val="0"/>
              </w:rPr>
            </w:pPr>
            <w:r>
              <w:rPr>
                <w:b w:val="0"/>
              </w:rPr>
              <w:t>一级指标</w:t>
            </w:r>
          </w:p>
        </w:tc>
        <w:tc>
          <w:tcPr>
            <w:tcW w:w="2268" w:type="dxa"/>
            <w:vAlign w:val="center"/>
          </w:tcPr>
          <w:p>
            <w:pPr>
              <w:pStyle w:val="15"/>
              <w:rPr>
                <w:b w:val="0"/>
              </w:rPr>
            </w:pPr>
            <w:r>
              <w:rPr>
                <w:b w:val="0"/>
              </w:rPr>
              <w:t>二级指标</w:t>
            </w:r>
          </w:p>
        </w:tc>
        <w:tc>
          <w:tcPr>
            <w:tcW w:w="2835" w:type="dxa"/>
            <w:vAlign w:val="center"/>
          </w:tcPr>
          <w:p>
            <w:pPr>
              <w:pStyle w:val="15"/>
              <w:rPr>
                <w:b w:val="0"/>
              </w:rPr>
            </w:pPr>
            <w:r>
              <w:rPr>
                <w:b w:val="0"/>
              </w:rPr>
              <w:t>三级指标</w:t>
            </w:r>
          </w:p>
        </w:tc>
        <w:tc>
          <w:tcPr>
            <w:tcW w:w="2835" w:type="dxa"/>
            <w:vAlign w:val="center"/>
          </w:tcPr>
          <w:p>
            <w:pPr>
              <w:pStyle w:val="15"/>
              <w:rPr>
                <w:b w:val="0"/>
              </w:rPr>
            </w:pPr>
            <w:r>
              <w:rPr>
                <w:b w:val="0"/>
              </w:rPr>
              <w:t>绩效指标描述</w:t>
            </w:r>
          </w:p>
        </w:tc>
        <w:tc>
          <w:tcPr>
            <w:tcW w:w="2551" w:type="dxa"/>
            <w:vAlign w:val="center"/>
          </w:tcPr>
          <w:p>
            <w:pPr>
              <w:pStyle w:val="15"/>
              <w:rPr>
                <w:b w:val="0"/>
              </w:rPr>
            </w:pPr>
            <w:r>
              <w:rPr>
                <w:b w:val="0"/>
              </w:rPr>
              <w:t>指标值</w:t>
            </w:r>
          </w:p>
        </w:tc>
        <w:tc>
          <w:tcPr>
            <w:tcW w:w="2268" w:type="dxa"/>
            <w:vAlign w:val="center"/>
          </w:tcPr>
          <w:p>
            <w:pPr>
              <w:pStyle w:val="15"/>
              <w:rPr>
                <w:b w:val="0"/>
              </w:rPr>
            </w:pPr>
            <w:r>
              <w:rPr>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培训次数</w:t>
            </w:r>
          </w:p>
        </w:tc>
        <w:tc>
          <w:tcPr>
            <w:tcW w:w="2835" w:type="dxa"/>
            <w:vAlign w:val="center"/>
          </w:tcPr>
          <w:p>
            <w:pPr>
              <w:pStyle w:val="17"/>
            </w:pPr>
            <w:r>
              <w:t>培训次数</w:t>
            </w:r>
          </w:p>
        </w:tc>
        <w:tc>
          <w:tcPr>
            <w:tcW w:w="2551" w:type="dxa"/>
            <w:vAlign w:val="center"/>
          </w:tcPr>
          <w:p>
            <w:pPr>
              <w:pStyle w:val="17"/>
            </w:pPr>
            <w:r>
              <w:t>≥1次</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质量达标率</w:t>
            </w:r>
          </w:p>
        </w:tc>
        <w:tc>
          <w:tcPr>
            <w:tcW w:w="2835" w:type="dxa"/>
            <w:vAlign w:val="center"/>
          </w:tcPr>
          <w:p>
            <w:pPr>
              <w:pStyle w:val="17"/>
            </w:pPr>
            <w:r>
              <w:t>培训资料保管率</w:t>
            </w:r>
          </w:p>
        </w:tc>
        <w:tc>
          <w:tcPr>
            <w:tcW w:w="2551" w:type="dxa"/>
            <w:vAlign w:val="center"/>
          </w:tcPr>
          <w:p>
            <w:pPr>
              <w:pStyle w:val="17"/>
            </w:pPr>
            <w:r>
              <w:t>≥95%</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培训及时性</w:t>
            </w:r>
          </w:p>
        </w:tc>
        <w:tc>
          <w:tcPr>
            <w:tcW w:w="2835" w:type="dxa"/>
            <w:vAlign w:val="center"/>
          </w:tcPr>
          <w:p>
            <w:pPr>
              <w:pStyle w:val="17"/>
            </w:pPr>
            <w:r>
              <w:t>培训及时性</w:t>
            </w:r>
          </w:p>
        </w:tc>
        <w:tc>
          <w:tcPr>
            <w:tcW w:w="2551" w:type="dxa"/>
            <w:vAlign w:val="center"/>
          </w:tcPr>
          <w:p>
            <w:pPr>
              <w:pStyle w:val="17"/>
            </w:pPr>
            <w:r>
              <w:t>及时</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培训标准</w:t>
            </w:r>
          </w:p>
        </w:tc>
        <w:tc>
          <w:tcPr>
            <w:tcW w:w="2835" w:type="dxa"/>
            <w:vAlign w:val="center"/>
          </w:tcPr>
          <w:p>
            <w:pPr>
              <w:pStyle w:val="17"/>
            </w:pPr>
            <w:r>
              <w:t>培训标准</w:t>
            </w:r>
          </w:p>
        </w:tc>
        <w:tc>
          <w:tcPr>
            <w:tcW w:w="2551" w:type="dxa"/>
            <w:vAlign w:val="center"/>
          </w:tcPr>
          <w:p>
            <w:pPr>
              <w:pStyle w:val="17"/>
            </w:pPr>
            <w:r>
              <w:t>≤450元/人/天</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推动工作开展</w:t>
            </w:r>
          </w:p>
        </w:tc>
        <w:tc>
          <w:tcPr>
            <w:tcW w:w="2835" w:type="dxa"/>
            <w:vAlign w:val="center"/>
          </w:tcPr>
          <w:p>
            <w:pPr>
              <w:pStyle w:val="17"/>
            </w:pPr>
            <w:r>
              <w:t>参加培训人员业务提升情况</w:t>
            </w:r>
          </w:p>
        </w:tc>
        <w:tc>
          <w:tcPr>
            <w:tcW w:w="2551" w:type="dxa"/>
            <w:vAlign w:val="center"/>
          </w:tcPr>
          <w:p>
            <w:pPr>
              <w:pStyle w:val="17"/>
            </w:pPr>
            <w:r>
              <w:t>有效提升</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经济效益指标</w:t>
            </w:r>
          </w:p>
        </w:tc>
        <w:tc>
          <w:tcPr>
            <w:tcW w:w="2835" w:type="dxa"/>
            <w:vAlign w:val="center"/>
          </w:tcPr>
          <w:p>
            <w:pPr>
              <w:pStyle w:val="17"/>
            </w:pPr>
            <w:r>
              <w:t>有效推动经济发展</w:t>
            </w:r>
          </w:p>
        </w:tc>
        <w:tc>
          <w:tcPr>
            <w:tcW w:w="2551" w:type="dxa"/>
            <w:vAlign w:val="center"/>
          </w:tcPr>
          <w:p>
            <w:pPr>
              <w:pStyle w:val="17"/>
            </w:pPr>
            <w:r>
              <w:t>有效提升</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培训人员满意度</w:t>
            </w:r>
          </w:p>
        </w:tc>
        <w:tc>
          <w:tcPr>
            <w:tcW w:w="2835" w:type="dxa"/>
            <w:vAlign w:val="center"/>
          </w:tcPr>
          <w:p>
            <w:pPr>
              <w:pStyle w:val="17"/>
            </w:pPr>
            <w:r>
              <w:t>培训人员满意度</w:t>
            </w:r>
          </w:p>
        </w:tc>
        <w:tc>
          <w:tcPr>
            <w:tcW w:w="2551" w:type="dxa"/>
            <w:vAlign w:val="center"/>
          </w:tcPr>
          <w:p>
            <w:pPr>
              <w:pStyle w:val="17"/>
            </w:pPr>
            <w:r>
              <w:t>≥95%</w:t>
            </w:r>
          </w:p>
        </w:tc>
        <w:tc>
          <w:tcPr>
            <w:tcW w:w="2268" w:type="dxa"/>
            <w:vAlign w:val="center"/>
          </w:tcPr>
          <w:p>
            <w:pPr>
              <w:pStyle w:val="17"/>
            </w:pPr>
            <w:r>
              <w:t>电话调查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2023年，廊坊市广阳区人民代表大会常务委员会本级安排政府采购预算0.00万元。具体内容见下表。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101001廊坊市广阳区人民代表大会常务委员会本级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rPr>
                <w:b w:val="0"/>
              </w:rPr>
            </w:pPr>
            <w:r>
              <w:rPr>
                <w:b w:val="0"/>
              </w:rPr>
              <w:t>政府采购项目来源</w:t>
            </w:r>
          </w:p>
        </w:tc>
        <w:tc>
          <w:tcPr>
            <w:tcW w:w="1134" w:type="dxa"/>
            <w:vMerge w:val="restart"/>
            <w:vAlign w:val="center"/>
          </w:tcPr>
          <w:p>
            <w:pPr>
              <w:pStyle w:val="15"/>
              <w:rPr>
                <w:b w:val="0"/>
              </w:rPr>
            </w:pPr>
            <w:r>
              <w:rPr>
                <w:b w:val="0"/>
              </w:rPr>
              <w:t>采购物品名称</w:t>
            </w:r>
          </w:p>
        </w:tc>
        <w:tc>
          <w:tcPr>
            <w:tcW w:w="1134" w:type="dxa"/>
            <w:vMerge w:val="restart"/>
            <w:vAlign w:val="center"/>
          </w:tcPr>
          <w:p>
            <w:pPr>
              <w:pStyle w:val="15"/>
              <w:rPr>
                <w:b w:val="0"/>
              </w:rPr>
            </w:pPr>
            <w:r>
              <w:rPr>
                <w:b w:val="0"/>
              </w:rPr>
              <w:t>政府采购目录序号</w:t>
            </w:r>
          </w:p>
        </w:tc>
        <w:tc>
          <w:tcPr>
            <w:tcW w:w="709" w:type="dxa"/>
            <w:vMerge w:val="restart"/>
            <w:vAlign w:val="center"/>
          </w:tcPr>
          <w:p>
            <w:pPr>
              <w:pStyle w:val="15"/>
              <w:rPr>
                <w:b w:val="0"/>
              </w:rPr>
            </w:pPr>
            <w:r>
              <w:rPr>
                <w:b w:val="0"/>
              </w:rPr>
              <w:t>计量  单位</w:t>
            </w:r>
          </w:p>
        </w:tc>
        <w:tc>
          <w:tcPr>
            <w:tcW w:w="850" w:type="dxa"/>
            <w:vMerge w:val="restart"/>
            <w:vAlign w:val="center"/>
          </w:tcPr>
          <w:p>
            <w:pPr>
              <w:pStyle w:val="15"/>
              <w:rPr>
                <w:b w:val="0"/>
              </w:rPr>
            </w:pPr>
            <w:r>
              <w:rPr>
                <w:b w:val="0"/>
              </w:rPr>
              <w:t>数量</w:t>
            </w:r>
          </w:p>
        </w:tc>
        <w:tc>
          <w:tcPr>
            <w:tcW w:w="850" w:type="dxa"/>
            <w:vMerge w:val="restart"/>
            <w:vAlign w:val="center"/>
          </w:tcPr>
          <w:p>
            <w:pPr>
              <w:pStyle w:val="15"/>
              <w:rPr>
                <w:b w:val="0"/>
              </w:rPr>
            </w:pPr>
            <w:r>
              <w:rPr>
                <w:b w:val="0"/>
              </w:rPr>
              <w:t>单价</w:t>
            </w:r>
          </w:p>
        </w:tc>
        <w:tc>
          <w:tcPr>
            <w:tcW w:w="7710" w:type="dxa"/>
            <w:gridSpan w:val="8"/>
            <w:vAlign w:val="center"/>
          </w:tcPr>
          <w:p>
            <w:pPr>
              <w:pStyle w:val="15"/>
              <w:rPr>
                <w:b w:val="0"/>
              </w:rPr>
            </w:pPr>
            <w:r>
              <w:rPr>
                <w:b w:val="0"/>
              </w:rPr>
              <w:t>政府采购金额（当年部门预算安排资金）</w:t>
            </w:r>
          </w:p>
        </w:tc>
        <w:tc>
          <w:tcPr>
            <w:tcW w:w="964" w:type="dxa"/>
            <w:vMerge w:val="restart"/>
            <w:vAlign w:val="center"/>
          </w:tcPr>
          <w:p>
            <w:pPr>
              <w:pStyle w:val="15"/>
              <w:rPr>
                <w:b w:val="0"/>
              </w:rPr>
            </w:pPr>
            <w:r>
              <w:rPr>
                <w:b w:val="0"/>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rPr>
                <w:b w:val="0"/>
              </w:rPr>
            </w:pPr>
            <w:r>
              <w:rPr>
                <w:b w:val="0"/>
              </w:rPr>
              <w:t>项目名称</w:t>
            </w:r>
          </w:p>
        </w:tc>
        <w:tc>
          <w:tcPr>
            <w:tcW w:w="964" w:type="dxa"/>
            <w:vAlign w:val="center"/>
          </w:tcPr>
          <w:p>
            <w:pPr>
              <w:pStyle w:val="15"/>
              <w:rPr>
                <w:b w:val="0"/>
              </w:rPr>
            </w:pPr>
            <w:r>
              <w:rPr>
                <w:b w:val="0"/>
              </w:rP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rPr>
                <w:b w:val="0"/>
              </w:rPr>
            </w:pPr>
            <w:r>
              <w:rPr>
                <w:b w:val="0"/>
              </w:rPr>
              <w:t>合计</w:t>
            </w:r>
          </w:p>
        </w:tc>
        <w:tc>
          <w:tcPr>
            <w:tcW w:w="964" w:type="dxa"/>
            <w:vAlign w:val="center"/>
          </w:tcPr>
          <w:p>
            <w:pPr>
              <w:pStyle w:val="15"/>
              <w:rPr>
                <w:b w:val="0"/>
              </w:rPr>
            </w:pPr>
            <w:r>
              <w:rPr>
                <w:b w:val="0"/>
              </w:rPr>
              <w:t>一般公共预算拨款</w:t>
            </w:r>
          </w:p>
        </w:tc>
        <w:tc>
          <w:tcPr>
            <w:tcW w:w="964" w:type="dxa"/>
            <w:vAlign w:val="center"/>
          </w:tcPr>
          <w:p>
            <w:pPr>
              <w:pStyle w:val="15"/>
              <w:rPr>
                <w:b w:val="0"/>
              </w:rPr>
            </w:pPr>
            <w:r>
              <w:rPr>
                <w:b w:val="0"/>
              </w:rPr>
              <w:t>基金预算拨款</w:t>
            </w:r>
          </w:p>
        </w:tc>
        <w:tc>
          <w:tcPr>
            <w:tcW w:w="964" w:type="dxa"/>
            <w:vAlign w:val="center"/>
          </w:tcPr>
          <w:p>
            <w:pPr>
              <w:pStyle w:val="15"/>
              <w:rPr>
                <w:b w:val="0"/>
              </w:rPr>
            </w:pPr>
            <w:r>
              <w:rPr>
                <w:b w:val="0"/>
              </w:rPr>
              <w:t>国有资本经营预算拨款</w:t>
            </w:r>
          </w:p>
        </w:tc>
        <w:tc>
          <w:tcPr>
            <w:tcW w:w="964" w:type="dxa"/>
            <w:vAlign w:val="center"/>
          </w:tcPr>
          <w:p>
            <w:pPr>
              <w:pStyle w:val="15"/>
              <w:rPr>
                <w:b w:val="0"/>
              </w:rPr>
            </w:pPr>
            <w:r>
              <w:rPr>
                <w:b w:val="0"/>
              </w:rPr>
              <w:t>财政专户核拨</w:t>
            </w:r>
          </w:p>
        </w:tc>
        <w:tc>
          <w:tcPr>
            <w:tcW w:w="964" w:type="dxa"/>
            <w:vAlign w:val="center"/>
          </w:tcPr>
          <w:p>
            <w:pPr>
              <w:pStyle w:val="15"/>
              <w:rPr>
                <w:b w:val="0"/>
              </w:rPr>
            </w:pPr>
            <w:r>
              <w:rPr>
                <w:b w:val="0"/>
              </w:rPr>
              <w:t>单位    资金</w:t>
            </w:r>
          </w:p>
        </w:tc>
        <w:tc>
          <w:tcPr>
            <w:tcW w:w="964" w:type="dxa"/>
            <w:vAlign w:val="center"/>
          </w:tcPr>
          <w:p>
            <w:pPr>
              <w:pStyle w:val="15"/>
              <w:rPr>
                <w:b w:val="0"/>
              </w:rPr>
            </w:pPr>
            <w:r>
              <w:rPr>
                <w:b w:val="0"/>
              </w:rPr>
              <w:t>财政拨    款结转</w:t>
            </w:r>
          </w:p>
        </w:tc>
        <w:tc>
          <w:tcPr>
            <w:tcW w:w="964" w:type="dxa"/>
            <w:vAlign w:val="center"/>
          </w:tcPr>
          <w:p>
            <w:pPr>
              <w:pStyle w:val="15"/>
              <w:rPr>
                <w:b w:val="0"/>
              </w:rPr>
            </w:pPr>
            <w:r>
              <w:rPr>
                <w:b w:val="0"/>
              </w:rP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olor w:val="000000"/>
          <w:sz w:val="28"/>
        </w:rPr>
        <w:t>廊坊市广阳区人民代表大会常务委员会本级上年末固定资产金额为287.47万元（详见下表）。本年度拟购置固定资产总额为0.00万元，已按要求列入政府采购预算，详见政府采购预算表。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101001廊坊市广阳区人民代表大会常务委员会本级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rPr>
                <w:b w:val="0"/>
              </w:rPr>
            </w:pPr>
            <w:r>
              <w:rPr>
                <w:b w:val="0"/>
              </w:rPr>
              <w:t>项   目</w:t>
            </w:r>
          </w:p>
        </w:tc>
        <w:tc>
          <w:tcPr>
            <w:tcW w:w="2835" w:type="dxa"/>
            <w:vAlign w:val="center"/>
          </w:tcPr>
          <w:p>
            <w:pPr>
              <w:pStyle w:val="15"/>
              <w:rPr>
                <w:b w:val="0"/>
              </w:rPr>
            </w:pPr>
            <w:r>
              <w:rPr>
                <w:b w:val="0"/>
              </w:rPr>
              <w:t>数量</w:t>
            </w:r>
          </w:p>
        </w:tc>
        <w:tc>
          <w:tcPr>
            <w:tcW w:w="2835" w:type="dxa"/>
            <w:vAlign w:val="center"/>
          </w:tcPr>
          <w:p>
            <w:pPr>
              <w:pStyle w:val="15"/>
              <w:rPr>
                <w:b w:val="0"/>
              </w:rPr>
            </w:pPr>
            <w:r>
              <w:rPr>
                <w:b w:val="0"/>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287.47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4</w:t>
            </w:r>
          </w:p>
        </w:tc>
        <w:tc>
          <w:tcPr>
            <w:tcW w:w="2835" w:type="dxa"/>
            <w:vAlign w:val="center"/>
          </w:tcPr>
          <w:p>
            <w:pPr>
              <w:pStyle w:val="16"/>
            </w:pPr>
            <w:r>
              <w:t>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r>
              <w:t>1</w:t>
            </w:r>
          </w:p>
        </w:tc>
        <w:tc>
          <w:tcPr>
            <w:tcW w:w="2835" w:type="dxa"/>
            <w:vAlign w:val="center"/>
          </w:tcPr>
          <w:p>
            <w:pPr>
              <w:pStyle w:val="16"/>
            </w:pPr>
            <w:r>
              <w:t>115.53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102.84</w:t>
            </w:r>
          </w:p>
        </w:tc>
      </w:tr>
    </w:tbl>
    <w:p>
      <w:pPr>
        <w:ind w:firstLine="640"/>
      </w:pPr>
      <w:r>
        <w:rPr>
          <w:rFonts w:eastAsia="方正仿宋_GBK"/>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olor w:val="000000"/>
          <w:sz w:val="28"/>
        </w:rPr>
        <w:t>1、一般公共预算拨款收入：指区级财政当年拨付的资金。</w:t>
      </w:r>
    </w:p>
    <w:p>
      <w:pPr>
        <w:spacing w:line="500" w:lineRule="exact"/>
        <w:ind w:firstLine="560"/>
      </w:pPr>
      <w:r>
        <w:rPr>
          <w:rFonts w:eastAsia="方正仿宋_GBK"/>
          <w:color w:val="000000"/>
          <w:sz w:val="28"/>
        </w:rPr>
        <w:t>2、事业收入：指事业单位开展专业业务活动及辅助活动所取得的收入。</w:t>
      </w:r>
    </w:p>
    <w:p>
      <w:pPr>
        <w:spacing w:line="500" w:lineRule="exact"/>
        <w:ind w:firstLine="560"/>
      </w:pPr>
      <w:r>
        <w:rPr>
          <w:rFonts w:eastAsia="方正仿宋_GBK"/>
          <w:color w:val="000000"/>
          <w:sz w:val="28"/>
        </w:rPr>
        <w:t>3、其他收入：指除“一般公共预算拨款收入”、“事业收入”等以外的收入。主要是按规定动用的租房收入、存款利息收入等。</w:t>
      </w:r>
    </w:p>
    <w:p>
      <w:pPr>
        <w:spacing w:line="500" w:lineRule="exact"/>
        <w:ind w:firstLine="560"/>
      </w:pPr>
      <w:r>
        <w:rPr>
          <w:rFonts w:eastAsia="方正仿宋_GBK"/>
          <w:color w:val="000000"/>
          <w:sz w:val="28"/>
        </w:rPr>
        <w:t>4、基本支出：指为保障机构正常运转、完成日常工作任务而发生的人员支出和公用支出。</w:t>
      </w:r>
    </w:p>
    <w:p>
      <w:pPr>
        <w:spacing w:line="500" w:lineRule="exact"/>
        <w:ind w:firstLine="560"/>
      </w:pPr>
      <w:r>
        <w:rPr>
          <w:rFonts w:eastAsia="方正仿宋_GBK"/>
          <w:color w:val="000000"/>
          <w:sz w:val="28"/>
        </w:rPr>
        <w:t>5、项目支出：指在基本支出之外为完成特定行政任务和事业发展目标所发生的支出。</w:t>
      </w:r>
    </w:p>
    <w:p>
      <w:pPr>
        <w:spacing w:line="500" w:lineRule="exact"/>
        <w:ind w:firstLine="560"/>
      </w:pPr>
      <w:r>
        <w:rPr>
          <w:rFonts w:eastAsia="方正仿宋_GBK"/>
          <w:color w:val="000000"/>
          <w:sz w:val="28"/>
        </w:rPr>
        <w:t>6、上缴上级支出：指下级单位上缴上级的支出。</w:t>
      </w:r>
    </w:p>
    <w:p>
      <w:pPr>
        <w:spacing w:line="500" w:lineRule="exact"/>
        <w:ind w:firstLine="560"/>
      </w:pPr>
      <w:r>
        <w:rPr>
          <w:rFonts w:eastAsia="方正仿宋_GBK"/>
          <w:color w:val="000000"/>
          <w:sz w:val="28"/>
        </w:rPr>
        <w:t>7、“三公”经费：纳入区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9、上年结转：指以前年度尚未完成、结转到本年仍按原规定用途继续使用的资金。</w:t>
      </w:r>
    </w:p>
    <w:p>
      <w:pPr>
        <w:spacing w:line="500" w:lineRule="exact"/>
        <w:ind w:firstLine="560"/>
      </w:pPr>
      <w:r>
        <w:rPr>
          <w:rFonts w:eastAsia="方正仿宋_GBK"/>
          <w:color w:val="000000"/>
          <w:sz w:val="28"/>
        </w:rPr>
        <w:t>10、事业单位经营支出：指事业单位在专业业务活动及其辅助活动之外开展非独立核算经营活动发生的支出。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11E0C"/>
    <w:rsid w:val="00037FD4"/>
    <w:rsid w:val="00325E90"/>
    <w:rsid w:val="003E6B7E"/>
    <w:rsid w:val="004C0A8B"/>
    <w:rsid w:val="00500DF9"/>
    <w:rsid w:val="00711E0C"/>
    <w:rsid w:val="009C2126"/>
    <w:rsid w:val="00B5324E"/>
    <w:rsid w:val="00DC344C"/>
    <w:rsid w:val="0AB146A6"/>
    <w:rsid w:val="1D9841AF"/>
    <w:rsid w:val="27ED5223"/>
    <w:rsid w:val="51D45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2023-03-13T11:03:08Z</dcterms:created>
  <dcterms:modified xsi:type="dcterms:W3CDTF">2023-03-13T03:03:08Z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2023-03-13T11:03:12Z</dcterms:created>
  <dcterms:modified xsi:type="dcterms:W3CDTF">2023-03-13T03:03:12Z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2023-03-13T11:03:06Z</dcterms:created>
  <dcterms:modified xsi:type="dcterms:W3CDTF">2023-03-13T03:03:05Z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2023-03-13T11:03:12Z</dcterms:created>
  <dcterms:modified xsi:type="dcterms:W3CDTF">2023-03-13T03:03:12Z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2023-03-13T11:03:12Z</dcterms:created>
  <dcterms:modified xsi:type="dcterms:W3CDTF">2023-03-13T03:03:12Z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FF0D6A1-F164-4A0C-852F-1A65CDB7A75A}">
  <ds:schemaRefs/>
</ds:datastoreItem>
</file>

<file path=customXml/itemProps10.xml><?xml version="1.0" encoding="utf-8"?>
<ds:datastoreItem xmlns:ds="http://schemas.openxmlformats.org/officeDocument/2006/customXml" ds:itemID="{5570C332-24D7-47B1-B3B7-4953F98150AA}">
  <ds:schemaRefs/>
</ds:datastoreItem>
</file>

<file path=customXml/itemProps11.xml><?xml version="1.0" encoding="utf-8"?>
<ds:datastoreItem xmlns:ds="http://schemas.openxmlformats.org/officeDocument/2006/customXml" ds:itemID="{40069F66-ABAA-40C6-A085-8C57C152377C}">
  <ds:schemaRefs/>
</ds:datastoreItem>
</file>

<file path=customXml/itemProps12.xml><?xml version="1.0" encoding="utf-8"?>
<ds:datastoreItem xmlns:ds="http://schemas.openxmlformats.org/officeDocument/2006/customXml" ds:itemID="{A36915FF-86C8-416B-A7AE-FA6960501FDE}">
  <ds:schemaRefs/>
</ds:datastoreItem>
</file>

<file path=customXml/itemProps13.xml><?xml version="1.0" encoding="utf-8"?>
<ds:datastoreItem xmlns:ds="http://schemas.openxmlformats.org/officeDocument/2006/customXml" ds:itemID="{7A84370F-97BA-4D2E-B31E-E0DD562C70FB}">
  <ds:schemaRefs/>
</ds:datastoreItem>
</file>

<file path=customXml/itemProps14.xml><?xml version="1.0" encoding="utf-8"?>
<ds:datastoreItem xmlns:ds="http://schemas.openxmlformats.org/officeDocument/2006/customXml" ds:itemID="{28C7B917-A06E-4B37-93DF-9598E9082483}">
  <ds:schemaRefs/>
</ds:datastoreItem>
</file>

<file path=customXml/itemProps15.xml><?xml version="1.0" encoding="utf-8"?>
<ds:datastoreItem xmlns:ds="http://schemas.openxmlformats.org/officeDocument/2006/customXml" ds:itemID="{1A6820F4-1B56-4CC1-AE66-00DC5BF0FD85}">
  <ds:schemaRefs/>
</ds:datastoreItem>
</file>

<file path=customXml/itemProps16.xml><?xml version="1.0" encoding="utf-8"?>
<ds:datastoreItem xmlns:ds="http://schemas.openxmlformats.org/officeDocument/2006/customXml" ds:itemID="{8426BCAF-80DF-4DC5-A897-ACA6BA4F6FA0}">
  <ds:schemaRefs/>
</ds:datastoreItem>
</file>

<file path=customXml/itemProps17.xml><?xml version="1.0" encoding="utf-8"?>
<ds:datastoreItem xmlns:ds="http://schemas.openxmlformats.org/officeDocument/2006/customXml" ds:itemID="{62330ACB-3706-4236-B6F4-2F89D560D468}">
  <ds:schemaRefs/>
</ds:datastoreItem>
</file>

<file path=customXml/itemProps18.xml><?xml version="1.0" encoding="utf-8"?>
<ds:datastoreItem xmlns:ds="http://schemas.openxmlformats.org/officeDocument/2006/customXml" ds:itemID="{81858668-7527-4DED-97FD-8330A5FC8505}">
  <ds:schemaRefs/>
</ds:datastoreItem>
</file>

<file path=customXml/itemProps19.xml><?xml version="1.0" encoding="utf-8"?>
<ds:datastoreItem xmlns:ds="http://schemas.openxmlformats.org/officeDocument/2006/customXml" ds:itemID="{AF1ED6FB-B649-4C8D-8FBA-482A9CA379A9}">
  <ds:schemaRefs/>
</ds:datastoreItem>
</file>

<file path=customXml/itemProps2.xml><?xml version="1.0" encoding="utf-8"?>
<ds:datastoreItem xmlns:ds="http://schemas.openxmlformats.org/officeDocument/2006/customXml" ds:itemID="{B89A4C4C-B473-4150-8AAB-45BCCA0FB21C}">
  <ds:schemaRefs/>
</ds:datastoreItem>
</file>

<file path=customXml/itemProps20.xml><?xml version="1.0" encoding="utf-8"?>
<ds:datastoreItem xmlns:ds="http://schemas.openxmlformats.org/officeDocument/2006/customXml" ds:itemID="{8A62F41B-B14C-4754-B740-FF704EB66ED6}">
  <ds:schemaRefs/>
</ds:datastoreItem>
</file>

<file path=customXml/itemProps21.xml><?xml version="1.0" encoding="utf-8"?>
<ds:datastoreItem xmlns:ds="http://schemas.openxmlformats.org/officeDocument/2006/customXml" ds:itemID="{A38DA8E9-1D55-47E5-8BB0-E3E2B9509D92}">
  <ds:schemaRefs/>
</ds:datastoreItem>
</file>

<file path=customXml/itemProps22.xml><?xml version="1.0" encoding="utf-8"?>
<ds:datastoreItem xmlns:ds="http://schemas.openxmlformats.org/officeDocument/2006/customXml" ds:itemID="{A40258DD-D1B4-4E9A-9346-15F0957170DF}">
  <ds:schemaRefs/>
</ds:datastoreItem>
</file>

<file path=customXml/itemProps3.xml><?xml version="1.0" encoding="utf-8"?>
<ds:datastoreItem xmlns:ds="http://schemas.openxmlformats.org/officeDocument/2006/customXml" ds:itemID="{5B82BDF8-5990-438A-BD94-803506E15633}">
  <ds:schemaRefs/>
</ds:datastoreItem>
</file>

<file path=customXml/itemProps4.xml><?xml version="1.0" encoding="utf-8"?>
<ds:datastoreItem xmlns:ds="http://schemas.openxmlformats.org/officeDocument/2006/customXml" ds:itemID="{3308427A-38B3-4FDF-B753-A114CDD42A22}">
  <ds:schemaRefs/>
</ds:datastoreItem>
</file>

<file path=customXml/itemProps5.xml><?xml version="1.0" encoding="utf-8"?>
<ds:datastoreItem xmlns:ds="http://schemas.openxmlformats.org/officeDocument/2006/customXml" ds:itemID="{86099F7F-020E-41F6-B89A-A13F22AB3D58}">
  <ds:schemaRefs/>
</ds:datastoreItem>
</file>

<file path=customXml/itemProps6.xml><?xml version="1.0" encoding="utf-8"?>
<ds:datastoreItem xmlns:ds="http://schemas.openxmlformats.org/officeDocument/2006/customXml" ds:itemID="{551DF46F-BA41-45EA-AC39-343CA85A14AB}">
  <ds:schemaRefs/>
</ds:datastoreItem>
</file>

<file path=customXml/itemProps7.xml><?xml version="1.0" encoding="utf-8"?>
<ds:datastoreItem xmlns:ds="http://schemas.openxmlformats.org/officeDocument/2006/customXml" ds:itemID="{7BFCBF49-7B72-4E1F-882A-15590CFC12B0}">
  <ds:schemaRefs/>
</ds:datastoreItem>
</file>

<file path=customXml/itemProps8.xml><?xml version="1.0" encoding="utf-8"?>
<ds:datastoreItem xmlns:ds="http://schemas.openxmlformats.org/officeDocument/2006/customXml" ds:itemID="{AFA90462-F293-4453-9BDF-12939FC65649}">
  <ds:schemaRefs/>
</ds:datastoreItem>
</file>

<file path=customXml/itemProps9.xml><?xml version="1.0" encoding="utf-8"?>
<ds:datastoreItem xmlns:ds="http://schemas.openxmlformats.org/officeDocument/2006/customXml" ds:itemID="{F8424AEF-E4FD-41EC-90FD-EB5440AD8C2B}">
  <ds:schemaRefs/>
</ds:datastoreItem>
</file>

<file path=docProps/app.xml><?xml version="1.0" encoding="utf-8"?>
<Properties xmlns="http://schemas.openxmlformats.org/officeDocument/2006/extended-properties" xmlns:vt="http://schemas.openxmlformats.org/officeDocument/2006/docPropsVTypes">
  <Template>Normal</Template>
  <Pages>31</Pages>
  <Words>1980</Words>
  <Characters>11289</Characters>
  <Lines>94</Lines>
  <Paragraphs>26</Paragraphs>
  <TotalTime>46</TotalTime>
  <ScaleCrop>false</ScaleCrop>
  <LinksUpToDate>false</LinksUpToDate>
  <CharactersWithSpaces>13243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2023-03-14T00:53:00Z</dcterms:created>
  <dc:creator>Administrator</dc:creator>
  <cp:lastModifiedBy>111</cp:lastModifiedBy>
  <dcterms:modified xsi:type="dcterms:W3CDTF">2024-05-15T03:10:37Z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F87C21A7094A4C8FA5487B6836E80E5A</vt:lpwstr>
  </property>
</Properties>
</file>