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廊坊市广阳区2022年项目库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67"/>
        <w:gridCol w:w="1485"/>
        <w:gridCol w:w="1035"/>
        <w:gridCol w:w="1065"/>
        <w:gridCol w:w="2190"/>
        <w:gridCol w:w="1380"/>
        <w:gridCol w:w="2010"/>
        <w:gridCol w:w="2025"/>
        <w:gridCol w:w="2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6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8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实施地点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实施年限</w:t>
            </w:r>
          </w:p>
        </w:tc>
        <w:tc>
          <w:tcPr>
            <w:tcW w:w="219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主要建设内容和补贴标准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项目主管部门</w:t>
            </w:r>
          </w:p>
        </w:tc>
        <w:tc>
          <w:tcPr>
            <w:tcW w:w="201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项目实施单位及负责人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资金来源及规模</w:t>
            </w:r>
          </w:p>
        </w:tc>
        <w:tc>
          <w:tcPr>
            <w:tcW w:w="23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879" w:hRule="atLeast"/>
        </w:trPr>
        <w:tc>
          <w:tcPr>
            <w:tcW w:w="66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48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广阳区2022年产业帮扶合作建厂项目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廊坊市广阳区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2022年</w:t>
            </w:r>
          </w:p>
        </w:tc>
        <w:tc>
          <w:tcPr>
            <w:tcW w:w="219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为项目承担企业建设生产相关的固定资产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广阳区农业农村局</w:t>
            </w:r>
          </w:p>
        </w:tc>
        <w:tc>
          <w:tcPr>
            <w:tcW w:w="201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广阳区农业农村局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李铁军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省级衔接资金44万元、市级衔接资金84万元、区级衔接资金80万元</w:t>
            </w:r>
          </w:p>
        </w:tc>
        <w:tc>
          <w:tcPr>
            <w:tcW w:w="23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vertAlign w:val="baseline"/>
                <w:lang w:val="en-US" w:eastAsia="zh-CN"/>
              </w:rPr>
              <w:t>本项目建成后，受益户数33户、收益人口77人；年收益12.48万元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NjhhMmZlNzEyOGE5MzBjNDE0MTYwMzk1YzYxODEifQ=="/>
  </w:docVars>
  <w:rsids>
    <w:rsidRoot w:val="1A067A51"/>
    <w:rsid w:val="1A06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2022-12-15T11:08:00Z</dcterms:created>
  <dc:creator>杨凯</dc:creator>
  <cp:lastModifiedBy>杨凯</cp:lastModifiedBy>
  <dcterms:modified xsi:type="dcterms:W3CDTF">2022-12-15T11:22:12Z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73B74AD8EE8F4F34A511C93ED2B898F9</vt:lpwstr>
  </property>
</Properties>
</file>