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 w:cs="Courier New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Courier New"/>
          <w:color w:val="000000"/>
          <w:kern w:val="0"/>
          <w:sz w:val="44"/>
          <w:szCs w:val="44"/>
        </w:rPr>
        <w:t>2021年政府预算信息公开目录</w:t>
      </w:r>
    </w:p>
    <w:p>
      <w:pPr>
        <w:spacing w:line="620" w:lineRule="exact"/>
        <w:rPr>
          <w:rFonts w:ascii="黑体" w:eastAsia="黑体" w:cs="Courier New"/>
          <w:color w:val="000000"/>
          <w:kern w:val="0"/>
          <w:sz w:val="32"/>
          <w:szCs w:val="32"/>
        </w:rPr>
      </w:pPr>
    </w:p>
    <w:p>
      <w:pPr>
        <w:spacing w:line="620" w:lineRule="exact"/>
        <w:rPr>
          <w:rFonts w:ascii="黑体" w:hAnsi="黑体" w:eastAsia="仿宋_GB2312" w:cs="Times New Roman"/>
          <w:spacing w:val="2"/>
          <w:kern w:val="16"/>
          <w:sz w:val="32"/>
          <w:szCs w:val="32"/>
        </w:rPr>
      </w:pPr>
      <w:r>
        <w:rPr>
          <w:rFonts w:hint="eastAsia" w:ascii="黑体" w:eastAsia="黑体" w:cs="Courier New"/>
          <w:color w:val="000000"/>
          <w:kern w:val="0"/>
          <w:sz w:val="32"/>
          <w:szCs w:val="32"/>
        </w:rPr>
        <w:t>一、</w:t>
      </w:r>
      <w:r>
        <w:rPr>
          <w:rFonts w:hint="eastAsia" w:ascii="黑体" w:eastAsia="黑体" w:cs="Times New Roman"/>
          <w:spacing w:val="2"/>
          <w:kern w:val="16"/>
          <w:sz w:val="32"/>
          <w:szCs w:val="32"/>
        </w:rPr>
        <w:t>关于廊坊市广阳区2020年全区总预算及区本级预算执行情况和2021年全区总预算及区本级预算（草案）的报告</w:t>
      </w:r>
      <w:r>
        <w:rPr>
          <w:rFonts w:hint="eastAsia" w:ascii="仿宋_GB2312" w:eastAsia="仿宋_GB2312"/>
          <w:b/>
          <w:bCs/>
          <w:spacing w:val="2"/>
          <w:kern w:val="16"/>
          <w:sz w:val="32"/>
          <w:szCs w:val="32"/>
        </w:rPr>
        <w:t>（</w:t>
      </w:r>
      <w:r>
        <w:rPr>
          <w:rFonts w:hint="eastAsia" w:ascii="仿宋_GB2312" w:eastAsia="仿宋_GB2312"/>
          <w:spacing w:val="-20"/>
          <w:kern w:val="16"/>
          <w:sz w:val="32"/>
          <w:szCs w:val="32"/>
        </w:rPr>
        <w:t xml:space="preserve">2021年 3月2日在廊坊市广阳区第五届人民代表大会第五次会议上） </w:t>
      </w:r>
    </w:p>
    <w:p>
      <w:pPr>
        <w:spacing w:line="620" w:lineRule="exact"/>
        <w:jc w:val="left"/>
        <w:rPr>
          <w:rFonts w:ascii="黑体" w:eastAsia="黑体" w:cs="Courier New"/>
          <w:color w:val="000000"/>
          <w:kern w:val="0"/>
          <w:sz w:val="32"/>
          <w:szCs w:val="32"/>
        </w:rPr>
      </w:pPr>
      <w:r>
        <w:rPr>
          <w:rFonts w:hint="eastAsia" w:ascii="黑体" w:eastAsia="黑体" w:cs="Courier New"/>
          <w:color w:val="000000"/>
          <w:kern w:val="0"/>
          <w:sz w:val="32"/>
          <w:szCs w:val="32"/>
        </w:rPr>
        <w:t>二、2021年区级政府预算公开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、2021年一般公共预算收入表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2、2021年一般公共预算支出表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3、2021年一般公共预算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本级支出功能分类表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4、2021年一般公共预算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本级基本支出经济分类表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5、2021年一般公共预算税收返还、一般性和专项转移支付分地区安排情况表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6、2021年一般公共预算专项转移支付分项目安排情况表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7、2021年政府性基金预算收入表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8、2021年政府性基金预算支出表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9、2021年政府性基金预算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本级支出表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10、2021年政府性基金预算专项转移支付分地区安排情况表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11、2021年政府性基金预算专项转移支付分项目安排情况表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12、2021年国有资本经营预算收入表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13、2021年国有资本经营预算支出表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14、2021年国有资本经营预算本级支出表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15、2021年国有资本经营预算专项转移支付分地区安排情况表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16、2021年国有资本经营预算专项转移支付分项目安排情况表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17、2021年社会保险基金预算收入表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18、2021年社会保险基金预算支出表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19、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广阳区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2020年地方政府债务限额及余额预算情况表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20、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广阳区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2020年地方政府一般债务余额情况表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21、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广阳区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2020年地方政府专项债务余额情况表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22、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广阳区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地方政府债券发行及还本付息情况表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23、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广阳区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2021年地方政府债务限额提前下达情况表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24、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广阳区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202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年地方政府债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务限额调整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25、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广阳区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本级2020年地方政府债务限额及余额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决</w:t>
      </w:r>
      <w:r>
        <w:rPr>
          <w:rFonts w:ascii="仿宋_GB2312" w:eastAsia="仿宋_GB2312" w:cs="Courier New"/>
          <w:color w:val="000000"/>
          <w:kern w:val="0"/>
          <w:sz w:val="32"/>
          <w:szCs w:val="32"/>
        </w:rPr>
        <w:t>算情况表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26、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2020年地方政府债券使用情况表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ascii="仿宋_GB2312" w:eastAsia="仿宋_GB2312" w:cs="Courier New"/>
          <w:color w:val="000000"/>
          <w:kern w:val="0"/>
          <w:sz w:val="32"/>
          <w:szCs w:val="32"/>
        </w:rPr>
        <w:t>27、2020年地方政府</w:t>
      </w: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债务发行及还本付息情况表</w:t>
      </w:r>
    </w:p>
    <w:p>
      <w:pPr>
        <w:spacing w:line="620" w:lineRule="exact"/>
        <w:ind w:firstLine="640" w:firstLineChars="200"/>
        <w:jc w:val="left"/>
        <w:rPr>
          <w:rFonts w:hint="eastAsia" w:ascii="仿宋_GB2312" w:eastAsia="仿宋_GB2312" w:cs="Courier New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  <w:lang w:val="en-US" w:eastAsia="zh-CN"/>
        </w:rPr>
        <w:t>28、广阳区2021年新增政府债券资金安排表</w:t>
      </w:r>
    </w:p>
    <w:p>
      <w:pPr>
        <w:spacing w:line="620" w:lineRule="exact"/>
        <w:ind w:firstLine="640" w:firstLineChars="200"/>
        <w:jc w:val="left"/>
        <w:rPr>
          <w:rFonts w:hint="default" w:ascii="仿宋_GB2312" w:eastAsia="仿宋_GB2312" w:cs="Courier New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  <w:lang w:val="en-US" w:eastAsia="zh-CN"/>
        </w:rPr>
        <w:t>29、广阳区2021年地方政府再融资债券分月发行安排表</w:t>
      </w:r>
    </w:p>
    <w:p>
      <w:pPr>
        <w:spacing w:line="620" w:lineRule="exact"/>
        <w:jc w:val="left"/>
        <w:rPr>
          <w:rFonts w:ascii="黑体" w:eastAsia="黑体" w:cs="Courier New"/>
          <w:color w:val="000000"/>
          <w:kern w:val="0"/>
          <w:sz w:val="32"/>
          <w:szCs w:val="32"/>
        </w:rPr>
      </w:pPr>
      <w:r>
        <w:rPr>
          <w:rFonts w:hint="eastAsia" w:ascii="黑体" w:eastAsia="黑体" w:cs="Courier New"/>
          <w:color w:val="000000"/>
          <w:kern w:val="0"/>
          <w:sz w:val="32"/>
          <w:szCs w:val="32"/>
        </w:rPr>
        <w:t>三、2020年度区级政府预算其他预算相关事项情况说明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1、三公经费情况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2、举借债务情况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3、转移支付情况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4、2021年度绩效预算工作开展情况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5、2021年本级政府采购预算情况说明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6、其他重要事项说明</w:t>
      </w:r>
    </w:p>
    <w:p>
      <w:pPr>
        <w:spacing w:line="620" w:lineRule="exact"/>
        <w:jc w:val="left"/>
        <w:rPr>
          <w:rFonts w:ascii="黑体" w:eastAsia="黑体" w:cs="Courier New"/>
          <w:color w:val="000000"/>
          <w:kern w:val="0"/>
          <w:sz w:val="32"/>
          <w:szCs w:val="32"/>
        </w:rPr>
      </w:pPr>
      <w:r>
        <w:rPr>
          <w:rFonts w:hint="eastAsia" w:ascii="黑体" w:eastAsia="黑体" w:cs="Courier New"/>
          <w:color w:val="000000"/>
          <w:kern w:val="0"/>
          <w:sz w:val="32"/>
          <w:szCs w:val="32"/>
        </w:rPr>
        <w:t>四、政府预算其他说明相关表格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1、提前下达2021年转移支付及基金情况表</w:t>
      </w:r>
    </w:p>
    <w:p>
      <w:pPr>
        <w:spacing w:line="620" w:lineRule="exact"/>
        <w:ind w:firstLine="640" w:firstLineChars="200"/>
        <w:jc w:val="left"/>
        <w:rPr>
          <w:rFonts w:ascii="仿宋_GB2312" w:eastAsia="仿宋_GB2312" w:cs="Courier New"/>
          <w:color w:val="000000"/>
          <w:kern w:val="0"/>
          <w:sz w:val="32"/>
          <w:szCs w:val="32"/>
        </w:rPr>
      </w:pPr>
      <w:r>
        <w:rPr>
          <w:rFonts w:hint="eastAsia" w:ascii="仿宋_GB2312" w:eastAsia="仿宋_GB2312" w:cs="Courier New"/>
          <w:color w:val="000000"/>
          <w:kern w:val="0"/>
          <w:sz w:val="32"/>
          <w:szCs w:val="32"/>
        </w:rPr>
        <w:t>2、廊坊市广阳区财政拨款“三公经费”支出表</w:t>
      </w:r>
    </w:p>
    <w:p>
      <w:pPr>
        <w:spacing w:line="620" w:lineRule="exact"/>
        <w:jc w:val="left"/>
        <w:rPr>
          <w:rFonts w:ascii="Courier New" w:hAnsi="Courier New" w:cs="Courier New"/>
          <w:color w:val="000000"/>
          <w:kern w:val="0"/>
          <w:sz w:val="27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_GB2312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28"/>
    <w:rsid w:val="00301628"/>
    <w:rsid w:val="00374F68"/>
    <w:rsid w:val="00386C0E"/>
    <w:rsid w:val="004458D8"/>
    <w:rsid w:val="005D6FFD"/>
    <w:rsid w:val="00855CD6"/>
    <w:rsid w:val="00D809AB"/>
    <w:rsid w:val="00E70F62"/>
    <w:rsid w:val="0E2F1434"/>
    <w:rsid w:val="59E0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b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FangSong_GB2312" w:hAnsi="FangSong_GB2312" w:eastAsia="宋体" w:cs="FangSong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141</Words>
  <Characters>804</Characters>
  <Lines>6</Lines>
  <Paragraphs>1</Paragraphs>
  <TotalTime>1</TotalTime>
  <ScaleCrop>false</ScaleCrop>
  <LinksUpToDate>false</LinksUpToDate>
  <CharactersWithSpaces>944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2021-03-23T11:36:00Z</dcterms:created>
  <dc:creator>lenovo</dc:creator>
  <cp:lastModifiedBy>lenovo</cp:lastModifiedBy>
  <dcterms:modified xsi:type="dcterms:W3CDTF">2022-09-02T07:49:58Z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F4EBDB5478EA4EEF856116855D250230</vt:lpwstr>
  </property>
</Properties>
</file>