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rPr>
        <w:t>广阳区</w:t>
      </w:r>
      <w:bookmarkStart w:id="8" w:name="_GoBack"/>
      <w:r>
        <w:rPr>
          <w:rFonts w:hint="eastAsia" w:ascii="Times New Roman" w:hAnsi="Times New Roman" w:eastAsia="方正小标宋简体" w:cs="Times New Roman"/>
          <w:sz w:val="44"/>
          <w:szCs w:val="44"/>
        </w:rPr>
        <w:t>九州镇赵各庄中心小学</w:t>
      </w: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w:t>
      </w:r>
      <w:r>
        <w:rPr>
          <w:rFonts w:ascii="Times New Roman" w:hAnsi="Times New Roman" w:eastAsia="方正小标宋简体" w:cs="Times New Roman"/>
          <w:sz w:val="44"/>
          <w:szCs w:val="44"/>
        </w:rPr>
        <w:t>2年部门预算信息公开</w:t>
      </w:r>
      <w:r>
        <w:rPr>
          <w:rFonts w:hint="eastAsia" w:ascii="Times New Roman" w:hAnsi="Times New Roman" w:eastAsia="方正小标宋简体" w:cs="Times New Roman"/>
          <w:sz w:val="44"/>
          <w:szCs w:val="44"/>
        </w:rPr>
        <w:t>情况说明</w:t>
      </w:r>
      <w:bookmarkEnd w:id="8"/>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按照《中华人民共和国预算法》、《中华人民共和国预算法实施条例》、《地方预决算公开操作规程》和《河北省省级预算公开办法》规定，现将廊坊市</w:t>
      </w:r>
      <w:r>
        <w:rPr>
          <w:rFonts w:hint="eastAsia" w:ascii="Times New Roman" w:hAnsi="Times New Roman" w:eastAsia="仿宋_GB2312" w:cs="Times New Roman"/>
          <w:sz w:val="32"/>
          <w:szCs w:val="32"/>
        </w:rPr>
        <w:t>广阳区九州镇赵各庄中心小学</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2年部门预算公开如下：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一、部门职责及机构设置情况</w:t>
      </w:r>
    </w:p>
    <w:p>
      <w:pPr>
        <w:spacing w:line="584"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学校为全民事业单位，全额事业单位。学校的主要职责是:全面贯彻国家教育方针，培养学生的创新精神与实践能力，使之成为社会主义事业的建设者和接班人。我校是全日制完全小学，学校为公益一类、全额拨款事业单位。承担义务教育小学阶段的教育教学。</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内设机构各处室职责:</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(一)教导处工作职责</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教导处是负责全校教学工作的重要办事机构,在学校起着参谋和总调度的作用。负责计划、组织、检查总结全校教学工作、教研工作，以及处理日常教务行政等事宜,协助校长完成领导管理教学任务，具体职责是:</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学期(或学年)开始前工作:</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1.根据学校的工作计划制订具体的教学工作计划以及必要的规章制度。</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2.协助校长做好教学力量的安排及聘任工作。</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3做好义务教育工作。</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4.根据教学计划,征订师生用书及所需的教学参考资料,做好课本、教学资料的分发工作。</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5编印或准备好校历表、课程表、作息时间表,活动安排总表以及各种教学用表册(点名册、成绩册)。</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日常工作:</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1.督促和检查教师认真贯彻执行各种计划。</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2管理好教导处的工作档案及时提供有关教学基本情况和数据掌握动向,提出建议,贯彻领导意图。</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3组织好教师认真学习贯彻执行,科学地组织,认真抓好教学常规的五个基本环节(备课、上课、作业、复习、考试)的实施协调,检查评估和总结反馈。</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4根据学籍管理规定，认真做好学生学籍管理工作,建立学籍变动档案,毕业生档案,升学及毕业去向的跟踪档案。</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5.做好教师的考勤工作,及时安排好调课、代课。</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w:t>
      </w:r>
      <w:r>
        <w:rPr>
          <w:rFonts w:hint="eastAsia" w:ascii="Times New Roman" w:hAnsi="Times New Roman" w:eastAsia="仿宋_GB2312" w:cs="Times New Roman"/>
          <w:sz w:val="32"/>
          <w:szCs w:val="32"/>
        </w:rPr>
        <w:t>指导图书馆、阅览室、实验室的工作为教学服务做好图书阅览室、资料室的书籍征订、选购工作。</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7</w:t>
      </w:r>
      <w:r>
        <w:rPr>
          <w:rFonts w:hint="eastAsia" w:ascii="Times New Roman" w:hAnsi="Times New Roman" w:eastAsia="仿宋_GB2312" w:cs="Times New Roman"/>
          <w:sz w:val="32"/>
          <w:szCs w:val="32"/>
        </w:rPr>
        <w:t>.有计划地组织全校教师学习教育教学理论,积极进行教育教学改革实验,并组织经验交流和总结努力提高各学科的教育教学质量。</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8</w:t>
      </w:r>
      <w:r>
        <w:rPr>
          <w:rFonts w:hint="eastAsia" w:ascii="Times New Roman" w:hAnsi="Times New Roman" w:eastAsia="仿宋_GB2312" w:cs="Times New Roman"/>
          <w:sz w:val="32"/>
          <w:szCs w:val="32"/>
        </w:rPr>
        <w:t>.领导教研组工作,经常深入各教研组了解教学情况促进教研活动和教学改革活动的深入开展。</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9</w:t>
      </w:r>
      <w:r>
        <w:rPr>
          <w:rFonts w:hint="eastAsia" w:ascii="Times New Roman" w:hAnsi="Times New Roman" w:eastAsia="仿宋_GB2312" w:cs="Times New Roman"/>
          <w:sz w:val="32"/>
          <w:szCs w:val="32"/>
        </w:rPr>
        <w:t>组织管理学科竞赛并把有关资料建档。</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10</w:t>
      </w:r>
      <w:r>
        <w:rPr>
          <w:rFonts w:hint="eastAsia" w:ascii="Times New Roman" w:hAnsi="Times New Roman" w:eastAsia="仿宋_GB2312" w:cs="Times New Roman"/>
          <w:sz w:val="32"/>
          <w:szCs w:val="32"/>
        </w:rPr>
        <w:t>.组织和管理教师的论文汇编、论文的收集和归档。</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11</w:t>
      </w:r>
      <w:r>
        <w:rPr>
          <w:rFonts w:hint="eastAsia" w:ascii="Times New Roman" w:hAnsi="Times New Roman" w:eastAsia="仿宋_GB2312" w:cs="Times New Roman"/>
          <w:sz w:val="32"/>
          <w:szCs w:val="32"/>
        </w:rPr>
        <w:t>.组织和管理市、具、校各级研究课题。</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按校务公开要求及时公开内容。</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.承担教育教学科研课题。</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.做好听课、开课的登记工作。</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.负责全体教职工的继续教育的编册、验印等工作。</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学期末(或学年末)工作:</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1.检查各年级学科教学进度,教学计划完成情况。</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2.安排好期末复习考试工作(考试科目、时间安排、监考、评卷、登分)组织好期末考试工作,严肃考试纪律。</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抓好期末成绩、学年成绩的评定工作,以及各学科期末考试成绩的质量分析和统计，各班级成绩的汇总、统计和分析。</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.布置和收集教师教学工作总结,做好全校教学工作总结。</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.组织布置班级做好学生成绩报告工作。</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6</w:t>
      </w:r>
      <w:r>
        <w:rPr>
          <w:rFonts w:hint="eastAsia" w:ascii="Times New Roman" w:hAnsi="Times New Roman" w:eastAsia="仿宋_GB2312" w:cs="Times New Roman"/>
          <w:sz w:val="32"/>
          <w:szCs w:val="32"/>
        </w:rPr>
        <w:t>.确定和布置学生的寒暑假作业。</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(二)总务处工作职责</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认真贯彻执行党的各项方针积极地保证教育事业计划的顺利实现,为不断提高教育质量服务,努力搞好财务管理、财产管理、生活管理、安全管理等四个方面的工作。</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1.财务管理</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(1)合理安排,正确执行预算(预算外资金收支计划),确保完成教育事业计划,积极地为教学服务,为师生生活服务,促进教育质量的提高。</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(2)严格执行会计制度,搞好会计核算。</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(3)负责保护国家财产的安全和合理使用。</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(4)逐步熟悉教学情况,提高资金使用效率。</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(5)制定财务管理制度。</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(6)根据党和国家的方针、政策及各项制度,正确地进行财务监督,维护财经纪律。</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2.财产管理</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(1)保证教育教学的需要,讲求财产对教育、教学、生活的适用,延长使用期限、提高使用效益。</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(2)有计划地充实与更新教学设备。</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(3)培养爱护公物的道德与良好使用习惯。</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(4)抵制各种侵犯学校公共财产的行为减少和避免公物的损失,维护财产的安全</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3.生活管理</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(1)增强师生员工的健康。</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(2)解除教工后顾之忧。</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(3)协助学校党组织认真做好落实党的知识分子政策的工作。</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.安全管理</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(1)预防火灾、控制火源,管好消防器材,确保安全。</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(2)提高警惕,加强防盗措施。</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(3)防止体育锻炼伤害事故。</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(4)搞好劳动保护和安全生产。</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(5)校舍安全管理。</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(6)注意饮食卫生。</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tc>
        <w:tc>
          <w:tcPr>
            <w:tcW w:w="1134" w:type="dxa"/>
            <w:vMerge w:val="continue"/>
            <w:shd w:val="clear" w:color="auto" w:fill="auto"/>
            <w:vAlign w:val="center"/>
          </w:tcPr>
          <w:p/>
        </w:tc>
        <w:tc>
          <w:tcPr>
            <w:tcW w:w="1276" w:type="dxa"/>
            <w:vMerge w:val="continue"/>
            <w:shd w:val="clear" w:color="auto" w:fill="auto"/>
            <w:vAlign w:val="center"/>
          </w:tcPr>
          <w:p/>
        </w:tc>
        <w:tc>
          <w:tcPr>
            <w:tcW w:w="2902"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廊坊市广阳区九州镇赵各庄中心小学</w:t>
            </w:r>
          </w:p>
        </w:tc>
        <w:tc>
          <w:tcPr>
            <w:tcW w:w="1134"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事业</w:t>
            </w:r>
          </w:p>
        </w:tc>
        <w:tc>
          <w:tcPr>
            <w:tcW w:w="1276"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正科级</w:t>
            </w:r>
          </w:p>
        </w:tc>
        <w:tc>
          <w:tcPr>
            <w:tcW w:w="2902"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财政性资金基本保证（全额事业）</w:t>
            </w:r>
          </w:p>
        </w:tc>
      </w:tr>
    </w:tbl>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二、部门预算安排的总体情况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部门预算的编制实行综合预算制度，即全部收入和支出都反映在预算中。廊坊市</w:t>
      </w:r>
      <w:r>
        <w:rPr>
          <w:rFonts w:hint="eastAsia" w:ascii="Times New Roman" w:hAnsi="Times New Roman" w:eastAsia="仿宋_GB2312" w:cs="Times New Roman"/>
          <w:sz w:val="32"/>
          <w:szCs w:val="32"/>
        </w:rPr>
        <w:t>广阳区九州镇赵各庄中心小学</w:t>
      </w:r>
      <w:r>
        <w:rPr>
          <w:rFonts w:ascii="Times New Roman" w:hAnsi="Times New Roman" w:eastAsia="仿宋_GB2312" w:cs="Times New Roman"/>
          <w:sz w:val="32"/>
          <w:szCs w:val="32"/>
        </w:rPr>
        <w:t>的收支包含在部门预算中。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反映本部门当年全部收入。20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2年预算收入</w:t>
      </w:r>
      <w:bookmarkStart w:id="0" w:name="_Hlk97642894"/>
      <w:r>
        <w:rPr>
          <w:rFonts w:ascii="Times New Roman" w:hAnsi="Times New Roman" w:eastAsia="仿宋_GB2312" w:cs="Times New Roman"/>
          <w:sz w:val="32"/>
          <w:szCs w:val="32"/>
        </w:rPr>
        <w:t>66.95</w:t>
      </w:r>
      <w:bookmarkEnd w:id="0"/>
      <w:r>
        <w:rPr>
          <w:rFonts w:ascii="Times New Roman" w:hAnsi="Times New Roman" w:eastAsia="仿宋_GB2312" w:cs="Times New Roman"/>
          <w:sz w:val="32"/>
          <w:szCs w:val="32"/>
        </w:rPr>
        <w:t>万元，其中：一般公共预算收入66.95万元，基金预算收入0万元，财政专户核拨收入0万元，其他来源收入0万元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上年结转0</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rPr>
        <w:t>广阳区九州镇赵各庄中心小学2022</w:t>
      </w:r>
      <w:r>
        <w:rPr>
          <w:rFonts w:ascii="Times New Roman" w:hAnsi="Times New Roman" w:eastAsia="仿宋_GB2312" w:cs="Times New Roman"/>
          <w:sz w:val="32"/>
          <w:szCs w:val="32"/>
        </w:rPr>
        <w:t>年度部门预算中支出预算的总体情况。20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2年支出预算66.95万元，其中基本支出0万元，包括人员类项目经费0万元和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公用项目经费0万元；运转类其他及特定目标类项目支出66.95万元。</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2年预算收支安排66.95万元，较20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1年预算</w:t>
      </w:r>
      <w:r>
        <w:rPr>
          <w:rFonts w:hint="eastAsia" w:ascii="Times New Roman" w:hAnsi="Times New Roman" w:eastAsia="仿宋_GB2312" w:cs="Times New Roman"/>
          <w:sz w:val="32"/>
          <w:szCs w:val="32"/>
          <w:lang w:val="en-US" w:eastAsia="zh-CN"/>
        </w:rPr>
        <w:t>增加66.95</w:t>
      </w:r>
      <w:r>
        <w:rPr>
          <w:rFonts w:ascii="Times New Roman" w:hAnsi="Times New Roman" w:eastAsia="仿宋_GB2312" w:cs="Times New Roman"/>
          <w:sz w:val="32"/>
          <w:szCs w:val="32"/>
        </w:rPr>
        <w:t>万元，其中：主要为</w:t>
      </w:r>
      <w:r>
        <w:rPr>
          <w:rFonts w:hint="eastAsia" w:ascii="Times New Roman" w:hAnsi="Times New Roman" w:eastAsia="仿宋_GB2312" w:cs="Times New Roman"/>
          <w:sz w:val="32"/>
          <w:szCs w:val="32"/>
          <w:lang w:val="en-US" w:eastAsia="zh-CN"/>
        </w:rPr>
        <w:t>特定目标类项目增</w:t>
      </w:r>
      <w:r>
        <w:rPr>
          <w:rFonts w:hint="eastAsia" w:ascii="Times New Roman" w:hAnsi="Times New Roman" w:eastAsia="仿宋_GB2312" w:cs="Times New Roman"/>
          <w:sz w:val="32"/>
          <w:szCs w:val="32"/>
        </w:rPr>
        <w:t>加支出</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包括合同制教师人员经费、城乡义务教育生均公用经费、教育经费3个项目</w:t>
      </w:r>
      <w:r>
        <w:rPr>
          <w:rFonts w:ascii="Times New Roman" w:hAnsi="Times New Roman" w:eastAsia="仿宋_GB2312" w:cs="Times New Roman"/>
          <w:sz w:val="32"/>
          <w:szCs w:val="32"/>
        </w:rPr>
        <w:t>。</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黑体" w:cs="Times New Roman"/>
          <w:sz w:val="32"/>
          <w:szCs w:val="32"/>
        </w:rPr>
      </w:pPr>
      <w:r>
        <w:rPr>
          <w:rFonts w:ascii="Times New Roman" w:hAnsi="Times New Roman" w:eastAsia="黑体" w:cs="Times New Roman"/>
          <w:sz w:val="32"/>
          <w:szCs w:val="32"/>
        </w:rPr>
        <w:t>三、</w:t>
      </w:r>
      <w:r>
        <w:rPr>
          <w:rFonts w:hint="eastAsia" w:ascii="Times New Roman" w:hAnsi="Times New Roman" w:eastAsia="黑体" w:cs="Times New Roman"/>
          <w:sz w:val="32"/>
          <w:szCs w:val="32"/>
        </w:rPr>
        <w:t>我校</w:t>
      </w:r>
      <w:r>
        <w:rPr>
          <w:rFonts w:ascii="Times New Roman" w:hAnsi="Times New Roman" w:eastAsia="黑体" w:cs="Times New Roman"/>
          <w:sz w:val="32"/>
          <w:szCs w:val="32"/>
        </w:rPr>
        <w:t>运行经费安排情况</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w:t>
      </w:r>
      <w:r>
        <w:rPr>
          <w:rFonts w:hint="eastAsia" w:ascii="Times New Roman" w:hAnsi="Times New Roman" w:eastAsia="仿宋_GB2312" w:cs="Times New Roman"/>
          <w:sz w:val="32"/>
          <w:szCs w:val="32"/>
        </w:rPr>
        <w:t>校</w:t>
      </w:r>
      <w:r>
        <w:rPr>
          <w:rFonts w:ascii="Times New Roman" w:hAnsi="Times New Roman" w:eastAsia="仿宋_GB2312" w:cs="Times New Roman"/>
          <w:sz w:val="32"/>
          <w:szCs w:val="32"/>
        </w:rPr>
        <w:t>运行经费共计安排0万元，主要用于办公区的日常维修、办公用房水电费、办公用房取暖费、办公用房物业管理费等日常运行支出。</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黑体" w:cs="Times New Roman"/>
          <w:sz w:val="32"/>
          <w:szCs w:val="32"/>
        </w:rPr>
      </w:pPr>
      <w:r>
        <w:rPr>
          <w:rFonts w:ascii="Times New Roman" w:hAnsi="Times New Roman" w:eastAsia="黑体" w:cs="Times New Roman"/>
          <w:sz w:val="32"/>
          <w:szCs w:val="32"/>
        </w:rPr>
        <w:t>四、财政拨款“三公”经费预算情况及增减变化原因</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w:t>
      </w:r>
      <w:r>
        <w:rPr>
          <w:rFonts w:hint="eastAsia" w:ascii="Times New Roman" w:hAnsi="Times New Roman" w:eastAsia="仿宋_GB2312" w:cs="Times New Roman"/>
          <w:sz w:val="32"/>
          <w:szCs w:val="32"/>
        </w:rPr>
        <w:t>校</w:t>
      </w:r>
      <w:r>
        <w:rPr>
          <w:rFonts w:ascii="Times New Roman" w:hAnsi="Times New Roman" w:eastAsia="仿宋_GB2312" w:cs="Times New Roman"/>
          <w:sz w:val="32"/>
          <w:szCs w:val="32"/>
        </w:rPr>
        <w:t>财政拨款“三公”经费预算安排</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万元。与20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w:t>
      </w:r>
      <w:r>
        <w:rPr>
          <w:rFonts w:hint="eastAsia" w:ascii="Times New Roman" w:hAnsi="Times New Roman" w:eastAsia="仿宋_GB2312" w:cs="Times New Roman"/>
          <w:sz w:val="32"/>
          <w:szCs w:val="32"/>
        </w:rPr>
        <w:t>相比0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其中，</w:t>
      </w:r>
      <w:r>
        <w:rPr>
          <w:rFonts w:ascii="Times New Roman" w:hAnsi="Times New Roman" w:eastAsia="仿宋_GB2312" w:cs="Times New Roman"/>
          <w:sz w:val="32"/>
          <w:szCs w:val="32"/>
        </w:rPr>
        <w:t>公务用车购置及运维费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万元（其中：公务用车购置费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主要原因是</w:t>
      </w:r>
      <w:r>
        <w:rPr>
          <w:rFonts w:hint="eastAsia" w:ascii="Times New Roman" w:hAnsi="Times New Roman" w:eastAsia="仿宋_GB2312" w:cs="Times New Roman"/>
          <w:sz w:val="32"/>
          <w:szCs w:val="32"/>
        </w:rPr>
        <w:t>无公务用车</w:t>
      </w:r>
      <w:r>
        <w:rPr>
          <w:rFonts w:ascii="Times New Roman" w:hAnsi="Times New Roman" w:eastAsia="仿宋_GB2312" w:cs="Times New Roman"/>
          <w:sz w:val="32"/>
          <w:szCs w:val="32"/>
        </w:rPr>
        <w:t>；公务接待费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与20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1年相比持平，无增减变化。</w:t>
      </w:r>
    </w:p>
    <w:p>
      <w:pPr>
        <w:keepNext w:val="0"/>
        <w:keepLines w:val="0"/>
        <w:pageBreakBefore w:val="0"/>
        <w:widowControl w:val="0"/>
        <w:kinsoku/>
        <w:wordWrap/>
        <w:overflowPunct/>
        <w:topLinePunct w:val="0"/>
        <w:bidi w:val="0"/>
        <w:snapToGrid/>
        <w:spacing w:line="584" w:lineRule="exact"/>
        <w:ind w:left="0" w:leftChars="0"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五、预算绩效信息</w:t>
      </w:r>
    </w:p>
    <w:p>
      <w:pPr>
        <w:keepNext w:val="0"/>
        <w:keepLines w:val="0"/>
        <w:pageBreakBefore w:val="0"/>
        <w:widowControl w:val="0"/>
        <w:kinsoku/>
        <w:wordWrap/>
        <w:overflowPunct/>
        <w:topLinePunct w:val="0"/>
        <w:bidi w:val="0"/>
        <w:snapToGrid/>
        <w:spacing w:line="584" w:lineRule="exact"/>
        <w:ind w:left="0" w:leftChars="0" w:firstLine="640" w:firstLineChars="200"/>
        <w:textAlignment w:val="auto"/>
        <w:rPr>
          <w:rFonts w:ascii="Times New Roman" w:hAnsi="Times New Roman" w:eastAsia="黑体" w:cs="Times New Roman"/>
          <w:sz w:val="32"/>
          <w:szCs w:val="32"/>
        </w:rPr>
      </w:pPr>
      <w:r>
        <w:rPr>
          <w:rFonts w:hint="eastAsia" w:ascii="Times New Roman" w:hAnsi="Times New Roman" w:eastAsia="黑体" w:cs="Times New Roman"/>
          <w:sz w:val="32"/>
          <w:szCs w:val="32"/>
        </w:rPr>
        <w:t>第一部分 部门整体绩效目标</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（一）总体绩效目标</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提高义务教育公用经费保障水平，</w:t>
      </w:r>
      <w:r>
        <w:rPr>
          <w:rFonts w:ascii="Times New Roman" w:hAnsi="Times New Roman" w:eastAsia="仿宋_GB2312" w:cs="Times New Roman"/>
          <w:sz w:val="32"/>
          <w:szCs w:val="32"/>
        </w:rPr>
        <w:t>继续完善教育基础设施，推进学校建设，加快提升装备水平，</w:t>
      </w:r>
      <w:r>
        <w:rPr>
          <w:rFonts w:hint="eastAsia" w:ascii="Times New Roman" w:hAnsi="Times New Roman" w:eastAsia="仿宋_GB2312" w:cs="Times New Roman"/>
          <w:sz w:val="32"/>
          <w:szCs w:val="32"/>
        </w:rPr>
        <w:t>改善办学条件。</w:t>
      </w:r>
      <w:r>
        <w:rPr>
          <w:rFonts w:ascii="Times New Roman" w:hAnsi="Times New Roman" w:eastAsia="仿宋_GB2312" w:cs="Times New Roman"/>
          <w:sz w:val="32"/>
          <w:szCs w:val="32"/>
        </w:rPr>
        <w:t>打造一流教师队伍，补充师资力量，提高专业素质，完善考核机制；优化教育教学管理；消除大班额问题；</w:t>
      </w:r>
      <w:r>
        <w:rPr>
          <w:rFonts w:hint="eastAsia" w:ascii="Times New Roman" w:hAnsi="Times New Roman" w:eastAsia="仿宋_GB2312" w:cs="Times New Roman"/>
          <w:sz w:val="32"/>
          <w:szCs w:val="32"/>
        </w:rPr>
        <w:t>建立中小学校舍安全保障机制，提高素质教育水平，开展丰富多彩的教学活动。促进社会文化素质提高。</w:t>
      </w:r>
    </w:p>
    <w:p>
      <w:pPr>
        <w:spacing w:line="584" w:lineRule="exact"/>
        <w:ind w:firstLine="643" w:firstLineChars="200"/>
        <w:rPr>
          <w:rFonts w:hint="eastAsia" w:ascii="楷体_GB2312" w:eastAsia="楷体_GB2312" w:cs="Times New Roman"/>
          <w:b/>
          <w:sz w:val="32"/>
          <w:szCs w:val="32"/>
        </w:rPr>
      </w:pPr>
      <w:r>
        <w:rPr>
          <w:rFonts w:hint="eastAsia" w:ascii="楷体_GB2312" w:eastAsia="楷体_GB2312" w:cs="Times New Roman"/>
          <w:b/>
          <w:sz w:val="32"/>
          <w:szCs w:val="32"/>
        </w:rPr>
        <w:t>（二）分项绩效目标</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提高义务教育公用经费保障水平，改善办学条件，均衡配置基础教育资源，推进标准化学校建设，实施数字化校园建设，加强学校文化建设，落实学生资助政策。促进义务教育均衡发展，建立中小学校舍安全保障机制，提高素质教育水平，开展丰富多彩的教学活动。促进社会文化素质提高。</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1、提高义务教育水平，免除农村小学生学杂费，提供免费教科书，解决大班额问题及入学难问题。对贫困小学生进行补助。</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2、按质按量完成教育教学方面的各项任务，稳步提升学校的教育教学质量，学生综合素质评价优秀率达到85%,合格率达到100%。</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中小学公用经费水平逐年提高，改善学校办学条件，保障义务教育阶段学校基本教学条件，使义务教育学校教学设施和生活设施满足基本教学需要，保障后勤社会化服务资金充足，使学校能够正常运转，超大班额现象消除，教师数量、素质、结构基本适应教学需要。</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4、提升学校基础设施设备的整体水平。加强学校基础设施设备的维护,确保校园安全,落实校园防火及其他安全隐患的预防工作。确保校园各设施设备的正常运行。</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开展各类课题研究、校本研究，加强教师培训和教学交流，提高教师教学水平，调动教师积极性，培养专家型教师人才，加强德育培训与研究，举办各类教育教学、学生社会实践活动，建立学生实践教育基地活动。提高学生的综合素质。</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6、学校的文化宣传整体布局,建成学校校史馆,完成各班级、各科室及教师办公室的文化宣传布置。加大学校办学理念、目标的宣传,形成具有特色的校园文化氛围。</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7、办人民满意的学校,教师、学生、家长整体满意度达到90%以上。</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（三）工作保障措施</w:t>
      </w:r>
    </w:p>
    <w:p>
      <w:pPr>
        <w:pStyle w:val="19"/>
        <w:keepNext w:val="0"/>
        <w:keepLines w:val="0"/>
        <w:pageBreakBefore w:val="0"/>
        <w:widowControl w:val="0"/>
        <w:kinsoku/>
        <w:wordWrap/>
        <w:overflowPunct/>
        <w:topLinePunct w:val="0"/>
        <w:autoSpaceDE/>
        <w:autoSpaceDN/>
        <w:bidi w:val="0"/>
        <w:adjustRightInd/>
        <w:snapToGrid/>
        <w:spacing w:line="584" w:lineRule="exact"/>
        <w:ind w:firstLine="56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1、成立学校监督小组，监督学校工作，强化工作落实。</w:t>
      </w:r>
    </w:p>
    <w:p>
      <w:pPr>
        <w:pStyle w:val="19"/>
        <w:keepNext w:val="0"/>
        <w:keepLines w:val="0"/>
        <w:pageBreakBefore w:val="0"/>
        <w:widowControl w:val="0"/>
        <w:kinsoku/>
        <w:wordWrap/>
        <w:overflowPunct/>
        <w:topLinePunct w:val="0"/>
        <w:autoSpaceDE/>
        <w:autoSpaceDN/>
        <w:bidi w:val="0"/>
        <w:adjustRightInd/>
        <w:snapToGrid/>
        <w:spacing w:line="584" w:lineRule="exact"/>
        <w:ind w:firstLine="56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做好工会工作。贯彻落实中央和省、市、区委关于重大节日开展对离退休干部进行走访慰问的指示精神，做好困难党员、群众、老教师、优抚对象、劳动模范的关心帮扶工作，充分体现党和政府对教育工作者的关怀。</w:t>
      </w:r>
    </w:p>
    <w:p>
      <w:pPr>
        <w:pStyle w:val="19"/>
        <w:keepNext w:val="0"/>
        <w:keepLines w:val="0"/>
        <w:pageBreakBefore w:val="0"/>
        <w:widowControl w:val="0"/>
        <w:kinsoku/>
        <w:wordWrap/>
        <w:overflowPunct/>
        <w:topLinePunct w:val="0"/>
        <w:autoSpaceDE/>
        <w:autoSpaceDN/>
        <w:bidi w:val="0"/>
        <w:adjustRightInd/>
        <w:snapToGrid/>
        <w:spacing w:line="584" w:lineRule="exact"/>
        <w:ind w:firstLine="56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树立为教育教学提供优质服务的意识。基本实现规范化、标准化，为教育教学提供全方位的后勤保障。完善各项管理制度，强化人员思想教育和技能培训，实现服务的精细化。做好三重一大工作，大额资金项目进行公开招投标，定期进行项目巡查、召开工作会，完善监督职责。</w:t>
      </w:r>
    </w:p>
    <w:p>
      <w:pPr>
        <w:pStyle w:val="19"/>
        <w:keepNext w:val="0"/>
        <w:keepLines w:val="0"/>
        <w:pageBreakBefore w:val="0"/>
        <w:widowControl w:val="0"/>
        <w:kinsoku/>
        <w:wordWrap/>
        <w:overflowPunct/>
        <w:topLinePunct w:val="0"/>
        <w:autoSpaceDE/>
        <w:autoSpaceDN/>
        <w:bidi w:val="0"/>
        <w:adjustRightInd/>
        <w:snapToGrid/>
        <w:spacing w:line="584" w:lineRule="exact"/>
        <w:ind w:firstLine="56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学校体育、卫生工作。按照《学校体育工作条例》和《关于强化学校体育促进学生身心健康全面发展的意见》“定期举办综合性学生运动会，开展学校体育竞赛活动”的要求，发展特色体育项目，积极参加省、市、区举办中小学竞赛项目；根据《关于加快推进全国青少年冰雪运动进校园的指导意见》要求，通过举办冰雪运动会、冰雪知识竞赛等活动方式，加快发展我区青少年冰雪运动，提升青少年学生体质健康水平；根据《中小学生健康体检管理办法》要求，对在校学生每年进行1次常规健康体检。</w:t>
      </w:r>
    </w:p>
    <w:p>
      <w:pPr>
        <w:pStyle w:val="19"/>
        <w:keepNext w:val="0"/>
        <w:keepLines w:val="0"/>
        <w:pageBreakBefore w:val="0"/>
        <w:widowControl w:val="0"/>
        <w:kinsoku/>
        <w:wordWrap/>
        <w:overflowPunct/>
        <w:topLinePunct w:val="0"/>
        <w:autoSpaceDE/>
        <w:autoSpaceDN/>
        <w:bidi w:val="0"/>
        <w:adjustRightInd/>
        <w:snapToGrid/>
        <w:spacing w:line="584" w:lineRule="exact"/>
        <w:ind w:firstLine="56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完善拓展德育队伍建设，树立全员育人观念，并取得一定成绩，形成学校、家庭、社会三位一体的教育格局。完善强化德育评比体制。如班主任绩效考核、学生综合素质评定等，做好各级各类优秀集体和个人的评选工作。完善心理咨询室的建设，寓心理健康教育于教育教学工作中，开展好理论学习和个案分析。</w:t>
      </w:r>
    </w:p>
    <w:p>
      <w:pPr>
        <w:pStyle w:val="19"/>
        <w:keepNext w:val="0"/>
        <w:keepLines w:val="0"/>
        <w:pageBreakBefore w:val="0"/>
        <w:widowControl w:val="0"/>
        <w:kinsoku/>
        <w:wordWrap/>
        <w:overflowPunct/>
        <w:topLinePunct w:val="0"/>
        <w:autoSpaceDE/>
        <w:autoSpaceDN/>
        <w:bidi w:val="0"/>
        <w:adjustRightInd/>
        <w:snapToGrid/>
        <w:spacing w:line="584" w:lineRule="exact"/>
        <w:ind w:firstLine="56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、加强政治理论学习，强化党风廉政建设。做好师德传承活动，落实老中青传帮带。弘扬办学精神。加强师德宣传与学习活动。开展形式多样、扎实有效的师德教育活动。</w:t>
      </w:r>
    </w:p>
    <w:p>
      <w:pPr>
        <w:pStyle w:val="19"/>
        <w:keepNext w:val="0"/>
        <w:keepLines w:val="0"/>
        <w:pageBreakBefore w:val="0"/>
        <w:widowControl w:val="0"/>
        <w:kinsoku/>
        <w:wordWrap/>
        <w:overflowPunct/>
        <w:topLinePunct w:val="0"/>
        <w:autoSpaceDE/>
        <w:autoSpaceDN/>
        <w:bidi w:val="0"/>
        <w:adjustRightInd/>
        <w:snapToGrid/>
        <w:spacing w:line="584" w:lineRule="exact"/>
        <w:ind w:firstLine="561"/>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逐步制订、完善相关制度，规范教师师德。加强校本培训和继续教育工作，提升教师能力。落实教师评价工作，完善考核机制。搭建教师发展平台。</w:t>
      </w:r>
    </w:p>
    <w:p>
      <w:pPr>
        <w:overflowPunct w:val="0"/>
        <w:adjustRightInd w:val="0"/>
        <w:snapToGrid w:val="0"/>
        <w:spacing w:after="120"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120"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120"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120"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120"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120"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120"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120"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120" w:afterLines="50" w:line="580" w:lineRule="exact"/>
        <w:ind w:firstLine="630" w:firstLineChars="196"/>
        <w:jc w:val="left"/>
        <w:rPr>
          <w:rFonts w:ascii="楷体_GB2312" w:eastAsia="楷体_GB2312" w:cs="Times New Roman"/>
          <w:b/>
          <w:sz w:val="32"/>
          <w:szCs w:val="32"/>
        </w:rPr>
      </w:pPr>
      <w:r>
        <w:rPr>
          <w:rFonts w:hint="eastAsia" w:ascii="楷体_GB2312" w:eastAsia="楷体_GB2312" w:cs="Times New Roman"/>
          <w:b/>
          <w:sz w:val="32"/>
          <w:szCs w:val="32"/>
        </w:rPr>
        <w:t>（四）部门整体支出绩效指标</w:t>
      </w:r>
    </w:p>
    <w:tbl>
      <w:tblPr>
        <w:tblStyle w:val="8"/>
        <w:tblW w:w="4725" w:type="pct"/>
        <w:tblInd w:w="0" w:type="dxa"/>
        <w:tblLayout w:type="autofit"/>
        <w:tblCellMar>
          <w:top w:w="0" w:type="dxa"/>
          <w:left w:w="108" w:type="dxa"/>
          <w:bottom w:w="0" w:type="dxa"/>
          <w:right w:w="108" w:type="dxa"/>
        </w:tblCellMar>
      </w:tblPr>
      <w:tblGrid>
        <w:gridCol w:w="1094"/>
        <w:gridCol w:w="1212"/>
        <w:gridCol w:w="2167"/>
        <w:gridCol w:w="2314"/>
        <w:gridCol w:w="2314"/>
        <w:gridCol w:w="1039"/>
        <w:gridCol w:w="593"/>
        <w:gridCol w:w="1073"/>
        <w:gridCol w:w="1365"/>
      </w:tblGrid>
      <w:tr>
        <w:tblPrEx>
          <w:tblCellMar>
            <w:top w:w="0" w:type="dxa"/>
            <w:left w:w="108" w:type="dxa"/>
            <w:bottom w:w="0" w:type="dxa"/>
            <w:right w:w="108" w:type="dxa"/>
          </w:tblCellMar>
        </w:tblPrEx>
        <w:trPr>
          <w:trHeight w:val="360" w:hRule="atLeast"/>
        </w:trPr>
        <w:tc>
          <w:tcPr>
            <w:tcW w:w="41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一级指标</w:t>
            </w:r>
          </w:p>
        </w:tc>
        <w:tc>
          <w:tcPr>
            <w:tcW w:w="46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二级指标</w:t>
            </w:r>
          </w:p>
        </w:tc>
        <w:tc>
          <w:tcPr>
            <w:tcW w:w="82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三级指标</w:t>
            </w:r>
          </w:p>
        </w:tc>
        <w:tc>
          <w:tcPr>
            <w:tcW w:w="87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绩效指标描述</w:t>
            </w:r>
          </w:p>
        </w:tc>
        <w:tc>
          <w:tcPr>
            <w:tcW w:w="87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评（扣）分标准</w:t>
            </w:r>
          </w:p>
        </w:tc>
        <w:tc>
          <w:tcPr>
            <w:tcW w:w="1026"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指标值</w:t>
            </w:r>
          </w:p>
        </w:tc>
        <w:tc>
          <w:tcPr>
            <w:tcW w:w="518"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指标值确定依据</w:t>
            </w:r>
          </w:p>
        </w:tc>
      </w:tr>
      <w:tr>
        <w:tblPrEx>
          <w:tblCellMar>
            <w:top w:w="0" w:type="dxa"/>
            <w:left w:w="108" w:type="dxa"/>
            <w:bottom w:w="0" w:type="dxa"/>
            <w:right w:w="108" w:type="dxa"/>
          </w:tblCellMar>
        </w:tblPrEx>
        <w:trPr>
          <w:trHeight w:val="585" w:hRule="atLeast"/>
        </w:trPr>
        <w:tc>
          <w:tcPr>
            <w:tcW w:w="415"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460"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822"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878"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878"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39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符号</w:t>
            </w:r>
          </w:p>
        </w:tc>
        <w:tc>
          <w:tcPr>
            <w:tcW w:w="22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值</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单位（文字描述）</w:t>
            </w:r>
          </w:p>
        </w:tc>
        <w:tc>
          <w:tcPr>
            <w:tcW w:w="518"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r>
      <w:tr>
        <w:tblPrEx>
          <w:tblCellMar>
            <w:top w:w="0" w:type="dxa"/>
            <w:left w:w="108" w:type="dxa"/>
            <w:bottom w:w="0" w:type="dxa"/>
            <w:right w:w="108" w:type="dxa"/>
          </w:tblCellMar>
        </w:tblPrEx>
        <w:trPr>
          <w:trHeight w:val="330" w:hRule="atLeast"/>
        </w:trPr>
        <w:tc>
          <w:tcPr>
            <w:tcW w:w="415"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Calibri"/>
                <w:color w:val="000000"/>
                <w:kern w:val="0"/>
                <w:sz w:val="18"/>
                <w:szCs w:val="18"/>
              </w:rPr>
            </w:pPr>
            <w:r>
              <w:rPr>
                <w:rFonts w:cs="Calibri"/>
                <w:color w:val="000000"/>
                <w:kern w:val="0"/>
                <w:sz w:val="18"/>
                <w:szCs w:val="18"/>
              </w:rPr>
              <w:t>产出指标</w:t>
            </w:r>
          </w:p>
        </w:tc>
        <w:tc>
          <w:tcPr>
            <w:tcW w:w="46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82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Calibri"/>
                <w:color w:val="000000"/>
                <w:kern w:val="0"/>
                <w:sz w:val="18"/>
                <w:szCs w:val="18"/>
              </w:rPr>
            </w:pPr>
            <w:r>
              <w:rPr>
                <w:rFonts w:cs="Calibri"/>
                <w:color w:val="000000"/>
                <w:kern w:val="0"/>
                <w:sz w:val="18"/>
                <w:szCs w:val="18"/>
              </w:rPr>
              <w:t>大学生工业设计创新大赛参赛作品</w:t>
            </w:r>
          </w:p>
        </w:tc>
        <w:tc>
          <w:tcPr>
            <w:tcW w:w="87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Calibri"/>
                <w:kern w:val="0"/>
                <w:sz w:val="18"/>
                <w:szCs w:val="18"/>
              </w:rPr>
            </w:pPr>
            <w:r>
              <w:rPr>
                <w:rFonts w:cs="Calibri"/>
                <w:kern w:val="0"/>
                <w:sz w:val="18"/>
                <w:szCs w:val="18"/>
              </w:rPr>
              <w:t>小学生毕业生合格率</w:t>
            </w:r>
          </w:p>
        </w:tc>
        <w:tc>
          <w:tcPr>
            <w:tcW w:w="87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Calibri"/>
                <w:kern w:val="0"/>
                <w:sz w:val="18"/>
                <w:szCs w:val="18"/>
              </w:rPr>
            </w:pPr>
            <w:r>
              <w:rPr>
                <w:rFonts w:cs="Calibri"/>
                <w:kern w:val="0"/>
                <w:sz w:val="18"/>
                <w:szCs w:val="18"/>
              </w:rPr>
              <w:t>20分毕业生合格率100%得满分，否则不得分</w:t>
            </w:r>
          </w:p>
        </w:tc>
        <w:tc>
          <w:tcPr>
            <w:tcW w:w="39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Calibri"/>
                <w:kern w:val="0"/>
                <w:sz w:val="18"/>
                <w:szCs w:val="18"/>
              </w:rPr>
            </w:pPr>
            <w:r>
              <w:rPr>
                <w:rFonts w:cs="Calibri"/>
                <w:kern w:val="0"/>
                <w:sz w:val="18"/>
                <w:szCs w:val="18"/>
              </w:rPr>
              <w:t>=</w:t>
            </w:r>
          </w:p>
        </w:tc>
        <w:tc>
          <w:tcPr>
            <w:tcW w:w="22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Calibri"/>
                <w:kern w:val="0"/>
                <w:sz w:val="18"/>
                <w:szCs w:val="18"/>
              </w:rPr>
            </w:pPr>
            <w:r>
              <w:rPr>
                <w:rFonts w:cs="Calibri"/>
                <w:kern w:val="0"/>
                <w:sz w:val="18"/>
                <w:szCs w:val="18"/>
              </w:rPr>
              <w:t>100</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Calibri"/>
                <w:kern w:val="0"/>
                <w:sz w:val="18"/>
                <w:szCs w:val="18"/>
              </w:rPr>
            </w:pPr>
            <w:r>
              <w:rPr>
                <w:rFonts w:cs="Calibri"/>
                <w:kern w:val="0"/>
                <w:sz w:val="18"/>
                <w:szCs w:val="18"/>
              </w:rPr>
              <w:t>%</w:t>
            </w:r>
          </w:p>
        </w:tc>
        <w:tc>
          <w:tcPr>
            <w:tcW w:w="51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Calibri"/>
                <w:kern w:val="0"/>
                <w:sz w:val="18"/>
                <w:szCs w:val="18"/>
              </w:rPr>
            </w:pPr>
            <w:r>
              <w:rPr>
                <w:rFonts w:cs="Calibri"/>
                <w:kern w:val="0"/>
                <w:sz w:val="18"/>
                <w:szCs w:val="18"/>
              </w:rPr>
              <w:t>岗位职责</w:t>
            </w:r>
          </w:p>
        </w:tc>
      </w:tr>
      <w:tr>
        <w:tblPrEx>
          <w:tblCellMar>
            <w:top w:w="0" w:type="dxa"/>
            <w:left w:w="108" w:type="dxa"/>
            <w:bottom w:w="0" w:type="dxa"/>
            <w:right w:w="108" w:type="dxa"/>
          </w:tblCellMar>
        </w:tblPrEx>
        <w:trPr>
          <w:trHeight w:val="330" w:hRule="atLeast"/>
        </w:trPr>
        <w:tc>
          <w:tcPr>
            <w:tcW w:w="415"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cs="Calibri"/>
                <w:color w:val="000000"/>
                <w:kern w:val="0"/>
                <w:sz w:val="18"/>
                <w:szCs w:val="18"/>
              </w:rPr>
            </w:pPr>
          </w:p>
        </w:tc>
        <w:tc>
          <w:tcPr>
            <w:tcW w:w="46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82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Calibri"/>
                <w:color w:val="000000"/>
                <w:kern w:val="0"/>
                <w:sz w:val="18"/>
                <w:szCs w:val="18"/>
              </w:rPr>
            </w:pPr>
            <w:r>
              <w:rPr>
                <w:rFonts w:cs="Calibri"/>
                <w:color w:val="000000"/>
                <w:kern w:val="0"/>
                <w:sz w:val="18"/>
                <w:szCs w:val="18"/>
              </w:rPr>
              <w:t>重点工作实际完成率</w:t>
            </w:r>
          </w:p>
        </w:tc>
        <w:tc>
          <w:tcPr>
            <w:tcW w:w="87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Calibri"/>
                <w:kern w:val="0"/>
                <w:sz w:val="18"/>
                <w:szCs w:val="18"/>
              </w:rPr>
            </w:pPr>
            <w:r>
              <w:rPr>
                <w:rFonts w:cs="Calibri"/>
                <w:kern w:val="0"/>
                <w:sz w:val="18"/>
                <w:szCs w:val="18"/>
              </w:rPr>
              <w:t>重点工作实际完成率</w:t>
            </w:r>
          </w:p>
        </w:tc>
        <w:tc>
          <w:tcPr>
            <w:tcW w:w="87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Calibri"/>
                <w:kern w:val="0"/>
                <w:sz w:val="18"/>
                <w:szCs w:val="18"/>
              </w:rPr>
            </w:pPr>
            <w:r>
              <w:rPr>
                <w:rFonts w:cs="Calibri"/>
                <w:kern w:val="0"/>
                <w:sz w:val="18"/>
                <w:szCs w:val="18"/>
              </w:rPr>
              <w:t>10分不低于95%得满分，否则不得分5每减少1%扣1分，扣完为止</w:t>
            </w:r>
          </w:p>
        </w:tc>
        <w:tc>
          <w:tcPr>
            <w:tcW w:w="39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Calibri"/>
                <w:kern w:val="0"/>
                <w:sz w:val="18"/>
                <w:szCs w:val="18"/>
              </w:rPr>
            </w:pPr>
            <w:r>
              <w:rPr>
                <w:rFonts w:cs="Calibri"/>
                <w:kern w:val="0"/>
                <w:sz w:val="18"/>
                <w:szCs w:val="18"/>
              </w:rPr>
              <w:t>≥</w:t>
            </w:r>
          </w:p>
        </w:tc>
        <w:tc>
          <w:tcPr>
            <w:tcW w:w="22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Calibri"/>
                <w:kern w:val="0"/>
                <w:sz w:val="18"/>
                <w:szCs w:val="18"/>
              </w:rPr>
            </w:pPr>
            <w:r>
              <w:rPr>
                <w:rFonts w:cs="Calibri"/>
                <w:kern w:val="0"/>
                <w:sz w:val="18"/>
                <w:szCs w:val="18"/>
              </w:rPr>
              <w:t>95</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Calibri"/>
                <w:kern w:val="0"/>
                <w:sz w:val="18"/>
                <w:szCs w:val="18"/>
              </w:rPr>
            </w:pPr>
            <w:r>
              <w:rPr>
                <w:rFonts w:cs="Calibri"/>
                <w:kern w:val="0"/>
                <w:sz w:val="18"/>
                <w:szCs w:val="18"/>
              </w:rPr>
              <w:t>%</w:t>
            </w:r>
          </w:p>
        </w:tc>
        <w:tc>
          <w:tcPr>
            <w:tcW w:w="51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Calibri"/>
                <w:kern w:val="0"/>
                <w:sz w:val="18"/>
                <w:szCs w:val="18"/>
              </w:rPr>
            </w:pPr>
            <w:r>
              <w:rPr>
                <w:rFonts w:cs="Calibri"/>
                <w:kern w:val="0"/>
                <w:sz w:val="18"/>
                <w:szCs w:val="18"/>
              </w:rPr>
              <w:t>实际工作</w:t>
            </w:r>
          </w:p>
        </w:tc>
      </w:tr>
      <w:tr>
        <w:tblPrEx>
          <w:tblCellMar>
            <w:top w:w="0" w:type="dxa"/>
            <w:left w:w="108" w:type="dxa"/>
            <w:bottom w:w="0" w:type="dxa"/>
            <w:right w:w="108" w:type="dxa"/>
          </w:tblCellMar>
        </w:tblPrEx>
        <w:trPr>
          <w:trHeight w:val="330" w:hRule="atLeast"/>
        </w:trPr>
        <w:tc>
          <w:tcPr>
            <w:tcW w:w="415"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cs="Calibri"/>
                <w:color w:val="000000"/>
                <w:kern w:val="0"/>
                <w:sz w:val="18"/>
                <w:szCs w:val="18"/>
              </w:rPr>
            </w:pPr>
          </w:p>
        </w:tc>
        <w:tc>
          <w:tcPr>
            <w:tcW w:w="46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82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Calibri"/>
                <w:color w:val="000000"/>
                <w:kern w:val="0"/>
                <w:sz w:val="18"/>
                <w:szCs w:val="18"/>
              </w:rPr>
            </w:pPr>
            <w:r>
              <w:rPr>
                <w:rFonts w:cs="Calibri"/>
                <w:color w:val="000000"/>
                <w:kern w:val="0"/>
                <w:sz w:val="18"/>
                <w:szCs w:val="18"/>
              </w:rPr>
              <w:t>采购物资、建设工程合格率</w:t>
            </w:r>
          </w:p>
        </w:tc>
        <w:tc>
          <w:tcPr>
            <w:tcW w:w="87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Calibri"/>
                <w:kern w:val="0"/>
                <w:sz w:val="18"/>
                <w:szCs w:val="18"/>
              </w:rPr>
            </w:pPr>
            <w:r>
              <w:rPr>
                <w:rFonts w:cs="Calibri"/>
                <w:kern w:val="0"/>
                <w:sz w:val="18"/>
                <w:szCs w:val="18"/>
              </w:rPr>
              <w:t>采购物资、建设工程合格率</w:t>
            </w:r>
          </w:p>
        </w:tc>
        <w:tc>
          <w:tcPr>
            <w:tcW w:w="87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Calibri"/>
                <w:kern w:val="0"/>
                <w:sz w:val="18"/>
                <w:szCs w:val="18"/>
              </w:rPr>
            </w:pPr>
            <w:r>
              <w:rPr>
                <w:rFonts w:cs="Calibri"/>
                <w:kern w:val="0"/>
                <w:sz w:val="18"/>
                <w:szCs w:val="18"/>
              </w:rPr>
              <w:t>20分合格率100%得满分，否则不得分</w:t>
            </w:r>
          </w:p>
        </w:tc>
        <w:tc>
          <w:tcPr>
            <w:tcW w:w="39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Calibri"/>
                <w:kern w:val="0"/>
                <w:sz w:val="18"/>
                <w:szCs w:val="18"/>
              </w:rPr>
            </w:pPr>
            <w:r>
              <w:rPr>
                <w:rFonts w:cs="Calibri"/>
                <w:kern w:val="0"/>
                <w:sz w:val="18"/>
                <w:szCs w:val="18"/>
              </w:rPr>
              <w:t>=</w:t>
            </w:r>
          </w:p>
        </w:tc>
        <w:tc>
          <w:tcPr>
            <w:tcW w:w="22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Calibri"/>
                <w:kern w:val="0"/>
                <w:sz w:val="18"/>
                <w:szCs w:val="18"/>
              </w:rPr>
            </w:pPr>
            <w:r>
              <w:rPr>
                <w:rFonts w:cs="Calibri"/>
                <w:kern w:val="0"/>
                <w:sz w:val="18"/>
                <w:szCs w:val="18"/>
              </w:rPr>
              <w:t>100</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Calibri"/>
                <w:kern w:val="0"/>
                <w:sz w:val="18"/>
                <w:szCs w:val="18"/>
              </w:rPr>
            </w:pPr>
            <w:r>
              <w:rPr>
                <w:rFonts w:cs="Calibri"/>
                <w:kern w:val="0"/>
                <w:sz w:val="18"/>
                <w:szCs w:val="18"/>
              </w:rPr>
              <w:t>%</w:t>
            </w:r>
          </w:p>
        </w:tc>
        <w:tc>
          <w:tcPr>
            <w:tcW w:w="51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Calibri"/>
                <w:kern w:val="0"/>
                <w:sz w:val="18"/>
                <w:szCs w:val="18"/>
              </w:rPr>
            </w:pPr>
            <w:r>
              <w:rPr>
                <w:rFonts w:cs="Calibri"/>
                <w:kern w:val="0"/>
                <w:sz w:val="18"/>
                <w:szCs w:val="18"/>
              </w:rPr>
              <w:t>质量评价标准</w:t>
            </w:r>
          </w:p>
        </w:tc>
      </w:tr>
      <w:tr>
        <w:tblPrEx>
          <w:tblCellMar>
            <w:top w:w="0" w:type="dxa"/>
            <w:left w:w="108" w:type="dxa"/>
            <w:bottom w:w="0" w:type="dxa"/>
            <w:right w:w="108" w:type="dxa"/>
          </w:tblCellMar>
        </w:tblPrEx>
        <w:trPr>
          <w:trHeight w:val="330" w:hRule="atLeast"/>
        </w:trPr>
        <w:tc>
          <w:tcPr>
            <w:tcW w:w="415"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cs="Calibri"/>
                <w:color w:val="000000"/>
                <w:kern w:val="0"/>
                <w:sz w:val="18"/>
                <w:szCs w:val="18"/>
              </w:rPr>
            </w:pPr>
          </w:p>
        </w:tc>
        <w:tc>
          <w:tcPr>
            <w:tcW w:w="46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82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Calibri"/>
                <w:color w:val="000000"/>
                <w:kern w:val="0"/>
                <w:sz w:val="18"/>
                <w:szCs w:val="18"/>
              </w:rPr>
            </w:pPr>
            <w:r>
              <w:rPr>
                <w:rFonts w:cs="Calibri"/>
                <w:color w:val="000000"/>
                <w:kern w:val="0"/>
                <w:sz w:val="18"/>
                <w:szCs w:val="18"/>
              </w:rPr>
              <w:t>学校的各项工作任务及时完成情况</w:t>
            </w:r>
          </w:p>
        </w:tc>
        <w:tc>
          <w:tcPr>
            <w:tcW w:w="87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Calibri"/>
                <w:kern w:val="0"/>
                <w:sz w:val="18"/>
                <w:szCs w:val="18"/>
              </w:rPr>
            </w:pPr>
            <w:r>
              <w:rPr>
                <w:rFonts w:cs="Calibri"/>
                <w:kern w:val="0"/>
                <w:sz w:val="18"/>
                <w:szCs w:val="18"/>
              </w:rPr>
              <w:t>学校的各项工作任务及时完成情况</w:t>
            </w:r>
          </w:p>
        </w:tc>
        <w:tc>
          <w:tcPr>
            <w:tcW w:w="87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Calibri"/>
                <w:kern w:val="0"/>
                <w:sz w:val="18"/>
                <w:szCs w:val="18"/>
              </w:rPr>
            </w:pPr>
            <w:r>
              <w:rPr>
                <w:rFonts w:cs="Calibri"/>
                <w:kern w:val="0"/>
                <w:sz w:val="18"/>
                <w:szCs w:val="18"/>
              </w:rPr>
              <w:t>10分及时完成得满分，否则不得分</w:t>
            </w:r>
          </w:p>
        </w:tc>
        <w:tc>
          <w:tcPr>
            <w:tcW w:w="39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Calibri"/>
                <w:kern w:val="0"/>
                <w:sz w:val="18"/>
                <w:szCs w:val="18"/>
              </w:rPr>
            </w:pPr>
            <w:r>
              <w:rPr>
                <w:rFonts w:cs="Calibri"/>
                <w:kern w:val="0"/>
                <w:sz w:val="18"/>
                <w:szCs w:val="18"/>
              </w:rPr>
              <w:t>文字描述</w:t>
            </w:r>
          </w:p>
        </w:tc>
        <w:tc>
          <w:tcPr>
            <w:tcW w:w="22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Calibri"/>
                <w:kern w:val="0"/>
                <w:sz w:val="18"/>
                <w:szCs w:val="18"/>
              </w:rPr>
            </w:pP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Calibri"/>
                <w:kern w:val="0"/>
                <w:sz w:val="18"/>
                <w:szCs w:val="18"/>
              </w:rPr>
            </w:pPr>
            <w:r>
              <w:rPr>
                <w:rFonts w:cs="Calibri"/>
                <w:kern w:val="0"/>
                <w:sz w:val="18"/>
                <w:szCs w:val="18"/>
              </w:rPr>
              <w:t>及时</w:t>
            </w:r>
          </w:p>
        </w:tc>
        <w:tc>
          <w:tcPr>
            <w:tcW w:w="51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Calibri"/>
                <w:kern w:val="0"/>
                <w:sz w:val="18"/>
                <w:szCs w:val="18"/>
              </w:rPr>
            </w:pPr>
            <w:r>
              <w:rPr>
                <w:rFonts w:cs="Calibri"/>
                <w:kern w:val="0"/>
                <w:sz w:val="18"/>
                <w:szCs w:val="18"/>
              </w:rPr>
              <w:t>年初工作计划</w:t>
            </w:r>
          </w:p>
        </w:tc>
      </w:tr>
      <w:tr>
        <w:tblPrEx>
          <w:tblCellMar>
            <w:top w:w="0" w:type="dxa"/>
            <w:left w:w="108" w:type="dxa"/>
            <w:bottom w:w="0" w:type="dxa"/>
            <w:right w:w="108" w:type="dxa"/>
          </w:tblCellMar>
        </w:tblPrEx>
        <w:trPr>
          <w:trHeight w:val="330" w:hRule="atLeast"/>
        </w:trPr>
        <w:tc>
          <w:tcPr>
            <w:tcW w:w="415"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cs="Calibri"/>
                <w:color w:val="000000"/>
                <w:kern w:val="0"/>
                <w:sz w:val="18"/>
                <w:szCs w:val="18"/>
              </w:rPr>
            </w:pPr>
          </w:p>
        </w:tc>
        <w:tc>
          <w:tcPr>
            <w:tcW w:w="46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82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Calibri"/>
                <w:color w:val="000000"/>
                <w:kern w:val="0"/>
                <w:sz w:val="18"/>
                <w:szCs w:val="18"/>
              </w:rPr>
            </w:pPr>
            <w:r>
              <w:rPr>
                <w:rFonts w:cs="Calibri"/>
                <w:color w:val="000000"/>
                <w:kern w:val="0"/>
                <w:sz w:val="18"/>
                <w:szCs w:val="18"/>
              </w:rPr>
              <w:t>教育经费使用控制率</w:t>
            </w:r>
          </w:p>
        </w:tc>
        <w:tc>
          <w:tcPr>
            <w:tcW w:w="87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Calibri"/>
                <w:kern w:val="0"/>
                <w:sz w:val="18"/>
                <w:szCs w:val="18"/>
              </w:rPr>
            </w:pPr>
            <w:r>
              <w:rPr>
                <w:rFonts w:cs="Calibri"/>
                <w:kern w:val="0"/>
                <w:sz w:val="18"/>
                <w:szCs w:val="18"/>
              </w:rPr>
              <w:t>支出的公用经费总额与预算安排的比率</w:t>
            </w:r>
          </w:p>
        </w:tc>
        <w:tc>
          <w:tcPr>
            <w:tcW w:w="87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Calibri"/>
                <w:kern w:val="0"/>
                <w:sz w:val="18"/>
                <w:szCs w:val="18"/>
              </w:rPr>
            </w:pPr>
            <w:r>
              <w:rPr>
                <w:rFonts w:cs="Calibri"/>
                <w:kern w:val="0"/>
                <w:sz w:val="18"/>
                <w:szCs w:val="18"/>
              </w:rPr>
              <w:t>10分教育经费决算数不大于调整预算数得满分，否则不得分</w:t>
            </w:r>
          </w:p>
        </w:tc>
        <w:tc>
          <w:tcPr>
            <w:tcW w:w="39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Calibri"/>
                <w:kern w:val="0"/>
                <w:sz w:val="18"/>
                <w:szCs w:val="18"/>
              </w:rPr>
            </w:pPr>
            <w:r>
              <w:rPr>
                <w:rFonts w:cs="Calibri"/>
                <w:kern w:val="0"/>
                <w:sz w:val="18"/>
                <w:szCs w:val="18"/>
              </w:rPr>
              <w:t>文字描述</w:t>
            </w:r>
          </w:p>
        </w:tc>
        <w:tc>
          <w:tcPr>
            <w:tcW w:w="22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Calibri"/>
                <w:kern w:val="0"/>
                <w:sz w:val="18"/>
                <w:szCs w:val="18"/>
              </w:rPr>
            </w:pP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Calibri"/>
                <w:kern w:val="0"/>
                <w:sz w:val="18"/>
                <w:szCs w:val="18"/>
              </w:rPr>
            </w:pPr>
            <w:r>
              <w:rPr>
                <w:rFonts w:cs="Calibri"/>
                <w:kern w:val="0"/>
                <w:sz w:val="18"/>
                <w:szCs w:val="18"/>
              </w:rPr>
              <w:t>教育经费决算数不大于调整预算数</w:t>
            </w:r>
          </w:p>
        </w:tc>
        <w:tc>
          <w:tcPr>
            <w:tcW w:w="51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Calibri"/>
                <w:kern w:val="0"/>
                <w:sz w:val="18"/>
                <w:szCs w:val="18"/>
              </w:rPr>
            </w:pPr>
            <w:r>
              <w:rPr>
                <w:rFonts w:cs="Calibri"/>
                <w:kern w:val="0"/>
                <w:sz w:val="18"/>
                <w:szCs w:val="18"/>
              </w:rPr>
              <w:t>实际工作</w:t>
            </w:r>
          </w:p>
        </w:tc>
      </w:tr>
      <w:tr>
        <w:tblPrEx>
          <w:tblCellMar>
            <w:top w:w="0" w:type="dxa"/>
            <w:left w:w="108" w:type="dxa"/>
            <w:bottom w:w="0" w:type="dxa"/>
            <w:right w:w="108" w:type="dxa"/>
          </w:tblCellMar>
        </w:tblPrEx>
        <w:trPr>
          <w:trHeight w:val="330" w:hRule="atLeast"/>
        </w:trPr>
        <w:tc>
          <w:tcPr>
            <w:tcW w:w="41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Calibri"/>
                <w:color w:val="000000"/>
                <w:kern w:val="0"/>
                <w:sz w:val="18"/>
                <w:szCs w:val="18"/>
              </w:rPr>
            </w:pPr>
            <w:r>
              <w:rPr>
                <w:rFonts w:cs="Calibri"/>
                <w:color w:val="000000"/>
                <w:kern w:val="0"/>
                <w:sz w:val="18"/>
                <w:szCs w:val="18"/>
              </w:rPr>
              <w:t>效益指标</w:t>
            </w:r>
          </w:p>
        </w:tc>
        <w:tc>
          <w:tcPr>
            <w:tcW w:w="46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82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Calibri"/>
                <w:color w:val="000000"/>
                <w:kern w:val="0"/>
                <w:sz w:val="18"/>
                <w:szCs w:val="18"/>
              </w:rPr>
            </w:pPr>
            <w:r>
              <w:rPr>
                <w:rFonts w:cs="Calibri"/>
                <w:color w:val="000000"/>
                <w:kern w:val="0"/>
                <w:sz w:val="18"/>
                <w:szCs w:val="18"/>
              </w:rPr>
              <w:t>义务教育高质量发展</w:t>
            </w:r>
          </w:p>
        </w:tc>
        <w:tc>
          <w:tcPr>
            <w:tcW w:w="87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Calibri"/>
                <w:kern w:val="0"/>
                <w:sz w:val="18"/>
                <w:szCs w:val="18"/>
              </w:rPr>
            </w:pPr>
            <w:r>
              <w:rPr>
                <w:rFonts w:cs="Calibri"/>
                <w:kern w:val="0"/>
                <w:sz w:val="18"/>
                <w:szCs w:val="18"/>
              </w:rPr>
              <w:t>推动义务教育从数量扩张向质量提高转变</w:t>
            </w:r>
          </w:p>
        </w:tc>
        <w:tc>
          <w:tcPr>
            <w:tcW w:w="87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Calibri"/>
                <w:kern w:val="0"/>
                <w:sz w:val="18"/>
                <w:szCs w:val="18"/>
              </w:rPr>
            </w:pPr>
            <w:r>
              <w:rPr>
                <w:rFonts w:cs="Calibri"/>
                <w:kern w:val="0"/>
                <w:sz w:val="18"/>
                <w:szCs w:val="18"/>
              </w:rPr>
              <w:t>10分学生、家长、社会对学校整体满意度达到95%得满分，每降低1%扣1分，扣完为止。</w:t>
            </w:r>
          </w:p>
        </w:tc>
        <w:tc>
          <w:tcPr>
            <w:tcW w:w="39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Calibri"/>
                <w:kern w:val="0"/>
                <w:sz w:val="18"/>
                <w:szCs w:val="18"/>
              </w:rPr>
            </w:pPr>
            <w:r>
              <w:rPr>
                <w:rFonts w:cs="Calibri"/>
                <w:kern w:val="0"/>
                <w:sz w:val="18"/>
                <w:szCs w:val="18"/>
              </w:rPr>
              <w:t>≥</w:t>
            </w:r>
          </w:p>
        </w:tc>
        <w:tc>
          <w:tcPr>
            <w:tcW w:w="22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Calibri"/>
                <w:kern w:val="0"/>
                <w:sz w:val="18"/>
                <w:szCs w:val="18"/>
              </w:rPr>
            </w:pPr>
            <w:r>
              <w:rPr>
                <w:rFonts w:cs="Calibri"/>
                <w:kern w:val="0"/>
                <w:sz w:val="18"/>
                <w:szCs w:val="18"/>
              </w:rPr>
              <w:t>95</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Calibri"/>
                <w:kern w:val="0"/>
                <w:sz w:val="18"/>
                <w:szCs w:val="18"/>
              </w:rPr>
            </w:pPr>
            <w:r>
              <w:rPr>
                <w:rFonts w:cs="Calibri"/>
                <w:kern w:val="0"/>
                <w:sz w:val="18"/>
                <w:szCs w:val="18"/>
              </w:rPr>
              <w:t>%</w:t>
            </w:r>
          </w:p>
        </w:tc>
        <w:tc>
          <w:tcPr>
            <w:tcW w:w="51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Calibri"/>
                <w:kern w:val="0"/>
                <w:sz w:val="18"/>
                <w:szCs w:val="18"/>
              </w:rPr>
            </w:pPr>
            <w:r>
              <w:rPr>
                <w:rFonts w:cs="Calibri"/>
                <w:kern w:val="0"/>
                <w:sz w:val="18"/>
                <w:szCs w:val="18"/>
              </w:rPr>
              <w:t>部门职责</w:t>
            </w:r>
          </w:p>
        </w:tc>
      </w:tr>
      <w:tr>
        <w:tblPrEx>
          <w:tblCellMar>
            <w:top w:w="0" w:type="dxa"/>
            <w:left w:w="108" w:type="dxa"/>
            <w:bottom w:w="0" w:type="dxa"/>
            <w:right w:w="108" w:type="dxa"/>
          </w:tblCellMar>
        </w:tblPrEx>
        <w:trPr>
          <w:trHeight w:val="330" w:hRule="atLeast"/>
        </w:trPr>
        <w:tc>
          <w:tcPr>
            <w:tcW w:w="41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Calibri"/>
                <w:color w:val="000000"/>
                <w:kern w:val="0"/>
                <w:sz w:val="18"/>
                <w:szCs w:val="18"/>
              </w:rPr>
            </w:pPr>
            <w:r>
              <w:rPr>
                <w:rFonts w:cs="Calibri"/>
                <w:color w:val="000000"/>
                <w:kern w:val="0"/>
                <w:sz w:val="18"/>
                <w:szCs w:val="18"/>
              </w:rPr>
              <w:t>满意度指标</w:t>
            </w:r>
          </w:p>
        </w:tc>
        <w:tc>
          <w:tcPr>
            <w:tcW w:w="46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服务对象满意度指标</w:t>
            </w:r>
          </w:p>
        </w:tc>
        <w:tc>
          <w:tcPr>
            <w:tcW w:w="82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Calibri"/>
                <w:color w:val="000000"/>
                <w:kern w:val="0"/>
                <w:sz w:val="18"/>
                <w:szCs w:val="18"/>
              </w:rPr>
            </w:pPr>
            <w:r>
              <w:rPr>
                <w:rFonts w:cs="Calibri"/>
                <w:color w:val="000000"/>
                <w:kern w:val="0"/>
                <w:sz w:val="18"/>
                <w:szCs w:val="18"/>
              </w:rPr>
              <w:t>在校师生的满意程度</w:t>
            </w:r>
          </w:p>
        </w:tc>
        <w:tc>
          <w:tcPr>
            <w:tcW w:w="87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Calibri"/>
                <w:kern w:val="0"/>
                <w:sz w:val="18"/>
                <w:szCs w:val="18"/>
              </w:rPr>
            </w:pPr>
            <w:r>
              <w:rPr>
                <w:rFonts w:cs="Calibri"/>
                <w:kern w:val="0"/>
                <w:sz w:val="18"/>
                <w:szCs w:val="18"/>
              </w:rPr>
              <w:t>在校师生的满意程度</w:t>
            </w:r>
          </w:p>
        </w:tc>
        <w:tc>
          <w:tcPr>
            <w:tcW w:w="87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Calibri"/>
                <w:kern w:val="0"/>
                <w:sz w:val="18"/>
                <w:szCs w:val="18"/>
              </w:rPr>
            </w:pPr>
            <w:r>
              <w:rPr>
                <w:rFonts w:cs="Calibri"/>
                <w:kern w:val="0"/>
                <w:sz w:val="18"/>
                <w:szCs w:val="18"/>
              </w:rPr>
              <w:t>10分在校师生的满意度达到95%得满分，每降低1%扣1分，扣完为止。</w:t>
            </w:r>
          </w:p>
        </w:tc>
        <w:tc>
          <w:tcPr>
            <w:tcW w:w="39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Calibri"/>
                <w:kern w:val="0"/>
                <w:sz w:val="18"/>
                <w:szCs w:val="18"/>
              </w:rPr>
            </w:pPr>
            <w:r>
              <w:rPr>
                <w:rFonts w:cs="Calibri"/>
                <w:kern w:val="0"/>
                <w:sz w:val="18"/>
                <w:szCs w:val="18"/>
              </w:rPr>
              <w:t>≥</w:t>
            </w:r>
          </w:p>
        </w:tc>
        <w:tc>
          <w:tcPr>
            <w:tcW w:w="22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Calibri"/>
                <w:kern w:val="0"/>
                <w:sz w:val="18"/>
                <w:szCs w:val="18"/>
              </w:rPr>
            </w:pPr>
            <w:r>
              <w:rPr>
                <w:rFonts w:cs="Calibri"/>
                <w:kern w:val="0"/>
                <w:sz w:val="18"/>
                <w:szCs w:val="18"/>
              </w:rPr>
              <w:t>95</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Calibri"/>
                <w:kern w:val="0"/>
                <w:sz w:val="18"/>
                <w:szCs w:val="18"/>
              </w:rPr>
            </w:pPr>
            <w:r>
              <w:rPr>
                <w:rFonts w:cs="Calibri"/>
                <w:kern w:val="0"/>
                <w:sz w:val="18"/>
                <w:szCs w:val="18"/>
              </w:rPr>
              <w:t>%</w:t>
            </w:r>
          </w:p>
        </w:tc>
        <w:tc>
          <w:tcPr>
            <w:tcW w:w="51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Calibri"/>
                <w:kern w:val="0"/>
                <w:sz w:val="18"/>
                <w:szCs w:val="18"/>
              </w:rPr>
            </w:pPr>
            <w:r>
              <w:rPr>
                <w:rFonts w:cs="Calibri"/>
                <w:kern w:val="0"/>
                <w:sz w:val="18"/>
                <w:szCs w:val="18"/>
              </w:rPr>
              <w:t>调查问卷</w:t>
            </w:r>
          </w:p>
        </w:tc>
      </w:tr>
      <w:tr>
        <w:tblPrEx>
          <w:tblCellMar>
            <w:top w:w="0" w:type="dxa"/>
            <w:left w:w="108" w:type="dxa"/>
            <w:bottom w:w="0" w:type="dxa"/>
            <w:right w:w="108" w:type="dxa"/>
          </w:tblCellMar>
        </w:tblPrEx>
        <w:trPr>
          <w:trHeight w:val="330" w:hRule="atLeast"/>
        </w:trPr>
        <w:tc>
          <w:tcPr>
            <w:tcW w:w="41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Calibri"/>
                <w:color w:val="000000"/>
                <w:kern w:val="0"/>
                <w:sz w:val="18"/>
                <w:szCs w:val="18"/>
              </w:rPr>
            </w:pPr>
            <w:r>
              <w:rPr>
                <w:rFonts w:cs="Calibri"/>
                <w:color w:val="000000"/>
                <w:kern w:val="0"/>
                <w:sz w:val="18"/>
                <w:szCs w:val="18"/>
              </w:rPr>
              <w:t>满意度指标</w:t>
            </w:r>
          </w:p>
        </w:tc>
        <w:tc>
          <w:tcPr>
            <w:tcW w:w="46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服务对象满意度指标</w:t>
            </w:r>
          </w:p>
        </w:tc>
        <w:tc>
          <w:tcPr>
            <w:tcW w:w="822"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Calibri"/>
                <w:color w:val="000000"/>
                <w:kern w:val="0"/>
                <w:sz w:val="18"/>
                <w:szCs w:val="18"/>
              </w:rPr>
            </w:pPr>
            <w:r>
              <w:rPr>
                <w:rFonts w:cs="Calibri"/>
                <w:color w:val="000000"/>
                <w:kern w:val="0"/>
                <w:sz w:val="18"/>
                <w:szCs w:val="18"/>
              </w:rPr>
              <w:t>家长的满意程度</w:t>
            </w:r>
          </w:p>
        </w:tc>
        <w:tc>
          <w:tcPr>
            <w:tcW w:w="87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Calibri"/>
                <w:kern w:val="0"/>
                <w:sz w:val="18"/>
                <w:szCs w:val="18"/>
              </w:rPr>
            </w:pPr>
            <w:r>
              <w:rPr>
                <w:rFonts w:cs="Calibri"/>
                <w:kern w:val="0"/>
                <w:sz w:val="18"/>
                <w:szCs w:val="18"/>
              </w:rPr>
              <w:t>家长的满意程度</w:t>
            </w:r>
          </w:p>
        </w:tc>
        <w:tc>
          <w:tcPr>
            <w:tcW w:w="87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Calibri"/>
                <w:kern w:val="0"/>
                <w:sz w:val="18"/>
                <w:szCs w:val="18"/>
              </w:rPr>
            </w:pPr>
            <w:r>
              <w:rPr>
                <w:rFonts w:cs="Calibri"/>
                <w:kern w:val="0"/>
                <w:sz w:val="18"/>
                <w:szCs w:val="18"/>
              </w:rPr>
              <w:t>10分家长的满意度达到95%得满分，每降低1%扣1分，扣完为止。</w:t>
            </w:r>
          </w:p>
        </w:tc>
        <w:tc>
          <w:tcPr>
            <w:tcW w:w="39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Calibri"/>
                <w:kern w:val="0"/>
                <w:sz w:val="18"/>
                <w:szCs w:val="18"/>
              </w:rPr>
            </w:pPr>
            <w:r>
              <w:rPr>
                <w:rFonts w:cs="Calibri"/>
                <w:kern w:val="0"/>
                <w:sz w:val="18"/>
                <w:szCs w:val="18"/>
              </w:rPr>
              <w:t>≥</w:t>
            </w:r>
          </w:p>
        </w:tc>
        <w:tc>
          <w:tcPr>
            <w:tcW w:w="22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Calibri"/>
                <w:kern w:val="0"/>
                <w:sz w:val="18"/>
                <w:szCs w:val="18"/>
              </w:rPr>
            </w:pPr>
            <w:r>
              <w:rPr>
                <w:rFonts w:cs="Calibri"/>
                <w:kern w:val="0"/>
                <w:sz w:val="18"/>
                <w:szCs w:val="18"/>
              </w:rPr>
              <w:t>95</w:t>
            </w:r>
          </w:p>
        </w:tc>
        <w:tc>
          <w:tcPr>
            <w:tcW w:w="40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Calibri"/>
                <w:kern w:val="0"/>
                <w:sz w:val="18"/>
                <w:szCs w:val="18"/>
              </w:rPr>
            </w:pPr>
            <w:r>
              <w:rPr>
                <w:rFonts w:cs="Calibri"/>
                <w:kern w:val="0"/>
                <w:sz w:val="18"/>
                <w:szCs w:val="18"/>
              </w:rPr>
              <w:t>%</w:t>
            </w:r>
          </w:p>
        </w:tc>
        <w:tc>
          <w:tcPr>
            <w:tcW w:w="51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Calibri"/>
                <w:kern w:val="0"/>
                <w:sz w:val="18"/>
                <w:szCs w:val="18"/>
              </w:rPr>
            </w:pPr>
            <w:r>
              <w:rPr>
                <w:rFonts w:cs="Calibri"/>
                <w:kern w:val="0"/>
                <w:sz w:val="18"/>
                <w:szCs w:val="18"/>
              </w:rPr>
              <w:t>调查问卷</w:t>
            </w:r>
          </w:p>
        </w:tc>
      </w:tr>
    </w:tbl>
    <w:p>
      <w:pPr>
        <w:spacing w:line="584" w:lineRule="exact"/>
        <w:ind w:firstLine="640" w:firstLineChars="200"/>
        <w:rPr>
          <w:rFonts w:ascii="Times New Roman" w:hAnsi="Times New Roman" w:eastAsia="黑体" w:cs="Times New Roman"/>
          <w:sz w:val="32"/>
          <w:szCs w:val="32"/>
        </w:rPr>
      </w:pPr>
    </w:p>
    <w:p>
      <w:pPr>
        <w:ind w:firstLine="560"/>
        <w:outlineLvl w:val="3"/>
        <w:rPr>
          <w:rFonts w:hint="eastAsia" w:ascii="仿宋_GB2312" w:hAnsi="仿宋_GB2312" w:eastAsia="仿宋_GB2312" w:cs="仿宋_GB2312"/>
          <w:color w:val="000000"/>
          <w:sz w:val="28"/>
        </w:rPr>
      </w:pPr>
      <w:bookmarkStart w:id="1" w:name="_Toc_4_4_0000000004"/>
    </w:p>
    <w:p>
      <w:pPr>
        <w:ind w:firstLine="560"/>
        <w:outlineLvl w:val="3"/>
        <w:rPr>
          <w:rFonts w:hint="eastAsia" w:ascii="仿宋_GB2312" w:hAnsi="仿宋_GB2312" w:eastAsia="仿宋_GB2312" w:cs="仿宋_GB2312"/>
          <w:color w:val="000000"/>
          <w:sz w:val="28"/>
        </w:rPr>
      </w:pPr>
    </w:p>
    <w:p>
      <w:pPr>
        <w:ind w:firstLine="560"/>
        <w:outlineLvl w:val="3"/>
        <w:rPr>
          <w:rFonts w:hint="eastAsia" w:ascii="仿宋_GB2312" w:hAnsi="仿宋_GB2312" w:eastAsia="仿宋_GB2312" w:cs="仿宋_GB2312"/>
          <w:color w:val="000000"/>
          <w:sz w:val="28"/>
        </w:rPr>
      </w:pPr>
    </w:p>
    <w:p>
      <w:pPr>
        <w:ind w:firstLine="560"/>
        <w:outlineLvl w:val="3"/>
        <w:rPr>
          <w:rFonts w:hint="eastAsia" w:ascii="仿宋_GB2312" w:hAnsi="仿宋_GB2312" w:eastAsia="仿宋_GB2312" w:cs="仿宋_GB2312"/>
          <w:color w:val="000000"/>
          <w:sz w:val="28"/>
        </w:rPr>
      </w:pPr>
    </w:p>
    <w:p>
      <w:pPr>
        <w:ind w:firstLine="560"/>
        <w:outlineLvl w:val="3"/>
        <w:rPr>
          <w:rFonts w:hint="eastAsia" w:ascii="黑体" w:hAnsi="黑体" w:eastAsia="黑体" w:cs="黑体"/>
          <w:color w:val="000000"/>
          <w:sz w:val="32"/>
          <w:szCs w:val="32"/>
        </w:rPr>
      </w:pPr>
      <w:r>
        <w:rPr>
          <w:rFonts w:hint="eastAsia" w:ascii="黑体" w:hAnsi="黑体" w:eastAsia="黑体" w:cs="黑体"/>
          <w:color w:val="000000"/>
          <w:sz w:val="32"/>
          <w:szCs w:val="32"/>
        </w:rPr>
        <w:t>第二部分</w:t>
      </w:r>
      <w:r>
        <w:rPr>
          <w:rFonts w:hint="eastAsia" w:ascii="黑体" w:hAnsi="黑体" w:eastAsia="黑体" w:cs="黑体"/>
          <w:color w:val="000000"/>
          <w:sz w:val="32"/>
          <w:szCs w:val="32"/>
          <w:lang w:val="en-US" w:eastAsia="zh-CN"/>
        </w:rPr>
        <w:t xml:space="preserve"> </w:t>
      </w:r>
      <w:r>
        <w:rPr>
          <w:rFonts w:hint="eastAsia" w:ascii="黑体" w:hAnsi="黑体" w:eastAsia="黑体" w:cs="黑体"/>
          <w:color w:val="000000"/>
          <w:sz w:val="32"/>
          <w:szCs w:val="32"/>
        </w:rPr>
        <w:t>预算项目绩效目标</w:t>
      </w:r>
    </w:p>
    <w:p>
      <w:pPr>
        <w:ind w:firstLine="560"/>
        <w:outlineLvl w:val="3"/>
        <w:rPr>
          <w:rFonts w:hint="eastAsia" w:ascii="仿宋_GB2312" w:hAnsi="仿宋_GB2312" w:eastAsia="仿宋_GB2312" w:cs="仿宋_GB2312"/>
          <w:color w:val="000000"/>
          <w:sz w:val="28"/>
        </w:rPr>
      </w:pPr>
    </w:p>
    <w:p>
      <w:pPr>
        <w:ind w:firstLine="560"/>
        <w:outlineLvl w:val="3"/>
        <w:rPr>
          <w:rFonts w:hint="eastAsia" w:ascii="仿宋_GB2312" w:hAnsi="仿宋_GB2312" w:eastAsia="仿宋_GB2312" w:cs="仿宋_GB2312"/>
        </w:rPr>
      </w:pPr>
      <w:r>
        <w:rPr>
          <w:rFonts w:hint="eastAsia" w:ascii="仿宋_GB2312" w:hAnsi="仿宋_GB2312" w:eastAsia="仿宋_GB2312" w:cs="仿宋_GB2312"/>
          <w:color w:val="000000"/>
          <w:sz w:val="28"/>
        </w:rPr>
        <w:t>1.城乡义务教育生均公用经费[区级]绩效目标表</w:t>
      </w:r>
      <w:bookmarkEnd w:id="1"/>
    </w:p>
    <w:tbl>
      <w:tblPr>
        <w:tblStyle w:val="8"/>
        <w:tblW w:w="4998"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382"/>
        <w:gridCol w:w="1255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6" w:type="pct"/>
            <w:vAlign w:val="center"/>
          </w:tcPr>
          <w:p>
            <w:pPr>
              <w:pStyle w:val="12"/>
            </w:pPr>
            <w:r>
              <w:t>绩效目标</w:t>
            </w:r>
          </w:p>
        </w:tc>
        <w:tc>
          <w:tcPr>
            <w:tcW w:w="4503" w:type="pct"/>
            <w:vAlign w:val="center"/>
          </w:tcPr>
          <w:p>
            <w:pPr>
              <w:pStyle w:val="14"/>
            </w:pPr>
            <w:r>
              <w:t>1.廊坊市广阳区九州镇赵各庄小学对2022年在校学生363人，按照义务教育</w:t>
            </w:r>
            <w:r>
              <w:rPr>
                <w:rFonts w:hint="eastAsia"/>
                <w:lang w:eastAsia="zh-CN"/>
              </w:rPr>
              <w:t>生均</w:t>
            </w:r>
            <w:r>
              <w:t>公用经费标准申请财政预算资金、通过合理，合规保障学校运转及事业发展。</w:t>
            </w:r>
          </w:p>
          <w:p>
            <w:pPr>
              <w:pStyle w:val="14"/>
            </w:pPr>
            <w:r>
              <w:t>2.改善我校办学条件</w:t>
            </w:r>
          </w:p>
          <w:p>
            <w:pPr>
              <w:pStyle w:val="14"/>
            </w:pPr>
            <w:r>
              <w:t>3.促进城区义务教育发展</w:t>
            </w:r>
          </w:p>
        </w:tc>
      </w:tr>
    </w:tbl>
    <w:p>
      <w:pPr>
        <w:spacing w:line="2" w:lineRule="exact"/>
        <w:jc w:val="center"/>
      </w:pPr>
      <w:r>
        <w:rPr>
          <w:rFonts w:ascii="方正书宋_GBK" w:hAnsi="方正书宋_GBK" w:eastAsia="方正书宋_GBK" w:cs="方正书宋_GBK"/>
          <w:color w:val="000000"/>
        </w:rPr>
        <w:t xml:space="preserve"> </w:t>
      </w:r>
    </w:p>
    <w:tbl>
      <w:tblPr>
        <w:tblStyle w:val="8"/>
        <w:tblW w:w="4997"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380"/>
        <w:gridCol w:w="1698"/>
        <w:gridCol w:w="2386"/>
        <w:gridCol w:w="4073"/>
        <w:gridCol w:w="1023"/>
        <w:gridCol w:w="337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495" w:type="pct"/>
            <w:vAlign w:val="center"/>
          </w:tcPr>
          <w:p>
            <w:pPr>
              <w:pStyle w:val="12"/>
            </w:pPr>
            <w:r>
              <w:t>一级指标</w:t>
            </w:r>
          </w:p>
        </w:tc>
        <w:tc>
          <w:tcPr>
            <w:tcW w:w="609" w:type="pct"/>
            <w:vAlign w:val="center"/>
          </w:tcPr>
          <w:p>
            <w:pPr>
              <w:pStyle w:val="12"/>
            </w:pPr>
            <w:r>
              <w:t>二级指标</w:t>
            </w:r>
          </w:p>
        </w:tc>
        <w:tc>
          <w:tcPr>
            <w:tcW w:w="856" w:type="pct"/>
            <w:vAlign w:val="center"/>
          </w:tcPr>
          <w:p>
            <w:pPr>
              <w:pStyle w:val="12"/>
            </w:pPr>
            <w:r>
              <w:t>三级指标</w:t>
            </w:r>
          </w:p>
        </w:tc>
        <w:tc>
          <w:tcPr>
            <w:tcW w:w="1461" w:type="pct"/>
            <w:vAlign w:val="center"/>
          </w:tcPr>
          <w:p>
            <w:pPr>
              <w:pStyle w:val="12"/>
            </w:pPr>
            <w:r>
              <w:t>绩效指标描述</w:t>
            </w:r>
          </w:p>
        </w:tc>
        <w:tc>
          <w:tcPr>
            <w:tcW w:w="367" w:type="pct"/>
            <w:vAlign w:val="center"/>
          </w:tcPr>
          <w:p>
            <w:pPr>
              <w:pStyle w:val="12"/>
            </w:pPr>
            <w:r>
              <w:t>指标值</w:t>
            </w:r>
          </w:p>
        </w:tc>
        <w:tc>
          <w:tcPr>
            <w:tcW w:w="1209" w:type="pct"/>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5" w:type="pct"/>
            <w:vMerge w:val="restart"/>
            <w:vAlign w:val="center"/>
          </w:tcPr>
          <w:p>
            <w:pPr>
              <w:pStyle w:val="15"/>
            </w:pPr>
            <w:r>
              <w:t>产出指标</w:t>
            </w:r>
          </w:p>
        </w:tc>
        <w:tc>
          <w:tcPr>
            <w:tcW w:w="609" w:type="pct"/>
            <w:vAlign w:val="center"/>
          </w:tcPr>
          <w:p>
            <w:pPr>
              <w:pStyle w:val="14"/>
            </w:pPr>
            <w:r>
              <w:t>数量指标</w:t>
            </w:r>
          </w:p>
        </w:tc>
        <w:tc>
          <w:tcPr>
            <w:tcW w:w="856" w:type="pct"/>
            <w:vAlign w:val="center"/>
          </w:tcPr>
          <w:p>
            <w:pPr>
              <w:pStyle w:val="14"/>
            </w:pPr>
            <w:r>
              <w:t>申请生均公用经费的学生人数</w:t>
            </w:r>
          </w:p>
        </w:tc>
        <w:tc>
          <w:tcPr>
            <w:tcW w:w="1461" w:type="pct"/>
            <w:vAlign w:val="center"/>
          </w:tcPr>
          <w:p>
            <w:pPr>
              <w:pStyle w:val="14"/>
            </w:pPr>
            <w:r>
              <w:t>按文件要求申请生均公用经费的学生人数</w:t>
            </w:r>
          </w:p>
        </w:tc>
        <w:tc>
          <w:tcPr>
            <w:tcW w:w="367" w:type="pct"/>
            <w:vAlign w:val="center"/>
          </w:tcPr>
          <w:p>
            <w:pPr>
              <w:pStyle w:val="14"/>
            </w:pPr>
            <w:r>
              <w:t>363人</w:t>
            </w:r>
          </w:p>
        </w:tc>
        <w:tc>
          <w:tcPr>
            <w:tcW w:w="1209" w:type="pct"/>
            <w:vAlign w:val="center"/>
          </w:tcPr>
          <w:p>
            <w:pPr>
              <w:pStyle w:val="14"/>
            </w:pPr>
            <w: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5" w:type="pct"/>
            <w:vMerge w:val="continue"/>
            <w:vAlign w:val="center"/>
          </w:tcPr>
          <w:p/>
        </w:tc>
        <w:tc>
          <w:tcPr>
            <w:tcW w:w="609" w:type="pct"/>
            <w:vAlign w:val="center"/>
          </w:tcPr>
          <w:p>
            <w:pPr>
              <w:pStyle w:val="14"/>
            </w:pPr>
            <w:r>
              <w:t>质量指标</w:t>
            </w:r>
          </w:p>
        </w:tc>
        <w:tc>
          <w:tcPr>
            <w:tcW w:w="856" w:type="pct"/>
            <w:vAlign w:val="center"/>
          </w:tcPr>
          <w:p>
            <w:pPr>
              <w:pStyle w:val="14"/>
            </w:pPr>
            <w:r>
              <w:t>生均公用经费使用的合规率</w:t>
            </w:r>
          </w:p>
        </w:tc>
        <w:tc>
          <w:tcPr>
            <w:tcW w:w="1461" w:type="pct"/>
            <w:vAlign w:val="center"/>
          </w:tcPr>
          <w:p>
            <w:pPr>
              <w:pStyle w:val="14"/>
            </w:pPr>
            <w:r>
              <w:t>生均公用经费使用符合文件中的相关规定</w:t>
            </w:r>
          </w:p>
        </w:tc>
        <w:tc>
          <w:tcPr>
            <w:tcW w:w="367" w:type="pct"/>
            <w:vAlign w:val="center"/>
          </w:tcPr>
          <w:p>
            <w:pPr>
              <w:pStyle w:val="14"/>
            </w:pPr>
            <w:r>
              <w:t>100%</w:t>
            </w:r>
          </w:p>
        </w:tc>
        <w:tc>
          <w:tcPr>
            <w:tcW w:w="1209" w:type="pct"/>
            <w:vAlign w:val="center"/>
          </w:tcPr>
          <w:p>
            <w:pPr>
              <w:pStyle w:val="14"/>
            </w:pPr>
            <w: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5" w:type="pct"/>
            <w:vMerge w:val="continue"/>
            <w:vAlign w:val="center"/>
          </w:tcPr>
          <w:p/>
        </w:tc>
        <w:tc>
          <w:tcPr>
            <w:tcW w:w="609" w:type="pct"/>
            <w:vAlign w:val="center"/>
          </w:tcPr>
          <w:p>
            <w:pPr>
              <w:pStyle w:val="14"/>
            </w:pPr>
            <w:r>
              <w:t>时效指标</w:t>
            </w:r>
          </w:p>
        </w:tc>
        <w:tc>
          <w:tcPr>
            <w:tcW w:w="856" w:type="pct"/>
            <w:vAlign w:val="center"/>
          </w:tcPr>
          <w:p>
            <w:pPr>
              <w:pStyle w:val="14"/>
            </w:pPr>
            <w:r>
              <w:t>用于保障学校正常运转项目完成及时率</w:t>
            </w:r>
          </w:p>
        </w:tc>
        <w:tc>
          <w:tcPr>
            <w:tcW w:w="1461" w:type="pct"/>
            <w:vAlign w:val="center"/>
          </w:tcPr>
          <w:p>
            <w:pPr>
              <w:pStyle w:val="14"/>
            </w:pPr>
            <w:r>
              <w:t>使用生均公用经费，用于保障学校正常运转的项目完成情况</w:t>
            </w:r>
          </w:p>
        </w:tc>
        <w:tc>
          <w:tcPr>
            <w:tcW w:w="367" w:type="pct"/>
            <w:vAlign w:val="center"/>
          </w:tcPr>
          <w:p>
            <w:pPr>
              <w:pStyle w:val="14"/>
            </w:pPr>
            <w:r>
              <w:t>100%</w:t>
            </w:r>
          </w:p>
        </w:tc>
        <w:tc>
          <w:tcPr>
            <w:tcW w:w="1209" w:type="pct"/>
            <w:vAlign w:val="center"/>
          </w:tcPr>
          <w:p>
            <w:pPr>
              <w:pStyle w:val="14"/>
            </w:pPr>
            <w: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5" w:type="pct"/>
            <w:vMerge w:val="continue"/>
            <w:vAlign w:val="center"/>
          </w:tcPr>
          <w:p/>
        </w:tc>
        <w:tc>
          <w:tcPr>
            <w:tcW w:w="609" w:type="pct"/>
            <w:vAlign w:val="center"/>
          </w:tcPr>
          <w:p>
            <w:pPr>
              <w:pStyle w:val="14"/>
            </w:pPr>
            <w:r>
              <w:t>成本指标</w:t>
            </w:r>
          </w:p>
        </w:tc>
        <w:tc>
          <w:tcPr>
            <w:tcW w:w="856" w:type="pct"/>
            <w:vAlign w:val="center"/>
          </w:tcPr>
          <w:p>
            <w:pPr>
              <w:pStyle w:val="14"/>
            </w:pPr>
            <w:r>
              <w:t>使用生均公用经费，用于保障学校正常运转的项目支出成本</w:t>
            </w:r>
          </w:p>
        </w:tc>
        <w:tc>
          <w:tcPr>
            <w:tcW w:w="1461" w:type="pct"/>
            <w:vAlign w:val="center"/>
          </w:tcPr>
          <w:p>
            <w:pPr>
              <w:pStyle w:val="14"/>
            </w:pPr>
            <w:r>
              <w:t>使用生均公用经费，用于保障学校正常运转的项目支出成本等于735元/生</w:t>
            </w:r>
          </w:p>
        </w:tc>
        <w:tc>
          <w:tcPr>
            <w:tcW w:w="367" w:type="pct"/>
            <w:vAlign w:val="center"/>
          </w:tcPr>
          <w:p>
            <w:pPr>
              <w:pStyle w:val="14"/>
            </w:pPr>
            <w:r>
              <w:t>735元/生</w:t>
            </w:r>
          </w:p>
        </w:tc>
        <w:tc>
          <w:tcPr>
            <w:tcW w:w="1209" w:type="pct"/>
            <w:vAlign w:val="center"/>
          </w:tcPr>
          <w:p>
            <w:pPr>
              <w:pStyle w:val="14"/>
            </w:pPr>
            <w: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5" w:type="pct"/>
            <w:vAlign w:val="center"/>
          </w:tcPr>
          <w:p>
            <w:pPr>
              <w:pStyle w:val="15"/>
            </w:pPr>
            <w:r>
              <w:t>效益指标</w:t>
            </w:r>
          </w:p>
        </w:tc>
        <w:tc>
          <w:tcPr>
            <w:tcW w:w="609" w:type="pct"/>
            <w:vAlign w:val="center"/>
          </w:tcPr>
          <w:p>
            <w:pPr>
              <w:pStyle w:val="14"/>
            </w:pPr>
            <w:r>
              <w:t>社会效益指标</w:t>
            </w:r>
          </w:p>
        </w:tc>
        <w:tc>
          <w:tcPr>
            <w:tcW w:w="856" w:type="pct"/>
            <w:vAlign w:val="center"/>
          </w:tcPr>
          <w:p>
            <w:pPr>
              <w:pStyle w:val="14"/>
            </w:pPr>
            <w:r>
              <w:t>义务教育/学前教育高质量发展</w:t>
            </w:r>
          </w:p>
        </w:tc>
        <w:tc>
          <w:tcPr>
            <w:tcW w:w="1461" w:type="pct"/>
            <w:vAlign w:val="center"/>
          </w:tcPr>
          <w:p>
            <w:pPr>
              <w:pStyle w:val="14"/>
            </w:pPr>
            <w:r>
              <w:t>该资金用于学校正常运转，改善办学条件，促进义务教育/学前教育均衡发展及学生素质提高</w:t>
            </w:r>
          </w:p>
        </w:tc>
        <w:tc>
          <w:tcPr>
            <w:tcW w:w="367" w:type="pct"/>
            <w:vAlign w:val="center"/>
          </w:tcPr>
          <w:p>
            <w:pPr>
              <w:pStyle w:val="14"/>
            </w:pPr>
            <w:r>
              <w:t>支持</w:t>
            </w:r>
          </w:p>
        </w:tc>
        <w:tc>
          <w:tcPr>
            <w:tcW w:w="1209" w:type="pct"/>
            <w:vAlign w:val="center"/>
          </w:tcPr>
          <w:p>
            <w:pPr>
              <w:pStyle w:val="14"/>
            </w:pPr>
            <w:r>
              <w:t>冀财教【2019】66号文件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95" w:type="pct"/>
            <w:vAlign w:val="center"/>
          </w:tcPr>
          <w:p>
            <w:pPr>
              <w:pStyle w:val="15"/>
            </w:pPr>
            <w:r>
              <w:t>满意度指标</w:t>
            </w:r>
          </w:p>
        </w:tc>
        <w:tc>
          <w:tcPr>
            <w:tcW w:w="609" w:type="pct"/>
            <w:vAlign w:val="center"/>
          </w:tcPr>
          <w:p>
            <w:pPr>
              <w:pStyle w:val="14"/>
            </w:pPr>
            <w:r>
              <w:t>服务对象满意度指标</w:t>
            </w:r>
          </w:p>
        </w:tc>
        <w:tc>
          <w:tcPr>
            <w:tcW w:w="856" w:type="pct"/>
            <w:vAlign w:val="center"/>
          </w:tcPr>
          <w:p>
            <w:pPr>
              <w:pStyle w:val="14"/>
            </w:pPr>
            <w:r>
              <w:t>在校师生的满意程度</w:t>
            </w:r>
          </w:p>
        </w:tc>
        <w:tc>
          <w:tcPr>
            <w:tcW w:w="1461" w:type="pct"/>
            <w:vAlign w:val="center"/>
          </w:tcPr>
          <w:p>
            <w:pPr>
              <w:pStyle w:val="14"/>
            </w:pPr>
            <w:r>
              <w:t>在校师生的满意程度</w:t>
            </w:r>
          </w:p>
        </w:tc>
        <w:tc>
          <w:tcPr>
            <w:tcW w:w="367" w:type="pct"/>
            <w:vAlign w:val="center"/>
          </w:tcPr>
          <w:p>
            <w:pPr>
              <w:pStyle w:val="14"/>
            </w:pPr>
            <w:r>
              <w:t>≥90%</w:t>
            </w:r>
          </w:p>
        </w:tc>
        <w:tc>
          <w:tcPr>
            <w:tcW w:w="1209" w:type="pct"/>
            <w:vAlign w:val="center"/>
          </w:tcPr>
          <w:p>
            <w:pPr>
              <w:pStyle w:val="14"/>
            </w:pPr>
            <w:r>
              <w:t>调查问卷</w:t>
            </w:r>
          </w:p>
        </w:tc>
      </w:tr>
    </w:tbl>
    <w:p>
      <w:pPr>
        <w:sectPr>
          <w:pgSz w:w="16840" w:h="11900" w:orient="landscape"/>
          <w:pgMar w:top="1304" w:right="1984" w:bottom="1304" w:left="113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rPr>
          <w:rFonts w:hint="eastAsia" w:ascii="仿宋_GB2312" w:hAnsi="仿宋_GB2312" w:eastAsia="仿宋_GB2312" w:cs="仿宋_GB2312"/>
          <w:color w:val="000000"/>
          <w:sz w:val="28"/>
        </w:rPr>
      </w:pPr>
      <w:bookmarkStart w:id="2" w:name="_Toc_4_4_0000000005"/>
      <w:r>
        <w:rPr>
          <w:rFonts w:hint="eastAsia" w:ascii="仿宋_GB2312" w:hAnsi="仿宋_GB2312" w:eastAsia="仿宋_GB2312" w:cs="仿宋_GB2312"/>
          <w:color w:val="000000"/>
          <w:sz w:val="28"/>
        </w:rPr>
        <w:t>2.城乡义务教育生均公用经费[市级]绩效目标表</w:t>
      </w:r>
      <w:bookmarkEnd w:id="2"/>
    </w:p>
    <w:tbl>
      <w:tblPr>
        <w:tblStyle w:val="8"/>
        <w:tblW w:w="4998"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42"/>
        <w:gridCol w:w="1279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0" w:type="pct"/>
            <w:vAlign w:val="center"/>
          </w:tcPr>
          <w:p>
            <w:pPr>
              <w:pStyle w:val="12"/>
            </w:pPr>
            <w:r>
              <w:t>绩效目标</w:t>
            </w:r>
          </w:p>
        </w:tc>
        <w:tc>
          <w:tcPr>
            <w:tcW w:w="4589" w:type="pct"/>
            <w:vAlign w:val="center"/>
          </w:tcPr>
          <w:p>
            <w:pPr>
              <w:pStyle w:val="14"/>
            </w:pPr>
            <w:r>
              <w:t>1.廊坊市广阳区九州镇赵各庄小学对2022年在校学生363人，按照义务教育生均公用经费标准申请财政预算资金、通过合理，合规保障学校运转及事业发展。</w:t>
            </w:r>
          </w:p>
          <w:p>
            <w:pPr>
              <w:pStyle w:val="14"/>
            </w:pPr>
            <w:r>
              <w:t>2.改善我校办学条件</w:t>
            </w:r>
          </w:p>
          <w:p>
            <w:pPr>
              <w:pStyle w:val="14"/>
            </w:pPr>
            <w:r>
              <w:t>3.促进农村义务教育发展</w:t>
            </w:r>
          </w:p>
        </w:tc>
      </w:tr>
    </w:tbl>
    <w:p>
      <w:pPr>
        <w:spacing w:line="2" w:lineRule="exact"/>
        <w:jc w:val="center"/>
      </w:pPr>
      <w:r>
        <w:rPr>
          <w:rFonts w:ascii="方正书宋_GBK" w:hAnsi="方正书宋_GBK" w:eastAsia="方正书宋_GBK" w:cs="方正书宋_GBK"/>
          <w:color w:val="000000"/>
        </w:rPr>
        <w:t xml:space="preserve"> </w:t>
      </w:r>
    </w:p>
    <w:tbl>
      <w:tblPr>
        <w:tblStyle w:val="8"/>
        <w:tblW w:w="4997"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37"/>
        <w:gridCol w:w="1438"/>
        <w:gridCol w:w="2102"/>
        <w:gridCol w:w="3443"/>
        <w:gridCol w:w="1898"/>
        <w:gridCol w:w="391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408" w:type="pct"/>
            <w:vAlign w:val="center"/>
          </w:tcPr>
          <w:p>
            <w:pPr>
              <w:pStyle w:val="12"/>
            </w:pPr>
            <w:r>
              <w:t>一级指标</w:t>
            </w:r>
          </w:p>
        </w:tc>
        <w:tc>
          <w:tcPr>
            <w:tcW w:w="516" w:type="pct"/>
            <w:vAlign w:val="center"/>
          </w:tcPr>
          <w:p>
            <w:pPr>
              <w:pStyle w:val="12"/>
            </w:pPr>
            <w:r>
              <w:t>二级指标</w:t>
            </w:r>
          </w:p>
        </w:tc>
        <w:tc>
          <w:tcPr>
            <w:tcW w:w="754" w:type="pct"/>
            <w:vAlign w:val="center"/>
          </w:tcPr>
          <w:p>
            <w:pPr>
              <w:pStyle w:val="12"/>
            </w:pPr>
            <w:r>
              <w:t>三级指标</w:t>
            </w:r>
          </w:p>
        </w:tc>
        <w:tc>
          <w:tcPr>
            <w:tcW w:w="1235" w:type="pct"/>
            <w:vAlign w:val="center"/>
          </w:tcPr>
          <w:p>
            <w:pPr>
              <w:pStyle w:val="12"/>
            </w:pPr>
            <w:r>
              <w:t>绩效指标描述</w:t>
            </w:r>
          </w:p>
        </w:tc>
        <w:tc>
          <w:tcPr>
            <w:tcW w:w="681" w:type="pct"/>
            <w:vAlign w:val="center"/>
          </w:tcPr>
          <w:p>
            <w:pPr>
              <w:pStyle w:val="12"/>
            </w:pPr>
            <w:r>
              <w:t>指标值</w:t>
            </w:r>
          </w:p>
        </w:tc>
        <w:tc>
          <w:tcPr>
            <w:tcW w:w="1403" w:type="pct"/>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8" w:type="pct"/>
            <w:vMerge w:val="restart"/>
            <w:vAlign w:val="center"/>
          </w:tcPr>
          <w:p>
            <w:pPr>
              <w:pStyle w:val="15"/>
            </w:pPr>
            <w:r>
              <w:t>产出指标</w:t>
            </w:r>
          </w:p>
        </w:tc>
        <w:tc>
          <w:tcPr>
            <w:tcW w:w="516" w:type="pct"/>
            <w:vAlign w:val="center"/>
          </w:tcPr>
          <w:p>
            <w:pPr>
              <w:pStyle w:val="14"/>
            </w:pPr>
            <w:r>
              <w:t>数量指标</w:t>
            </w:r>
          </w:p>
        </w:tc>
        <w:tc>
          <w:tcPr>
            <w:tcW w:w="754" w:type="pct"/>
            <w:vAlign w:val="center"/>
          </w:tcPr>
          <w:p>
            <w:pPr>
              <w:pStyle w:val="14"/>
            </w:pPr>
            <w:r>
              <w:t>申请生均公用经费的学生人数</w:t>
            </w:r>
          </w:p>
        </w:tc>
        <w:tc>
          <w:tcPr>
            <w:tcW w:w="1235" w:type="pct"/>
            <w:vAlign w:val="center"/>
          </w:tcPr>
          <w:p>
            <w:pPr>
              <w:pStyle w:val="14"/>
            </w:pPr>
            <w:r>
              <w:t>按文件要求申请生均公用经费的学生人数</w:t>
            </w:r>
          </w:p>
        </w:tc>
        <w:tc>
          <w:tcPr>
            <w:tcW w:w="681" w:type="pct"/>
            <w:vAlign w:val="center"/>
          </w:tcPr>
          <w:p>
            <w:pPr>
              <w:pStyle w:val="14"/>
            </w:pPr>
            <w:r>
              <w:t>363人</w:t>
            </w:r>
          </w:p>
        </w:tc>
        <w:tc>
          <w:tcPr>
            <w:tcW w:w="1403" w:type="pct"/>
            <w:vAlign w:val="center"/>
          </w:tcPr>
          <w:p>
            <w:pPr>
              <w:pStyle w:val="14"/>
              <w:rPr>
                <w:sz w:val="18"/>
                <w:szCs w:val="18"/>
              </w:rPr>
            </w:pPr>
            <w:r>
              <w:rPr>
                <w:sz w:val="18"/>
                <w:szCs w:val="18"/>
              </w:rPr>
              <w:t>廊坊市财政局  廊坊市教育局关于提前下达2022城乡义务教育市级补助经费预算的通知廊财教[2021]50号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8" w:type="pct"/>
            <w:vMerge w:val="continue"/>
            <w:vAlign w:val="center"/>
          </w:tcPr>
          <w:p/>
        </w:tc>
        <w:tc>
          <w:tcPr>
            <w:tcW w:w="516" w:type="pct"/>
            <w:vAlign w:val="center"/>
          </w:tcPr>
          <w:p>
            <w:pPr>
              <w:pStyle w:val="14"/>
            </w:pPr>
            <w:r>
              <w:t>质量指标</w:t>
            </w:r>
          </w:p>
        </w:tc>
        <w:tc>
          <w:tcPr>
            <w:tcW w:w="754" w:type="pct"/>
            <w:vAlign w:val="center"/>
          </w:tcPr>
          <w:p>
            <w:pPr>
              <w:pStyle w:val="14"/>
            </w:pPr>
            <w:r>
              <w:t>生均公用经费使用的合规率</w:t>
            </w:r>
          </w:p>
        </w:tc>
        <w:tc>
          <w:tcPr>
            <w:tcW w:w="1235" w:type="pct"/>
            <w:vAlign w:val="center"/>
          </w:tcPr>
          <w:p>
            <w:pPr>
              <w:pStyle w:val="14"/>
            </w:pPr>
            <w:r>
              <w:t>生均公用经费使用符合文件中的相关规定</w:t>
            </w:r>
          </w:p>
        </w:tc>
        <w:tc>
          <w:tcPr>
            <w:tcW w:w="681" w:type="pct"/>
            <w:vAlign w:val="center"/>
          </w:tcPr>
          <w:p>
            <w:pPr>
              <w:pStyle w:val="14"/>
            </w:pPr>
            <w:r>
              <w:t>100%</w:t>
            </w:r>
          </w:p>
        </w:tc>
        <w:tc>
          <w:tcPr>
            <w:tcW w:w="1403" w:type="pct"/>
            <w:vAlign w:val="center"/>
          </w:tcPr>
          <w:p>
            <w:pPr>
              <w:pStyle w:val="14"/>
              <w:rPr>
                <w:sz w:val="18"/>
                <w:szCs w:val="18"/>
              </w:rPr>
            </w:pPr>
            <w:r>
              <w:rPr>
                <w:sz w:val="18"/>
                <w:szCs w:val="18"/>
              </w:rPr>
              <w:t>廊坊市财政局  廊坊市教育局关于提前下达2022城乡义务教育市级补助经费预算的通知廊财教[2021]50号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8" w:type="pct"/>
            <w:vMerge w:val="continue"/>
            <w:vAlign w:val="center"/>
          </w:tcPr>
          <w:p/>
        </w:tc>
        <w:tc>
          <w:tcPr>
            <w:tcW w:w="516" w:type="pct"/>
            <w:vAlign w:val="center"/>
          </w:tcPr>
          <w:p>
            <w:pPr>
              <w:pStyle w:val="14"/>
            </w:pPr>
            <w:r>
              <w:t>时效指标</w:t>
            </w:r>
          </w:p>
        </w:tc>
        <w:tc>
          <w:tcPr>
            <w:tcW w:w="754" w:type="pct"/>
            <w:vAlign w:val="center"/>
          </w:tcPr>
          <w:p>
            <w:pPr>
              <w:pStyle w:val="14"/>
            </w:pPr>
            <w:r>
              <w:t>用于保障学校正常运转项目完成及时率</w:t>
            </w:r>
          </w:p>
        </w:tc>
        <w:tc>
          <w:tcPr>
            <w:tcW w:w="1235" w:type="pct"/>
            <w:vAlign w:val="center"/>
          </w:tcPr>
          <w:p>
            <w:pPr>
              <w:pStyle w:val="14"/>
            </w:pPr>
            <w:r>
              <w:t>使用生均公用经费，用于保障学校正常运转的项目完成情况</w:t>
            </w:r>
          </w:p>
        </w:tc>
        <w:tc>
          <w:tcPr>
            <w:tcW w:w="681" w:type="pct"/>
            <w:vAlign w:val="center"/>
          </w:tcPr>
          <w:p>
            <w:pPr>
              <w:pStyle w:val="14"/>
            </w:pPr>
            <w:r>
              <w:t>100%</w:t>
            </w:r>
          </w:p>
        </w:tc>
        <w:tc>
          <w:tcPr>
            <w:tcW w:w="1403" w:type="pct"/>
            <w:vAlign w:val="center"/>
          </w:tcPr>
          <w:p>
            <w:pPr>
              <w:pStyle w:val="14"/>
            </w:pPr>
            <w: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8" w:type="pct"/>
            <w:vMerge w:val="continue"/>
            <w:vAlign w:val="center"/>
          </w:tcPr>
          <w:p/>
        </w:tc>
        <w:tc>
          <w:tcPr>
            <w:tcW w:w="516" w:type="pct"/>
            <w:vAlign w:val="center"/>
          </w:tcPr>
          <w:p>
            <w:pPr>
              <w:pStyle w:val="14"/>
            </w:pPr>
            <w:r>
              <w:t>成本指标</w:t>
            </w:r>
          </w:p>
        </w:tc>
        <w:tc>
          <w:tcPr>
            <w:tcW w:w="754" w:type="pct"/>
            <w:vAlign w:val="center"/>
          </w:tcPr>
          <w:p>
            <w:pPr>
              <w:pStyle w:val="14"/>
            </w:pPr>
            <w:r>
              <w:t>使用生均公用经费，用于保障学校正常运转的项目支出成本</w:t>
            </w:r>
          </w:p>
        </w:tc>
        <w:tc>
          <w:tcPr>
            <w:tcW w:w="1235" w:type="pct"/>
            <w:vAlign w:val="center"/>
          </w:tcPr>
          <w:p>
            <w:pPr>
              <w:pStyle w:val="14"/>
            </w:pPr>
            <w:r>
              <w:t>使用生均公用经费，用于保障学校正常运转的项目支出成本等于735元/生</w:t>
            </w:r>
          </w:p>
        </w:tc>
        <w:tc>
          <w:tcPr>
            <w:tcW w:w="681" w:type="pct"/>
            <w:vAlign w:val="center"/>
          </w:tcPr>
          <w:p>
            <w:pPr>
              <w:pStyle w:val="14"/>
            </w:pPr>
            <w:r>
              <w:t>735元/生</w:t>
            </w:r>
          </w:p>
        </w:tc>
        <w:tc>
          <w:tcPr>
            <w:tcW w:w="1403" w:type="pct"/>
            <w:vAlign w:val="center"/>
          </w:tcPr>
          <w:p>
            <w:pPr>
              <w:pStyle w:val="14"/>
            </w:pPr>
            <w:r>
              <w:t>廊坊市财政局  廊坊市教育局关于提前下达2022城乡义务教育市级补助经费预算的通知廊财教[2021]50号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8" w:type="pct"/>
            <w:vAlign w:val="center"/>
          </w:tcPr>
          <w:p>
            <w:pPr>
              <w:pStyle w:val="15"/>
            </w:pPr>
            <w:r>
              <w:t>效益指标</w:t>
            </w:r>
          </w:p>
        </w:tc>
        <w:tc>
          <w:tcPr>
            <w:tcW w:w="516" w:type="pct"/>
            <w:vAlign w:val="center"/>
          </w:tcPr>
          <w:p>
            <w:pPr>
              <w:pStyle w:val="14"/>
            </w:pPr>
            <w:r>
              <w:t>社会效益指标</w:t>
            </w:r>
          </w:p>
        </w:tc>
        <w:tc>
          <w:tcPr>
            <w:tcW w:w="754" w:type="pct"/>
            <w:vAlign w:val="center"/>
          </w:tcPr>
          <w:p>
            <w:pPr>
              <w:pStyle w:val="14"/>
            </w:pPr>
            <w:r>
              <w:t>义务教育/学前教育高质量发展</w:t>
            </w:r>
          </w:p>
        </w:tc>
        <w:tc>
          <w:tcPr>
            <w:tcW w:w="1235" w:type="pct"/>
            <w:vAlign w:val="center"/>
          </w:tcPr>
          <w:p>
            <w:pPr>
              <w:pStyle w:val="14"/>
            </w:pPr>
            <w:r>
              <w:t>该资金用于学校正常运转，改善办学条件，促进义务教育/学前教育均衡发展及学生素质提高</w:t>
            </w:r>
          </w:p>
        </w:tc>
        <w:tc>
          <w:tcPr>
            <w:tcW w:w="681" w:type="pct"/>
            <w:vAlign w:val="center"/>
          </w:tcPr>
          <w:p>
            <w:pPr>
              <w:pStyle w:val="14"/>
            </w:pPr>
            <w:r>
              <w:t>支持</w:t>
            </w:r>
          </w:p>
        </w:tc>
        <w:tc>
          <w:tcPr>
            <w:tcW w:w="1403" w:type="pct"/>
            <w:vAlign w:val="center"/>
          </w:tcPr>
          <w:p>
            <w:pPr>
              <w:pStyle w:val="14"/>
            </w:pPr>
            <w:r>
              <w:t>廊财教[2021]50号文件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08" w:type="pct"/>
            <w:vAlign w:val="center"/>
          </w:tcPr>
          <w:p>
            <w:pPr>
              <w:pStyle w:val="15"/>
            </w:pPr>
            <w:r>
              <w:t>满意度指标</w:t>
            </w:r>
          </w:p>
        </w:tc>
        <w:tc>
          <w:tcPr>
            <w:tcW w:w="516" w:type="pct"/>
            <w:vAlign w:val="center"/>
          </w:tcPr>
          <w:p>
            <w:pPr>
              <w:pStyle w:val="14"/>
            </w:pPr>
            <w:r>
              <w:t>服务对象满意度指标</w:t>
            </w:r>
          </w:p>
        </w:tc>
        <w:tc>
          <w:tcPr>
            <w:tcW w:w="754" w:type="pct"/>
            <w:vAlign w:val="center"/>
          </w:tcPr>
          <w:p>
            <w:pPr>
              <w:pStyle w:val="14"/>
            </w:pPr>
            <w:r>
              <w:t>在校师生的满意程度</w:t>
            </w:r>
          </w:p>
        </w:tc>
        <w:tc>
          <w:tcPr>
            <w:tcW w:w="1235" w:type="pct"/>
            <w:vAlign w:val="center"/>
          </w:tcPr>
          <w:p>
            <w:pPr>
              <w:pStyle w:val="14"/>
            </w:pPr>
            <w:r>
              <w:t>在校师生的满意程度</w:t>
            </w:r>
          </w:p>
        </w:tc>
        <w:tc>
          <w:tcPr>
            <w:tcW w:w="681" w:type="pct"/>
            <w:vAlign w:val="center"/>
          </w:tcPr>
          <w:p>
            <w:pPr>
              <w:pStyle w:val="14"/>
            </w:pPr>
            <w:r>
              <w:t>≥90%</w:t>
            </w:r>
          </w:p>
        </w:tc>
        <w:tc>
          <w:tcPr>
            <w:tcW w:w="1403" w:type="pct"/>
            <w:vAlign w:val="center"/>
          </w:tcPr>
          <w:p>
            <w:pPr>
              <w:pStyle w:val="14"/>
            </w:pPr>
            <w:r>
              <w:t>调查问卷</w:t>
            </w:r>
          </w:p>
        </w:tc>
      </w:tr>
    </w:tbl>
    <w:p>
      <w:pPr>
        <w:sectPr>
          <w:pgSz w:w="16840" w:h="11900" w:orient="landscape"/>
          <w:pgMar w:top="1304" w:right="1984" w:bottom="1304" w:left="113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rPr>
          <w:rFonts w:hint="eastAsia" w:ascii="仿宋_GB2312" w:hAnsi="仿宋_GB2312" w:eastAsia="仿宋_GB2312" w:cs="仿宋_GB2312"/>
          <w:color w:val="000000"/>
          <w:sz w:val="28"/>
        </w:rPr>
      </w:pPr>
      <w:bookmarkStart w:id="3" w:name="_Toc_4_4_0000000006"/>
      <w:r>
        <w:rPr>
          <w:rFonts w:hint="eastAsia" w:ascii="仿宋_GB2312" w:hAnsi="仿宋_GB2312" w:eastAsia="仿宋_GB2312" w:cs="仿宋_GB2312"/>
          <w:color w:val="000000"/>
          <w:sz w:val="28"/>
        </w:rPr>
        <w:t>3.合同制教师人员经费绩效目标表</w:t>
      </w:r>
      <w:bookmarkEnd w:id="3"/>
    </w:p>
    <w:tbl>
      <w:tblPr>
        <w:tblStyle w:val="8"/>
        <w:tblW w:w="4998"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580"/>
        <w:gridCol w:w="1235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7" w:type="pct"/>
            <w:vAlign w:val="center"/>
          </w:tcPr>
          <w:p>
            <w:pPr>
              <w:pStyle w:val="12"/>
            </w:pPr>
            <w:r>
              <w:t>绩效目标</w:t>
            </w:r>
          </w:p>
        </w:tc>
        <w:tc>
          <w:tcPr>
            <w:tcW w:w="4432" w:type="pct"/>
            <w:vAlign w:val="center"/>
          </w:tcPr>
          <w:p>
            <w:pPr>
              <w:pStyle w:val="14"/>
            </w:pPr>
            <w:r>
              <w:t>1.缓解教师短缺，保障教育教学正常的进行</w:t>
            </w:r>
          </w:p>
          <w:p>
            <w:pPr>
              <w:pStyle w:val="14"/>
            </w:pPr>
            <w:r>
              <w:t>2.保障教学质量，提升教育水平</w:t>
            </w:r>
          </w:p>
          <w:p>
            <w:pPr>
              <w:pStyle w:val="14"/>
            </w:pPr>
            <w:r>
              <w:t>3.保障合同制教师工资福利待遇，并及时发放。</w:t>
            </w:r>
          </w:p>
          <w:p>
            <w:pPr>
              <w:pStyle w:val="14"/>
            </w:pPr>
            <w:r>
              <w:t>4.学生、学校、家长对合同制教师的满意度达到95%以上</w:t>
            </w:r>
          </w:p>
        </w:tc>
      </w:tr>
    </w:tbl>
    <w:p>
      <w:pPr>
        <w:spacing w:line="2" w:lineRule="exact"/>
        <w:jc w:val="center"/>
      </w:pPr>
      <w:r>
        <w:rPr>
          <w:rFonts w:ascii="方正书宋_GBK" w:hAnsi="方正书宋_GBK" w:eastAsia="方正书宋_GBK" w:cs="方正书宋_GBK"/>
          <w:color w:val="000000"/>
        </w:rPr>
        <w:t xml:space="preserve"> </w:t>
      </w:r>
    </w:p>
    <w:tbl>
      <w:tblPr>
        <w:tblStyle w:val="8"/>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580"/>
        <w:gridCol w:w="2398"/>
        <w:gridCol w:w="1991"/>
        <w:gridCol w:w="3304"/>
        <w:gridCol w:w="2250"/>
        <w:gridCol w:w="24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567" w:type="pct"/>
            <w:vAlign w:val="center"/>
          </w:tcPr>
          <w:p>
            <w:pPr>
              <w:pStyle w:val="12"/>
            </w:pPr>
            <w:r>
              <w:t>一级指标</w:t>
            </w:r>
          </w:p>
        </w:tc>
        <w:tc>
          <w:tcPr>
            <w:tcW w:w="860" w:type="pct"/>
            <w:vAlign w:val="center"/>
          </w:tcPr>
          <w:p>
            <w:pPr>
              <w:pStyle w:val="12"/>
            </w:pPr>
            <w:r>
              <w:t>二级指标</w:t>
            </w:r>
          </w:p>
        </w:tc>
        <w:tc>
          <w:tcPr>
            <w:tcW w:w="714" w:type="pct"/>
            <w:vAlign w:val="center"/>
          </w:tcPr>
          <w:p>
            <w:pPr>
              <w:pStyle w:val="12"/>
            </w:pPr>
            <w:r>
              <w:t>三级指标</w:t>
            </w:r>
          </w:p>
        </w:tc>
        <w:tc>
          <w:tcPr>
            <w:tcW w:w="1185" w:type="pct"/>
            <w:vAlign w:val="center"/>
          </w:tcPr>
          <w:p>
            <w:pPr>
              <w:pStyle w:val="12"/>
            </w:pPr>
            <w:r>
              <w:t>绩效指标描述</w:t>
            </w:r>
          </w:p>
        </w:tc>
        <w:tc>
          <w:tcPr>
            <w:tcW w:w="807" w:type="pct"/>
            <w:vAlign w:val="center"/>
          </w:tcPr>
          <w:p>
            <w:pPr>
              <w:pStyle w:val="12"/>
            </w:pPr>
            <w:r>
              <w:t>指标值</w:t>
            </w:r>
          </w:p>
        </w:tc>
        <w:tc>
          <w:tcPr>
            <w:tcW w:w="864" w:type="pct"/>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7" w:type="pct"/>
            <w:vMerge w:val="restart"/>
            <w:vAlign w:val="center"/>
          </w:tcPr>
          <w:p>
            <w:pPr>
              <w:pStyle w:val="15"/>
            </w:pPr>
            <w:r>
              <w:t>产出指标</w:t>
            </w:r>
          </w:p>
        </w:tc>
        <w:tc>
          <w:tcPr>
            <w:tcW w:w="860" w:type="pct"/>
            <w:vAlign w:val="center"/>
          </w:tcPr>
          <w:p>
            <w:pPr>
              <w:pStyle w:val="14"/>
            </w:pPr>
            <w:r>
              <w:t>数量指标</w:t>
            </w:r>
          </w:p>
        </w:tc>
        <w:tc>
          <w:tcPr>
            <w:tcW w:w="714" w:type="pct"/>
            <w:vAlign w:val="center"/>
          </w:tcPr>
          <w:p>
            <w:pPr>
              <w:pStyle w:val="14"/>
            </w:pPr>
            <w:r>
              <w:t>合同制教师在校人数</w:t>
            </w:r>
          </w:p>
        </w:tc>
        <w:tc>
          <w:tcPr>
            <w:tcW w:w="1185" w:type="pct"/>
            <w:vAlign w:val="center"/>
          </w:tcPr>
          <w:p>
            <w:pPr>
              <w:pStyle w:val="14"/>
            </w:pPr>
            <w:r>
              <w:t>保障2022合同制教师 2人工资福利</w:t>
            </w:r>
          </w:p>
        </w:tc>
        <w:tc>
          <w:tcPr>
            <w:tcW w:w="807" w:type="pct"/>
            <w:vAlign w:val="center"/>
          </w:tcPr>
          <w:p>
            <w:pPr>
              <w:pStyle w:val="14"/>
            </w:pPr>
            <w:r>
              <w:t>2人</w:t>
            </w:r>
          </w:p>
        </w:tc>
        <w:tc>
          <w:tcPr>
            <w:tcW w:w="864" w:type="pct"/>
            <w:vAlign w:val="center"/>
          </w:tcPr>
          <w:p>
            <w:pPr>
              <w:pStyle w:val="14"/>
            </w:pPr>
            <w:r>
              <w:t>廊广传【2021】19号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7" w:type="pct"/>
            <w:vMerge w:val="continue"/>
            <w:vAlign w:val="center"/>
          </w:tcPr>
          <w:p/>
        </w:tc>
        <w:tc>
          <w:tcPr>
            <w:tcW w:w="860" w:type="pct"/>
            <w:vAlign w:val="center"/>
          </w:tcPr>
          <w:p>
            <w:pPr>
              <w:pStyle w:val="14"/>
            </w:pPr>
            <w:r>
              <w:t>质量指标</w:t>
            </w:r>
          </w:p>
        </w:tc>
        <w:tc>
          <w:tcPr>
            <w:tcW w:w="714" w:type="pct"/>
            <w:vAlign w:val="center"/>
          </w:tcPr>
          <w:p>
            <w:pPr>
              <w:pStyle w:val="14"/>
            </w:pPr>
            <w:r>
              <w:t>合同制教师完成岗位目标</w:t>
            </w:r>
          </w:p>
        </w:tc>
        <w:tc>
          <w:tcPr>
            <w:tcW w:w="1185" w:type="pct"/>
            <w:vAlign w:val="center"/>
          </w:tcPr>
          <w:p>
            <w:pPr>
              <w:pStyle w:val="14"/>
            </w:pPr>
            <w:r>
              <w:t>不同学科合同制教师岗位目标明确，并得以执行</w:t>
            </w:r>
          </w:p>
        </w:tc>
        <w:tc>
          <w:tcPr>
            <w:tcW w:w="807" w:type="pct"/>
            <w:vAlign w:val="center"/>
          </w:tcPr>
          <w:p>
            <w:pPr>
              <w:pStyle w:val="14"/>
            </w:pPr>
            <w:r>
              <w:t>完成岗位目标职责</w:t>
            </w:r>
          </w:p>
        </w:tc>
        <w:tc>
          <w:tcPr>
            <w:tcW w:w="864" w:type="pct"/>
            <w:vAlign w:val="center"/>
          </w:tcPr>
          <w:p>
            <w:pPr>
              <w:pStyle w:val="14"/>
            </w:pPr>
            <w:r>
              <w:t>区在职教师考核办法文件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7" w:type="pct"/>
            <w:vMerge w:val="continue"/>
            <w:vAlign w:val="center"/>
          </w:tcPr>
          <w:p/>
        </w:tc>
        <w:tc>
          <w:tcPr>
            <w:tcW w:w="860" w:type="pct"/>
            <w:vAlign w:val="center"/>
          </w:tcPr>
          <w:p>
            <w:pPr>
              <w:pStyle w:val="14"/>
            </w:pPr>
            <w:r>
              <w:t>质量指标</w:t>
            </w:r>
          </w:p>
        </w:tc>
        <w:tc>
          <w:tcPr>
            <w:tcW w:w="714" w:type="pct"/>
            <w:vAlign w:val="center"/>
          </w:tcPr>
          <w:p>
            <w:pPr>
              <w:pStyle w:val="14"/>
            </w:pPr>
            <w:r>
              <w:t>合同制教师的考核合格率</w:t>
            </w:r>
          </w:p>
        </w:tc>
        <w:tc>
          <w:tcPr>
            <w:tcW w:w="1185" w:type="pct"/>
            <w:vAlign w:val="center"/>
          </w:tcPr>
          <w:p>
            <w:pPr>
              <w:pStyle w:val="14"/>
            </w:pPr>
            <w:r>
              <w:t>合格率达到100%</w:t>
            </w:r>
          </w:p>
        </w:tc>
        <w:tc>
          <w:tcPr>
            <w:tcW w:w="807" w:type="pct"/>
            <w:vAlign w:val="center"/>
          </w:tcPr>
          <w:p>
            <w:pPr>
              <w:pStyle w:val="14"/>
            </w:pPr>
            <w:r>
              <w:t>≥98%</w:t>
            </w:r>
          </w:p>
        </w:tc>
        <w:tc>
          <w:tcPr>
            <w:tcW w:w="864" w:type="pct"/>
            <w:vAlign w:val="center"/>
          </w:tcPr>
          <w:p>
            <w:pPr>
              <w:pStyle w:val="14"/>
            </w:pPr>
            <w:r>
              <w:t>区考核办法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7" w:type="pct"/>
            <w:vMerge w:val="continue"/>
            <w:vAlign w:val="center"/>
          </w:tcPr>
          <w:p/>
        </w:tc>
        <w:tc>
          <w:tcPr>
            <w:tcW w:w="860" w:type="pct"/>
            <w:vAlign w:val="center"/>
          </w:tcPr>
          <w:p>
            <w:pPr>
              <w:pStyle w:val="14"/>
            </w:pPr>
            <w:r>
              <w:t>时效指标</w:t>
            </w:r>
          </w:p>
        </w:tc>
        <w:tc>
          <w:tcPr>
            <w:tcW w:w="714" w:type="pct"/>
            <w:vAlign w:val="center"/>
          </w:tcPr>
          <w:p>
            <w:pPr>
              <w:pStyle w:val="14"/>
            </w:pPr>
            <w:r>
              <w:t>资金支出率（%）</w:t>
            </w:r>
          </w:p>
        </w:tc>
        <w:tc>
          <w:tcPr>
            <w:tcW w:w="1185" w:type="pct"/>
            <w:vAlign w:val="center"/>
          </w:tcPr>
          <w:p>
            <w:pPr>
              <w:pStyle w:val="14"/>
            </w:pPr>
            <w:r>
              <w:t>按月支付合同制教师工资及缴纳社会保障及住房公积金</w:t>
            </w:r>
          </w:p>
        </w:tc>
        <w:tc>
          <w:tcPr>
            <w:tcW w:w="807" w:type="pct"/>
            <w:vAlign w:val="center"/>
          </w:tcPr>
          <w:p>
            <w:pPr>
              <w:pStyle w:val="14"/>
            </w:pPr>
            <w:r>
              <w:t>≥95%</w:t>
            </w:r>
          </w:p>
        </w:tc>
        <w:tc>
          <w:tcPr>
            <w:tcW w:w="864" w:type="pct"/>
            <w:vAlign w:val="center"/>
          </w:tcPr>
          <w:p>
            <w:pPr>
              <w:pStyle w:val="14"/>
            </w:pPr>
            <w:r>
              <w:t>廊广传【2021】19号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7" w:type="pct"/>
            <w:vMerge w:val="continue"/>
            <w:vAlign w:val="center"/>
          </w:tcPr>
          <w:p/>
        </w:tc>
        <w:tc>
          <w:tcPr>
            <w:tcW w:w="860" w:type="pct"/>
            <w:vAlign w:val="center"/>
          </w:tcPr>
          <w:p>
            <w:pPr>
              <w:pStyle w:val="14"/>
            </w:pPr>
            <w:r>
              <w:t>成本指标</w:t>
            </w:r>
          </w:p>
        </w:tc>
        <w:tc>
          <w:tcPr>
            <w:tcW w:w="714" w:type="pct"/>
            <w:vAlign w:val="center"/>
          </w:tcPr>
          <w:p>
            <w:pPr>
              <w:pStyle w:val="14"/>
            </w:pPr>
            <w:r>
              <w:t>保障项目正常运行</w:t>
            </w:r>
          </w:p>
        </w:tc>
        <w:tc>
          <w:tcPr>
            <w:tcW w:w="1185" w:type="pct"/>
            <w:vAlign w:val="center"/>
          </w:tcPr>
          <w:p>
            <w:pPr>
              <w:pStyle w:val="14"/>
            </w:pPr>
            <w:r>
              <w:t>合同制教师薪酬测算标准</w:t>
            </w:r>
          </w:p>
        </w:tc>
        <w:tc>
          <w:tcPr>
            <w:tcW w:w="807" w:type="pct"/>
            <w:vAlign w:val="center"/>
          </w:tcPr>
          <w:p>
            <w:pPr>
              <w:pStyle w:val="14"/>
            </w:pPr>
            <w:r>
              <w:t>根据廊广传【2021】19号文件合同制教师与在职教师同工同酬</w:t>
            </w:r>
          </w:p>
        </w:tc>
        <w:tc>
          <w:tcPr>
            <w:tcW w:w="864" w:type="pct"/>
            <w:vAlign w:val="center"/>
          </w:tcPr>
          <w:p>
            <w:pPr>
              <w:pStyle w:val="14"/>
            </w:pPr>
            <w:r>
              <w:t>廊广传【2021】19号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7" w:type="pct"/>
            <w:vAlign w:val="center"/>
          </w:tcPr>
          <w:p>
            <w:pPr>
              <w:pStyle w:val="15"/>
            </w:pPr>
            <w:r>
              <w:t>效益指标</w:t>
            </w:r>
          </w:p>
        </w:tc>
        <w:tc>
          <w:tcPr>
            <w:tcW w:w="860" w:type="pct"/>
            <w:vAlign w:val="center"/>
          </w:tcPr>
          <w:p>
            <w:pPr>
              <w:pStyle w:val="14"/>
            </w:pPr>
            <w:r>
              <w:t>社会效益指标</w:t>
            </w:r>
          </w:p>
        </w:tc>
        <w:tc>
          <w:tcPr>
            <w:tcW w:w="714" w:type="pct"/>
            <w:vAlign w:val="center"/>
          </w:tcPr>
          <w:p>
            <w:pPr>
              <w:pStyle w:val="14"/>
            </w:pPr>
            <w:r>
              <w:t>缓解师资供需矛盾</w:t>
            </w:r>
          </w:p>
        </w:tc>
        <w:tc>
          <w:tcPr>
            <w:tcW w:w="1185" w:type="pct"/>
            <w:vAlign w:val="center"/>
          </w:tcPr>
          <w:p>
            <w:pPr>
              <w:pStyle w:val="14"/>
            </w:pPr>
            <w:r>
              <w:t>缓解教师短缺，保障教育教学正常的进行</w:t>
            </w:r>
          </w:p>
        </w:tc>
        <w:tc>
          <w:tcPr>
            <w:tcW w:w="807" w:type="pct"/>
            <w:vAlign w:val="center"/>
          </w:tcPr>
          <w:p>
            <w:pPr>
              <w:pStyle w:val="14"/>
            </w:pPr>
            <w:r>
              <w:t>缓解</w:t>
            </w:r>
          </w:p>
        </w:tc>
        <w:tc>
          <w:tcPr>
            <w:tcW w:w="864" w:type="pct"/>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7" w:type="pct"/>
            <w:vMerge w:val="restart"/>
            <w:vAlign w:val="center"/>
          </w:tcPr>
          <w:p>
            <w:pPr>
              <w:pStyle w:val="15"/>
            </w:pPr>
            <w:r>
              <w:t>满意度指标</w:t>
            </w:r>
          </w:p>
        </w:tc>
        <w:tc>
          <w:tcPr>
            <w:tcW w:w="860" w:type="pct"/>
            <w:vAlign w:val="center"/>
          </w:tcPr>
          <w:p>
            <w:pPr>
              <w:pStyle w:val="14"/>
            </w:pPr>
            <w:r>
              <w:t>服务对象满意度指标</w:t>
            </w:r>
          </w:p>
        </w:tc>
        <w:tc>
          <w:tcPr>
            <w:tcW w:w="714" w:type="pct"/>
            <w:vAlign w:val="center"/>
          </w:tcPr>
          <w:p>
            <w:pPr>
              <w:pStyle w:val="14"/>
            </w:pPr>
            <w:r>
              <w:t>学生满意度</w:t>
            </w:r>
          </w:p>
        </w:tc>
        <w:tc>
          <w:tcPr>
            <w:tcW w:w="1185" w:type="pct"/>
            <w:vAlign w:val="center"/>
          </w:tcPr>
          <w:p>
            <w:pPr>
              <w:pStyle w:val="14"/>
            </w:pPr>
            <w:r>
              <w:t>所教班级学生满意度</w:t>
            </w:r>
          </w:p>
        </w:tc>
        <w:tc>
          <w:tcPr>
            <w:tcW w:w="807" w:type="pct"/>
            <w:vAlign w:val="center"/>
          </w:tcPr>
          <w:p>
            <w:pPr>
              <w:pStyle w:val="14"/>
            </w:pPr>
            <w:r>
              <w:t>≥95%</w:t>
            </w:r>
          </w:p>
        </w:tc>
        <w:tc>
          <w:tcPr>
            <w:tcW w:w="864" w:type="pct"/>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7" w:type="pct"/>
            <w:vMerge w:val="continue"/>
            <w:vAlign w:val="center"/>
          </w:tcPr>
          <w:p/>
        </w:tc>
        <w:tc>
          <w:tcPr>
            <w:tcW w:w="860" w:type="pct"/>
            <w:vAlign w:val="center"/>
          </w:tcPr>
          <w:p>
            <w:pPr>
              <w:pStyle w:val="14"/>
            </w:pPr>
            <w:r>
              <w:t>服务对象满意度指标</w:t>
            </w:r>
          </w:p>
        </w:tc>
        <w:tc>
          <w:tcPr>
            <w:tcW w:w="714" w:type="pct"/>
            <w:vAlign w:val="center"/>
          </w:tcPr>
          <w:p>
            <w:pPr>
              <w:pStyle w:val="14"/>
            </w:pPr>
            <w:r>
              <w:t>学校满意度</w:t>
            </w:r>
          </w:p>
        </w:tc>
        <w:tc>
          <w:tcPr>
            <w:tcW w:w="1185" w:type="pct"/>
            <w:vAlign w:val="center"/>
          </w:tcPr>
          <w:p>
            <w:pPr>
              <w:pStyle w:val="14"/>
            </w:pPr>
            <w:r>
              <w:t>在校教师满意度</w:t>
            </w:r>
          </w:p>
        </w:tc>
        <w:tc>
          <w:tcPr>
            <w:tcW w:w="807" w:type="pct"/>
            <w:vAlign w:val="center"/>
          </w:tcPr>
          <w:p>
            <w:pPr>
              <w:pStyle w:val="14"/>
            </w:pPr>
            <w:r>
              <w:t>≥95%</w:t>
            </w:r>
          </w:p>
        </w:tc>
        <w:tc>
          <w:tcPr>
            <w:tcW w:w="864" w:type="pct"/>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7" w:type="pct"/>
            <w:vMerge w:val="continue"/>
            <w:vAlign w:val="center"/>
          </w:tcPr>
          <w:p/>
        </w:tc>
        <w:tc>
          <w:tcPr>
            <w:tcW w:w="860" w:type="pct"/>
            <w:vAlign w:val="center"/>
          </w:tcPr>
          <w:p>
            <w:pPr>
              <w:pStyle w:val="14"/>
            </w:pPr>
            <w:r>
              <w:t>服务对象满意度指标</w:t>
            </w:r>
          </w:p>
        </w:tc>
        <w:tc>
          <w:tcPr>
            <w:tcW w:w="714" w:type="pct"/>
            <w:vAlign w:val="center"/>
          </w:tcPr>
          <w:p>
            <w:pPr>
              <w:pStyle w:val="14"/>
            </w:pPr>
            <w:r>
              <w:t>家长满意度</w:t>
            </w:r>
          </w:p>
        </w:tc>
        <w:tc>
          <w:tcPr>
            <w:tcW w:w="1185" w:type="pct"/>
            <w:vAlign w:val="center"/>
          </w:tcPr>
          <w:p>
            <w:pPr>
              <w:pStyle w:val="14"/>
            </w:pPr>
            <w:r>
              <w:t>所教班级家长满意度</w:t>
            </w:r>
          </w:p>
        </w:tc>
        <w:tc>
          <w:tcPr>
            <w:tcW w:w="807" w:type="pct"/>
            <w:vAlign w:val="center"/>
          </w:tcPr>
          <w:p>
            <w:pPr>
              <w:pStyle w:val="14"/>
            </w:pPr>
            <w:r>
              <w:t>≥95%</w:t>
            </w:r>
          </w:p>
        </w:tc>
        <w:tc>
          <w:tcPr>
            <w:tcW w:w="864" w:type="pct"/>
            <w:vAlign w:val="center"/>
          </w:tcPr>
          <w:p>
            <w:pPr>
              <w:pStyle w:val="14"/>
            </w:pPr>
            <w:r>
              <w:t>调查问卷</w:t>
            </w:r>
          </w:p>
        </w:tc>
      </w:tr>
    </w:tbl>
    <w:p>
      <w:pPr>
        <w:sectPr>
          <w:pgSz w:w="16840" w:h="11900" w:orient="landscape"/>
          <w:pgMar w:top="1304" w:right="1984" w:bottom="1304" w:left="113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rPr>
          <w:rFonts w:hint="eastAsia" w:ascii="仿宋_GB2312" w:hAnsi="仿宋_GB2312" w:eastAsia="仿宋_GB2312" w:cs="仿宋_GB2312"/>
          <w:color w:val="000000"/>
          <w:sz w:val="28"/>
        </w:rPr>
      </w:pPr>
      <w:bookmarkStart w:id="4" w:name="_Toc_4_4_0000000007"/>
      <w:r>
        <w:rPr>
          <w:rFonts w:hint="eastAsia" w:ascii="仿宋_GB2312" w:hAnsi="仿宋_GB2312" w:eastAsia="仿宋_GB2312" w:cs="仿宋_GB2312"/>
          <w:color w:val="000000"/>
          <w:sz w:val="28"/>
        </w:rPr>
        <w:t>4.教育经费绩效目标表</w:t>
      </w:r>
      <w:bookmarkEnd w:id="4"/>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214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12"/>
            </w:pPr>
            <w:r>
              <w:t>绩效目标</w:t>
            </w:r>
          </w:p>
        </w:tc>
        <w:tc>
          <w:tcPr>
            <w:tcW w:w="4355" w:type="pct"/>
            <w:vAlign w:val="center"/>
          </w:tcPr>
          <w:p>
            <w:pPr>
              <w:pStyle w:val="14"/>
            </w:pPr>
            <w:r>
              <w:t>1.弥补办公经费不足，保障教育教学正常的进行。</w:t>
            </w:r>
          </w:p>
          <w:p>
            <w:pPr>
              <w:pStyle w:val="14"/>
            </w:pPr>
            <w:r>
              <w:t>2.改善办学条件，提高教育教学环境。</w:t>
            </w:r>
          </w:p>
          <w:p>
            <w:pPr>
              <w:pStyle w:val="14"/>
            </w:pPr>
            <w:r>
              <w:t>3.开展文化体育等社会活动，提高学校社会影响力。</w:t>
            </w:r>
          </w:p>
          <w:p>
            <w:pPr>
              <w:pStyle w:val="14"/>
            </w:pPr>
            <w:r>
              <w:t>4.开展教师培训，提高教师队伍水平。</w:t>
            </w:r>
          </w:p>
        </w:tc>
      </w:tr>
    </w:tbl>
    <w:p>
      <w:pPr>
        <w:spacing w:line="2" w:lineRule="exact"/>
        <w:jc w:val="center"/>
      </w:pPr>
      <w:r>
        <w:rPr>
          <w:rFonts w:ascii="方正书宋_GBK" w:hAnsi="方正书宋_GBK" w:eastAsia="方正书宋_GBK" w:cs="方正书宋_GBK"/>
          <w:color w:val="000000"/>
        </w:rPr>
        <w:t xml:space="preserve"> </w:t>
      </w:r>
    </w:p>
    <w:tbl>
      <w:tblPr>
        <w:tblStyle w:val="8"/>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4073"/>
        <w:gridCol w:w="1796"/>
        <w:gridCol w:w="25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4" w:type="pct"/>
            <w:vAlign w:val="center"/>
          </w:tcPr>
          <w:p>
            <w:pPr>
              <w:pStyle w:val="12"/>
            </w:pPr>
            <w:r>
              <w:t>一级指标</w:t>
            </w:r>
          </w:p>
        </w:tc>
        <w:tc>
          <w:tcPr>
            <w:tcW w:w="644" w:type="pct"/>
            <w:vAlign w:val="center"/>
          </w:tcPr>
          <w:p>
            <w:pPr>
              <w:pStyle w:val="12"/>
            </w:pPr>
            <w:r>
              <w:t>二级指标</w:t>
            </w:r>
          </w:p>
        </w:tc>
        <w:tc>
          <w:tcPr>
            <w:tcW w:w="673" w:type="pct"/>
            <w:vAlign w:val="center"/>
          </w:tcPr>
          <w:p>
            <w:pPr>
              <w:pStyle w:val="12"/>
            </w:pPr>
            <w:r>
              <w:t>三级指标</w:t>
            </w:r>
          </w:p>
        </w:tc>
        <w:tc>
          <w:tcPr>
            <w:tcW w:w="1461" w:type="pct"/>
            <w:vAlign w:val="center"/>
          </w:tcPr>
          <w:p>
            <w:pPr>
              <w:pStyle w:val="12"/>
            </w:pPr>
            <w:r>
              <w:t>绩效指标描述</w:t>
            </w:r>
          </w:p>
        </w:tc>
        <w:tc>
          <w:tcPr>
            <w:tcW w:w="644" w:type="pct"/>
            <w:vAlign w:val="center"/>
          </w:tcPr>
          <w:p>
            <w:pPr>
              <w:pStyle w:val="12"/>
            </w:pPr>
            <w:r>
              <w:t>指标值</w:t>
            </w:r>
          </w:p>
        </w:tc>
        <w:tc>
          <w:tcPr>
            <w:tcW w:w="931" w:type="pct"/>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15"/>
            </w:pPr>
            <w:r>
              <w:t>产出指标</w:t>
            </w:r>
          </w:p>
        </w:tc>
        <w:tc>
          <w:tcPr>
            <w:tcW w:w="644" w:type="pct"/>
            <w:vAlign w:val="center"/>
          </w:tcPr>
          <w:p>
            <w:pPr>
              <w:pStyle w:val="14"/>
            </w:pPr>
            <w:r>
              <w:t>数量指标</w:t>
            </w:r>
          </w:p>
        </w:tc>
        <w:tc>
          <w:tcPr>
            <w:tcW w:w="673" w:type="pct"/>
            <w:vAlign w:val="center"/>
          </w:tcPr>
          <w:p>
            <w:pPr>
              <w:pStyle w:val="14"/>
            </w:pPr>
            <w:r>
              <w:t>保12个月教学正常运转</w:t>
            </w:r>
          </w:p>
        </w:tc>
        <w:tc>
          <w:tcPr>
            <w:tcW w:w="1461" w:type="pct"/>
            <w:vAlign w:val="center"/>
          </w:tcPr>
          <w:p>
            <w:pPr>
              <w:pStyle w:val="14"/>
            </w:pPr>
            <w:r>
              <w:t>保障教学正常运转时长</w:t>
            </w:r>
          </w:p>
        </w:tc>
        <w:tc>
          <w:tcPr>
            <w:tcW w:w="644" w:type="pct"/>
            <w:vAlign w:val="center"/>
          </w:tcPr>
          <w:p>
            <w:pPr>
              <w:pStyle w:val="14"/>
            </w:pPr>
            <w:r>
              <w:t>12月</w:t>
            </w:r>
          </w:p>
        </w:tc>
        <w:tc>
          <w:tcPr>
            <w:tcW w:w="931" w:type="pct"/>
            <w:vAlign w:val="center"/>
          </w:tcPr>
          <w:p>
            <w:pPr>
              <w:pStyle w:val="14"/>
            </w:pPr>
            <w:r>
              <w:t>实际教学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4"/>
            </w:pPr>
            <w:r>
              <w:t>质量指标</w:t>
            </w:r>
          </w:p>
        </w:tc>
        <w:tc>
          <w:tcPr>
            <w:tcW w:w="673" w:type="pct"/>
            <w:vAlign w:val="center"/>
          </w:tcPr>
          <w:p>
            <w:pPr>
              <w:pStyle w:val="14"/>
            </w:pPr>
            <w:r>
              <w:t>物资采购合格率</w:t>
            </w:r>
          </w:p>
        </w:tc>
        <w:tc>
          <w:tcPr>
            <w:tcW w:w="1461" w:type="pct"/>
            <w:vAlign w:val="center"/>
          </w:tcPr>
          <w:p>
            <w:pPr>
              <w:pStyle w:val="14"/>
            </w:pPr>
            <w:r>
              <w:t>保障日常教学器材及物资充裕</w:t>
            </w:r>
          </w:p>
        </w:tc>
        <w:tc>
          <w:tcPr>
            <w:tcW w:w="644" w:type="pct"/>
            <w:vAlign w:val="center"/>
          </w:tcPr>
          <w:p>
            <w:pPr>
              <w:pStyle w:val="14"/>
            </w:pPr>
            <w:r>
              <w:t>100%</w:t>
            </w:r>
          </w:p>
        </w:tc>
        <w:tc>
          <w:tcPr>
            <w:tcW w:w="931" w:type="pct"/>
            <w:vAlign w:val="center"/>
          </w:tcPr>
          <w:p>
            <w:pPr>
              <w:pStyle w:val="14"/>
            </w:pPr>
            <w:r>
              <w:t>物资质量评价标准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4"/>
            </w:pPr>
            <w:r>
              <w:t>质量指标</w:t>
            </w:r>
          </w:p>
        </w:tc>
        <w:tc>
          <w:tcPr>
            <w:tcW w:w="673" w:type="pct"/>
            <w:vAlign w:val="center"/>
          </w:tcPr>
          <w:p>
            <w:pPr>
              <w:pStyle w:val="14"/>
            </w:pPr>
            <w:r>
              <w:t>上级下达学校的各项工作任务完成率</w:t>
            </w:r>
          </w:p>
        </w:tc>
        <w:tc>
          <w:tcPr>
            <w:tcW w:w="1461" w:type="pct"/>
            <w:vAlign w:val="center"/>
          </w:tcPr>
          <w:p>
            <w:pPr>
              <w:pStyle w:val="14"/>
            </w:pPr>
            <w:r>
              <w:t>保证完成上级下达学校的各项工作任务</w:t>
            </w:r>
          </w:p>
        </w:tc>
        <w:tc>
          <w:tcPr>
            <w:tcW w:w="644" w:type="pct"/>
            <w:vAlign w:val="center"/>
          </w:tcPr>
          <w:p>
            <w:pPr>
              <w:pStyle w:val="14"/>
            </w:pPr>
            <w:r>
              <w:t>100%</w:t>
            </w:r>
          </w:p>
        </w:tc>
        <w:tc>
          <w:tcPr>
            <w:tcW w:w="931" w:type="pct"/>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4"/>
            </w:pPr>
            <w:r>
              <w:t>时效指标</w:t>
            </w:r>
          </w:p>
        </w:tc>
        <w:tc>
          <w:tcPr>
            <w:tcW w:w="673" w:type="pct"/>
            <w:vAlign w:val="center"/>
          </w:tcPr>
          <w:p>
            <w:pPr>
              <w:pStyle w:val="14"/>
            </w:pPr>
            <w:r>
              <w:t>用于保障学校正常运转项目完成及时率</w:t>
            </w:r>
          </w:p>
        </w:tc>
        <w:tc>
          <w:tcPr>
            <w:tcW w:w="1461" w:type="pct"/>
            <w:vAlign w:val="center"/>
          </w:tcPr>
          <w:p>
            <w:pPr>
              <w:pStyle w:val="14"/>
            </w:pPr>
            <w:r>
              <w:t>及时提供的教学用品、保障教学设施、设备正常运行</w:t>
            </w:r>
          </w:p>
        </w:tc>
        <w:tc>
          <w:tcPr>
            <w:tcW w:w="644" w:type="pct"/>
            <w:vAlign w:val="center"/>
          </w:tcPr>
          <w:p>
            <w:pPr>
              <w:pStyle w:val="14"/>
            </w:pPr>
            <w:r>
              <w:t>100%</w:t>
            </w:r>
          </w:p>
        </w:tc>
        <w:tc>
          <w:tcPr>
            <w:tcW w:w="931" w:type="pct"/>
            <w:vAlign w:val="center"/>
          </w:tcPr>
          <w:p>
            <w:pPr>
              <w:pStyle w:val="14"/>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15"/>
            </w:pPr>
            <w:r>
              <w:t>效益指标</w:t>
            </w:r>
          </w:p>
        </w:tc>
        <w:tc>
          <w:tcPr>
            <w:tcW w:w="644" w:type="pct"/>
            <w:vAlign w:val="center"/>
          </w:tcPr>
          <w:p>
            <w:pPr>
              <w:pStyle w:val="14"/>
            </w:pPr>
            <w:r>
              <w:t>社会效益指标</w:t>
            </w:r>
          </w:p>
        </w:tc>
        <w:tc>
          <w:tcPr>
            <w:tcW w:w="673" w:type="pct"/>
            <w:vAlign w:val="center"/>
          </w:tcPr>
          <w:p>
            <w:pPr>
              <w:pStyle w:val="14"/>
            </w:pPr>
            <w:r>
              <w:t>义务教育高质量发展</w:t>
            </w:r>
          </w:p>
        </w:tc>
        <w:tc>
          <w:tcPr>
            <w:tcW w:w="1461" w:type="pct"/>
            <w:vAlign w:val="center"/>
          </w:tcPr>
          <w:p>
            <w:pPr>
              <w:pStyle w:val="14"/>
            </w:pPr>
            <w:r>
              <w:t>推动义务教育从数量扩张向质量提高转变</w:t>
            </w:r>
          </w:p>
        </w:tc>
        <w:tc>
          <w:tcPr>
            <w:tcW w:w="644" w:type="pct"/>
            <w:vAlign w:val="center"/>
          </w:tcPr>
          <w:p>
            <w:pPr>
              <w:pStyle w:val="14"/>
            </w:pPr>
            <w:r>
              <w:t>提高</w:t>
            </w:r>
          </w:p>
        </w:tc>
        <w:tc>
          <w:tcPr>
            <w:tcW w:w="931" w:type="pct"/>
            <w:vAlign w:val="center"/>
          </w:tcPr>
          <w:p>
            <w:pPr>
              <w:pStyle w:val="14"/>
            </w:pPr>
            <w: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15"/>
            </w:pPr>
            <w:r>
              <w:t>满意度指标</w:t>
            </w:r>
          </w:p>
        </w:tc>
        <w:tc>
          <w:tcPr>
            <w:tcW w:w="644" w:type="pct"/>
            <w:vAlign w:val="center"/>
          </w:tcPr>
          <w:p>
            <w:pPr>
              <w:pStyle w:val="14"/>
            </w:pPr>
            <w:r>
              <w:t>服务对象满意度指标</w:t>
            </w:r>
          </w:p>
        </w:tc>
        <w:tc>
          <w:tcPr>
            <w:tcW w:w="673" w:type="pct"/>
            <w:vAlign w:val="center"/>
          </w:tcPr>
          <w:p>
            <w:pPr>
              <w:pStyle w:val="14"/>
            </w:pPr>
            <w:r>
              <w:t>在校师生的满意程度</w:t>
            </w:r>
          </w:p>
        </w:tc>
        <w:tc>
          <w:tcPr>
            <w:tcW w:w="1461" w:type="pct"/>
            <w:vAlign w:val="center"/>
          </w:tcPr>
          <w:p>
            <w:pPr>
              <w:pStyle w:val="14"/>
            </w:pPr>
            <w:r>
              <w:t>在校师生的满意程度</w:t>
            </w:r>
          </w:p>
        </w:tc>
        <w:tc>
          <w:tcPr>
            <w:tcW w:w="644" w:type="pct"/>
            <w:vAlign w:val="center"/>
          </w:tcPr>
          <w:p>
            <w:pPr>
              <w:pStyle w:val="14"/>
            </w:pPr>
            <w:r>
              <w:t>≥95%</w:t>
            </w:r>
          </w:p>
        </w:tc>
        <w:tc>
          <w:tcPr>
            <w:tcW w:w="931" w:type="pct"/>
            <w:vAlign w:val="center"/>
          </w:tcPr>
          <w:p>
            <w:pPr>
              <w:pStyle w:val="14"/>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tc>
        <w:tc>
          <w:tcPr>
            <w:tcW w:w="644" w:type="pct"/>
            <w:vAlign w:val="center"/>
          </w:tcPr>
          <w:p>
            <w:pPr>
              <w:pStyle w:val="14"/>
            </w:pPr>
            <w:r>
              <w:t>服务对象满意度指标</w:t>
            </w:r>
          </w:p>
        </w:tc>
        <w:tc>
          <w:tcPr>
            <w:tcW w:w="673" w:type="pct"/>
            <w:vAlign w:val="center"/>
          </w:tcPr>
          <w:p>
            <w:pPr>
              <w:pStyle w:val="14"/>
            </w:pPr>
            <w:r>
              <w:t>家长的满意程度</w:t>
            </w:r>
          </w:p>
        </w:tc>
        <w:tc>
          <w:tcPr>
            <w:tcW w:w="1461" w:type="pct"/>
            <w:vAlign w:val="center"/>
          </w:tcPr>
          <w:p>
            <w:pPr>
              <w:pStyle w:val="14"/>
            </w:pPr>
            <w:r>
              <w:t>家长的满意程度</w:t>
            </w:r>
          </w:p>
        </w:tc>
        <w:tc>
          <w:tcPr>
            <w:tcW w:w="644" w:type="pct"/>
            <w:vAlign w:val="center"/>
          </w:tcPr>
          <w:p>
            <w:pPr>
              <w:pStyle w:val="14"/>
            </w:pPr>
            <w:r>
              <w:t>≥95%</w:t>
            </w:r>
          </w:p>
        </w:tc>
        <w:tc>
          <w:tcPr>
            <w:tcW w:w="931" w:type="pct"/>
            <w:vAlign w:val="center"/>
          </w:tcPr>
          <w:p>
            <w:pPr>
              <w:pStyle w:val="14"/>
            </w:pPr>
            <w:r>
              <w:t>调查问卷</w:t>
            </w:r>
          </w:p>
        </w:tc>
      </w:tr>
    </w:tbl>
    <w:p>
      <w:pPr>
        <w:sectPr>
          <w:pgSz w:w="16840" w:h="11900" w:orient="landscape"/>
          <w:pgMar w:top="1304" w:right="1984" w:bottom="1304" w:left="113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rPr>
          <w:rFonts w:hint="eastAsia" w:ascii="仿宋_GB2312" w:hAnsi="仿宋_GB2312" w:eastAsia="仿宋_GB2312" w:cs="仿宋_GB2312"/>
          <w:color w:val="000000"/>
          <w:sz w:val="28"/>
        </w:rPr>
      </w:pPr>
      <w:bookmarkStart w:id="5" w:name="_Toc_4_4_0000000008"/>
      <w:r>
        <w:rPr>
          <w:rFonts w:hint="eastAsia" w:ascii="仿宋_GB2312" w:hAnsi="仿宋_GB2312" w:eastAsia="仿宋_GB2312" w:cs="仿宋_GB2312"/>
          <w:color w:val="000000"/>
          <w:sz w:val="28"/>
        </w:rPr>
        <w:t>5.幼儿园生均经费绩效目标表</w:t>
      </w:r>
      <w:bookmarkEnd w:id="5"/>
    </w:p>
    <w:tbl>
      <w:tblPr>
        <w:tblStyle w:val="8"/>
        <w:tblW w:w="4997"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
        <w:gridCol w:w="1510"/>
        <w:gridCol w:w="2134"/>
        <w:gridCol w:w="1904"/>
        <w:gridCol w:w="4140"/>
        <w:gridCol w:w="1825"/>
        <w:gridCol w:w="2649"/>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34" w:type="pct"/>
            <w:gridSpan w:val="2"/>
            <w:vAlign w:val="center"/>
          </w:tcPr>
          <w:p>
            <w:pPr>
              <w:pStyle w:val="12"/>
              <w:keepNext w:val="0"/>
              <w:keepLines w:val="0"/>
              <w:pageBreakBefore w:val="0"/>
              <w:kinsoku/>
              <w:wordWrap/>
              <w:overflowPunct/>
              <w:topLinePunct w:val="0"/>
              <w:autoSpaceDE/>
              <w:autoSpaceDN/>
              <w:bidi w:val="0"/>
              <w:adjustRightInd/>
              <w:snapToGrid/>
              <w:spacing w:line="400" w:lineRule="exact"/>
              <w:textAlignment w:val="auto"/>
            </w:pPr>
            <w:r>
              <w:t>绩效目标</w:t>
            </w:r>
          </w:p>
        </w:tc>
        <w:tc>
          <w:tcPr>
            <w:tcW w:w="4465" w:type="pct"/>
            <w:gridSpan w:val="5"/>
            <w:vAlign w:val="center"/>
          </w:tcPr>
          <w:p>
            <w:pPr>
              <w:pStyle w:val="14"/>
              <w:keepNext w:val="0"/>
              <w:keepLines w:val="0"/>
              <w:pageBreakBefore w:val="0"/>
              <w:kinsoku/>
              <w:wordWrap/>
              <w:overflowPunct/>
              <w:topLinePunct w:val="0"/>
              <w:autoSpaceDE/>
              <w:autoSpaceDN/>
              <w:bidi w:val="0"/>
              <w:adjustRightInd/>
              <w:snapToGrid/>
              <w:spacing w:line="400" w:lineRule="exact"/>
              <w:textAlignment w:val="auto"/>
            </w:pPr>
            <w:r>
              <w:t>1.弥补办公经费不足，保障教育教学正常的进行。</w:t>
            </w:r>
          </w:p>
          <w:p>
            <w:pPr>
              <w:pStyle w:val="14"/>
              <w:keepNext w:val="0"/>
              <w:keepLines w:val="0"/>
              <w:pageBreakBefore w:val="0"/>
              <w:kinsoku/>
              <w:wordWrap/>
              <w:overflowPunct/>
              <w:topLinePunct w:val="0"/>
              <w:autoSpaceDE/>
              <w:autoSpaceDN/>
              <w:bidi w:val="0"/>
              <w:adjustRightInd/>
              <w:snapToGrid/>
              <w:spacing w:line="400" w:lineRule="exact"/>
              <w:textAlignment w:val="auto"/>
            </w:pPr>
            <w:r>
              <w:t>2.改善办学条件，提高教育教学环境。</w:t>
            </w:r>
          </w:p>
          <w:p>
            <w:pPr>
              <w:pStyle w:val="14"/>
              <w:keepNext w:val="0"/>
              <w:keepLines w:val="0"/>
              <w:pageBreakBefore w:val="0"/>
              <w:kinsoku/>
              <w:wordWrap/>
              <w:overflowPunct/>
              <w:topLinePunct w:val="0"/>
              <w:autoSpaceDE/>
              <w:autoSpaceDN/>
              <w:bidi w:val="0"/>
              <w:adjustRightInd/>
              <w:snapToGrid/>
              <w:spacing w:line="400" w:lineRule="exact"/>
              <w:textAlignment w:val="auto"/>
            </w:pPr>
            <w:r>
              <w:t>3.开展文化体育等社会活动，提高学校社会影响力。</w:t>
            </w:r>
          </w:p>
          <w:p>
            <w:pPr>
              <w:pStyle w:val="14"/>
              <w:keepNext w:val="0"/>
              <w:keepLines w:val="0"/>
              <w:pageBreakBefore w:val="0"/>
              <w:kinsoku/>
              <w:wordWrap/>
              <w:overflowPunct/>
              <w:topLinePunct w:val="0"/>
              <w:autoSpaceDE/>
              <w:autoSpaceDN/>
              <w:bidi w:val="0"/>
              <w:adjustRightInd/>
              <w:snapToGrid/>
              <w:spacing w:line="400" w:lineRule="exact"/>
              <w:textAlignment w:val="auto"/>
            </w:pPr>
            <w:r>
              <w:t>4.开展教师培训，提高教师队伍水平。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 w:type="pct"/>
          <w:trHeight w:val="397" w:hRule="atLeast"/>
          <w:tblHeader/>
          <w:jc w:val="center"/>
        </w:trPr>
        <w:tc>
          <w:tcPr>
            <w:tcW w:w="533" w:type="pct"/>
            <w:vAlign w:val="center"/>
          </w:tcPr>
          <w:p>
            <w:pPr>
              <w:pStyle w:val="12"/>
              <w:keepNext w:val="0"/>
              <w:keepLines w:val="0"/>
              <w:pageBreakBefore w:val="0"/>
              <w:kinsoku/>
              <w:wordWrap/>
              <w:overflowPunct/>
              <w:topLinePunct w:val="0"/>
              <w:autoSpaceDE/>
              <w:autoSpaceDN/>
              <w:bidi w:val="0"/>
              <w:adjustRightInd/>
              <w:snapToGrid/>
              <w:spacing w:line="400" w:lineRule="exact"/>
              <w:textAlignment w:val="auto"/>
            </w:pPr>
            <w:r>
              <w:t>一级指标</w:t>
            </w:r>
          </w:p>
        </w:tc>
        <w:tc>
          <w:tcPr>
            <w:tcW w:w="753" w:type="pct"/>
            <w:vAlign w:val="center"/>
          </w:tcPr>
          <w:p>
            <w:pPr>
              <w:pStyle w:val="12"/>
              <w:keepNext w:val="0"/>
              <w:keepLines w:val="0"/>
              <w:pageBreakBefore w:val="0"/>
              <w:kinsoku/>
              <w:wordWrap/>
              <w:overflowPunct/>
              <w:topLinePunct w:val="0"/>
              <w:autoSpaceDE/>
              <w:autoSpaceDN/>
              <w:bidi w:val="0"/>
              <w:adjustRightInd/>
              <w:snapToGrid/>
              <w:spacing w:line="400" w:lineRule="exact"/>
              <w:textAlignment w:val="auto"/>
            </w:pPr>
            <w:r>
              <w:t>二级指标</w:t>
            </w:r>
          </w:p>
        </w:tc>
        <w:tc>
          <w:tcPr>
            <w:tcW w:w="672" w:type="pct"/>
            <w:vAlign w:val="center"/>
          </w:tcPr>
          <w:p>
            <w:pPr>
              <w:pStyle w:val="12"/>
              <w:keepNext w:val="0"/>
              <w:keepLines w:val="0"/>
              <w:pageBreakBefore w:val="0"/>
              <w:kinsoku/>
              <w:wordWrap/>
              <w:overflowPunct/>
              <w:topLinePunct w:val="0"/>
              <w:autoSpaceDE/>
              <w:autoSpaceDN/>
              <w:bidi w:val="0"/>
              <w:adjustRightInd/>
              <w:snapToGrid/>
              <w:spacing w:line="400" w:lineRule="exact"/>
              <w:textAlignment w:val="auto"/>
            </w:pPr>
            <w:r>
              <w:t>三级指标</w:t>
            </w:r>
          </w:p>
        </w:tc>
        <w:tc>
          <w:tcPr>
            <w:tcW w:w="1461" w:type="pct"/>
            <w:vAlign w:val="center"/>
          </w:tcPr>
          <w:p>
            <w:pPr>
              <w:pStyle w:val="12"/>
              <w:keepNext w:val="0"/>
              <w:keepLines w:val="0"/>
              <w:pageBreakBefore w:val="0"/>
              <w:kinsoku/>
              <w:wordWrap/>
              <w:overflowPunct/>
              <w:topLinePunct w:val="0"/>
              <w:autoSpaceDE/>
              <w:autoSpaceDN/>
              <w:bidi w:val="0"/>
              <w:adjustRightInd/>
              <w:snapToGrid/>
              <w:spacing w:line="400" w:lineRule="exact"/>
              <w:textAlignment w:val="auto"/>
            </w:pPr>
            <w:r>
              <w:t>绩效指标描述</w:t>
            </w:r>
          </w:p>
        </w:tc>
        <w:tc>
          <w:tcPr>
            <w:tcW w:w="644" w:type="pct"/>
            <w:vAlign w:val="center"/>
          </w:tcPr>
          <w:p>
            <w:pPr>
              <w:pStyle w:val="12"/>
              <w:keepNext w:val="0"/>
              <w:keepLines w:val="0"/>
              <w:pageBreakBefore w:val="0"/>
              <w:kinsoku/>
              <w:wordWrap/>
              <w:overflowPunct/>
              <w:topLinePunct w:val="0"/>
              <w:autoSpaceDE/>
              <w:autoSpaceDN/>
              <w:bidi w:val="0"/>
              <w:adjustRightInd/>
              <w:snapToGrid/>
              <w:spacing w:line="400" w:lineRule="exact"/>
              <w:textAlignment w:val="auto"/>
            </w:pPr>
            <w:r>
              <w:t>指标值</w:t>
            </w:r>
          </w:p>
        </w:tc>
        <w:tc>
          <w:tcPr>
            <w:tcW w:w="933" w:type="pct"/>
            <w:vAlign w:val="center"/>
          </w:tcPr>
          <w:p>
            <w:pPr>
              <w:pStyle w:val="12"/>
              <w:keepNext w:val="0"/>
              <w:keepLines w:val="0"/>
              <w:pageBreakBefore w:val="0"/>
              <w:kinsoku/>
              <w:wordWrap/>
              <w:overflowPunct/>
              <w:topLinePunct w:val="0"/>
              <w:autoSpaceDE/>
              <w:autoSpaceDN/>
              <w:bidi w:val="0"/>
              <w:adjustRightInd/>
              <w:snapToGrid/>
              <w:spacing w:line="400" w:lineRule="exact"/>
              <w:textAlignment w:val="auto"/>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 w:type="pct"/>
          <w:trHeight w:val="369" w:hRule="atLeast"/>
          <w:jc w:val="center"/>
        </w:trPr>
        <w:tc>
          <w:tcPr>
            <w:tcW w:w="533" w:type="pct"/>
            <w:vMerge w:val="restart"/>
            <w:vAlign w:val="center"/>
          </w:tcPr>
          <w:p>
            <w:pPr>
              <w:pStyle w:val="15"/>
              <w:keepNext w:val="0"/>
              <w:keepLines w:val="0"/>
              <w:pageBreakBefore w:val="0"/>
              <w:kinsoku/>
              <w:wordWrap/>
              <w:overflowPunct/>
              <w:topLinePunct w:val="0"/>
              <w:autoSpaceDE/>
              <w:autoSpaceDN/>
              <w:bidi w:val="0"/>
              <w:adjustRightInd/>
              <w:snapToGrid/>
              <w:spacing w:line="400" w:lineRule="exact"/>
              <w:textAlignment w:val="auto"/>
            </w:pPr>
            <w:r>
              <w:t>产出指标</w:t>
            </w:r>
          </w:p>
        </w:tc>
        <w:tc>
          <w:tcPr>
            <w:tcW w:w="753" w:type="pct"/>
            <w:vAlign w:val="center"/>
          </w:tcPr>
          <w:p>
            <w:pPr>
              <w:pStyle w:val="14"/>
              <w:keepNext w:val="0"/>
              <w:keepLines w:val="0"/>
              <w:pageBreakBefore w:val="0"/>
              <w:kinsoku/>
              <w:wordWrap/>
              <w:overflowPunct/>
              <w:topLinePunct w:val="0"/>
              <w:autoSpaceDE/>
              <w:autoSpaceDN/>
              <w:bidi w:val="0"/>
              <w:adjustRightInd/>
              <w:snapToGrid/>
              <w:spacing w:line="400" w:lineRule="exact"/>
              <w:textAlignment w:val="auto"/>
            </w:pPr>
            <w:r>
              <w:t>数量指标</w:t>
            </w:r>
          </w:p>
        </w:tc>
        <w:tc>
          <w:tcPr>
            <w:tcW w:w="672" w:type="pct"/>
            <w:vAlign w:val="center"/>
          </w:tcPr>
          <w:p>
            <w:pPr>
              <w:pStyle w:val="14"/>
              <w:keepNext w:val="0"/>
              <w:keepLines w:val="0"/>
              <w:pageBreakBefore w:val="0"/>
              <w:kinsoku/>
              <w:wordWrap/>
              <w:overflowPunct/>
              <w:topLinePunct w:val="0"/>
              <w:autoSpaceDE/>
              <w:autoSpaceDN/>
              <w:bidi w:val="0"/>
              <w:adjustRightInd/>
              <w:snapToGrid/>
              <w:spacing w:line="400" w:lineRule="exact"/>
              <w:textAlignment w:val="auto"/>
            </w:pPr>
            <w:r>
              <w:t>保12个月教学正常运转</w:t>
            </w:r>
          </w:p>
        </w:tc>
        <w:tc>
          <w:tcPr>
            <w:tcW w:w="1461" w:type="pct"/>
            <w:vAlign w:val="center"/>
          </w:tcPr>
          <w:p>
            <w:pPr>
              <w:pStyle w:val="14"/>
              <w:keepNext w:val="0"/>
              <w:keepLines w:val="0"/>
              <w:pageBreakBefore w:val="0"/>
              <w:kinsoku/>
              <w:wordWrap/>
              <w:overflowPunct/>
              <w:topLinePunct w:val="0"/>
              <w:autoSpaceDE/>
              <w:autoSpaceDN/>
              <w:bidi w:val="0"/>
              <w:adjustRightInd/>
              <w:snapToGrid/>
              <w:spacing w:line="400" w:lineRule="exact"/>
              <w:textAlignment w:val="auto"/>
            </w:pPr>
            <w:r>
              <w:t>保障教学正常运转时长</w:t>
            </w:r>
          </w:p>
        </w:tc>
        <w:tc>
          <w:tcPr>
            <w:tcW w:w="644" w:type="pct"/>
            <w:vAlign w:val="center"/>
          </w:tcPr>
          <w:p>
            <w:pPr>
              <w:pStyle w:val="14"/>
              <w:keepNext w:val="0"/>
              <w:keepLines w:val="0"/>
              <w:pageBreakBefore w:val="0"/>
              <w:kinsoku/>
              <w:wordWrap/>
              <w:overflowPunct/>
              <w:topLinePunct w:val="0"/>
              <w:autoSpaceDE/>
              <w:autoSpaceDN/>
              <w:bidi w:val="0"/>
              <w:adjustRightInd/>
              <w:snapToGrid/>
              <w:spacing w:line="400" w:lineRule="exact"/>
              <w:textAlignment w:val="auto"/>
            </w:pPr>
            <w:r>
              <w:t>12月</w:t>
            </w:r>
          </w:p>
        </w:tc>
        <w:tc>
          <w:tcPr>
            <w:tcW w:w="933" w:type="pct"/>
            <w:vAlign w:val="center"/>
          </w:tcPr>
          <w:p>
            <w:pPr>
              <w:pStyle w:val="14"/>
              <w:keepNext w:val="0"/>
              <w:keepLines w:val="0"/>
              <w:pageBreakBefore w:val="0"/>
              <w:kinsoku/>
              <w:wordWrap/>
              <w:overflowPunct/>
              <w:topLinePunct w:val="0"/>
              <w:autoSpaceDE/>
              <w:autoSpaceDN/>
              <w:bidi w:val="0"/>
              <w:adjustRightInd/>
              <w:snapToGrid/>
              <w:spacing w:line="400" w:lineRule="exact"/>
              <w:textAlignment w:val="auto"/>
            </w:pPr>
            <w:r>
              <w:t>实际教学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 w:type="pct"/>
          <w:trHeight w:val="369" w:hRule="atLeast"/>
          <w:jc w:val="center"/>
        </w:trPr>
        <w:tc>
          <w:tcPr>
            <w:tcW w:w="533" w:type="pct"/>
            <w:vMerge w:val="continue"/>
            <w:vAlign w:val="center"/>
          </w:tcPr>
          <w:p>
            <w:pPr>
              <w:keepNext w:val="0"/>
              <w:keepLines w:val="0"/>
              <w:pageBreakBefore w:val="0"/>
              <w:kinsoku/>
              <w:wordWrap/>
              <w:overflowPunct/>
              <w:topLinePunct w:val="0"/>
              <w:autoSpaceDE/>
              <w:autoSpaceDN/>
              <w:bidi w:val="0"/>
              <w:adjustRightInd/>
              <w:snapToGrid/>
              <w:spacing w:line="400" w:lineRule="exact"/>
              <w:textAlignment w:val="auto"/>
            </w:pPr>
          </w:p>
        </w:tc>
        <w:tc>
          <w:tcPr>
            <w:tcW w:w="753" w:type="pct"/>
            <w:vAlign w:val="center"/>
          </w:tcPr>
          <w:p>
            <w:pPr>
              <w:pStyle w:val="14"/>
              <w:keepNext w:val="0"/>
              <w:keepLines w:val="0"/>
              <w:pageBreakBefore w:val="0"/>
              <w:kinsoku/>
              <w:wordWrap/>
              <w:overflowPunct/>
              <w:topLinePunct w:val="0"/>
              <w:autoSpaceDE/>
              <w:autoSpaceDN/>
              <w:bidi w:val="0"/>
              <w:adjustRightInd/>
              <w:snapToGrid/>
              <w:spacing w:line="400" w:lineRule="exact"/>
              <w:textAlignment w:val="auto"/>
            </w:pPr>
            <w:r>
              <w:t>质量指标</w:t>
            </w:r>
          </w:p>
        </w:tc>
        <w:tc>
          <w:tcPr>
            <w:tcW w:w="672" w:type="pct"/>
            <w:vAlign w:val="center"/>
          </w:tcPr>
          <w:p>
            <w:pPr>
              <w:pStyle w:val="14"/>
              <w:keepNext w:val="0"/>
              <w:keepLines w:val="0"/>
              <w:pageBreakBefore w:val="0"/>
              <w:kinsoku/>
              <w:wordWrap/>
              <w:overflowPunct/>
              <w:topLinePunct w:val="0"/>
              <w:autoSpaceDE/>
              <w:autoSpaceDN/>
              <w:bidi w:val="0"/>
              <w:adjustRightInd/>
              <w:snapToGrid/>
              <w:spacing w:line="400" w:lineRule="exact"/>
              <w:textAlignment w:val="auto"/>
            </w:pPr>
            <w:r>
              <w:t>物资采购合格率</w:t>
            </w:r>
          </w:p>
        </w:tc>
        <w:tc>
          <w:tcPr>
            <w:tcW w:w="1461" w:type="pct"/>
            <w:vAlign w:val="center"/>
          </w:tcPr>
          <w:p>
            <w:pPr>
              <w:pStyle w:val="14"/>
              <w:keepNext w:val="0"/>
              <w:keepLines w:val="0"/>
              <w:pageBreakBefore w:val="0"/>
              <w:kinsoku/>
              <w:wordWrap/>
              <w:overflowPunct/>
              <w:topLinePunct w:val="0"/>
              <w:autoSpaceDE/>
              <w:autoSpaceDN/>
              <w:bidi w:val="0"/>
              <w:adjustRightInd/>
              <w:snapToGrid/>
              <w:spacing w:line="400" w:lineRule="exact"/>
              <w:textAlignment w:val="auto"/>
            </w:pPr>
            <w:r>
              <w:t>保障日常教学器材及物资充裕</w:t>
            </w:r>
          </w:p>
        </w:tc>
        <w:tc>
          <w:tcPr>
            <w:tcW w:w="644" w:type="pct"/>
            <w:vAlign w:val="center"/>
          </w:tcPr>
          <w:p>
            <w:pPr>
              <w:pStyle w:val="14"/>
              <w:keepNext w:val="0"/>
              <w:keepLines w:val="0"/>
              <w:pageBreakBefore w:val="0"/>
              <w:kinsoku/>
              <w:wordWrap/>
              <w:overflowPunct/>
              <w:topLinePunct w:val="0"/>
              <w:autoSpaceDE/>
              <w:autoSpaceDN/>
              <w:bidi w:val="0"/>
              <w:adjustRightInd/>
              <w:snapToGrid/>
              <w:spacing w:line="400" w:lineRule="exact"/>
              <w:textAlignment w:val="auto"/>
            </w:pPr>
            <w:r>
              <w:t>100%</w:t>
            </w:r>
          </w:p>
        </w:tc>
        <w:tc>
          <w:tcPr>
            <w:tcW w:w="933" w:type="pct"/>
            <w:vAlign w:val="center"/>
          </w:tcPr>
          <w:p>
            <w:pPr>
              <w:pStyle w:val="14"/>
              <w:keepNext w:val="0"/>
              <w:keepLines w:val="0"/>
              <w:pageBreakBefore w:val="0"/>
              <w:kinsoku/>
              <w:wordWrap/>
              <w:overflowPunct/>
              <w:topLinePunct w:val="0"/>
              <w:autoSpaceDE/>
              <w:autoSpaceDN/>
              <w:bidi w:val="0"/>
              <w:adjustRightInd/>
              <w:snapToGrid/>
              <w:spacing w:line="400" w:lineRule="exact"/>
              <w:textAlignment w:val="auto"/>
            </w:pPr>
            <w:r>
              <w:t>物资质量评价标准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 w:type="pct"/>
          <w:trHeight w:val="369" w:hRule="atLeast"/>
          <w:jc w:val="center"/>
        </w:trPr>
        <w:tc>
          <w:tcPr>
            <w:tcW w:w="533" w:type="pct"/>
            <w:vMerge w:val="continue"/>
            <w:vAlign w:val="center"/>
          </w:tcPr>
          <w:p>
            <w:pPr>
              <w:keepNext w:val="0"/>
              <w:keepLines w:val="0"/>
              <w:pageBreakBefore w:val="0"/>
              <w:kinsoku/>
              <w:wordWrap/>
              <w:overflowPunct/>
              <w:topLinePunct w:val="0"/>
              <w:autoSpaceDE/>
              <w:autoSpaceDN/>
              <w:bidi w:val="0"/>
              <w:adjustRightInd/>
              <w:snapToGrid/>
              <w:spacing w:line="400" w:lineRule="exact"/>
              <w:textAlignment w:val="auto"/>
            </w:pPr>
          </w:p>
        </w:tc>
        <w:tc>
          <w:tcPr>
            <w:tcW w:w="753" w:type="pct"/>
            <w:vAlign w:val="center"/>
          </w:tcPr>
          <w:p>
            <w:pPr>
              <w:pStyle w:val="14"/>
              <w:keepNext w:val="0"/>
              <w:keepLines w:val="0"/>
              <w:pageBreakBefore w:val="0"/>
              <w:kinsoku/>
              <w:wordWrap/>
              <w:overflowPunct/>
              <w:topLinePunct w:val="0"/>
              <w:autoSpaceDE/>
              <w:autoSpaceDN/>
              <w:bidi w:val="0"/>
              <w:adjustRightInd/>
              <w:snapToGrid/>
              <w:spacing w:line="400" w:lineRule="exact"/>
              <w:textAlignment w:val="auto"/>
            </w:pPr>
            <w:r>
              <w:t>质量指标</w:t>
            </w:r>
          </w:p>
        </w:tc>
        <w:tc>
          <w:tcPr>
            <w:tcW w:w="672" w:type="pct"/>
            <w:vAlign w:val="center"/>
          </w:tcPr>
          <w:p>
            <w:pPr>
              <w:pStyle w:val="14"/>
              <w:keepNext w:val="0"/>
              <w:keepLines w:val="0"/>
              <w:pageBreakBefore w:val="0"/>
              <w:kinsoku/>
              <w:wordWrap/>
              <w:overflowPunct/>
              <w:topLinePunct w:val="0"/>
              <w:autoSpaceDE/>
              <w:autoSpaceDN/>
              <w:bidi w:val="0"/>
              <w:adjustRightInd/>
              <w:snapToGrid/>
              <w:spacing w:line="400" w:lineRule="exact"/>
              <w:textAlignment w:val="auto"/>
            </w:pPr>
            <w:r>
              <w:t>上级下达学校的各项工作任务完成率</w:t>
            </w:r>
          </w:p>
        </w:tc>
        <w:tc>
          <w:tcPr>
            <w:tcW w:w="1461" w:type="pct"/>
            <w:vAlign w:val="center"/>
          </w:tcPr>
          <w:p>
            <w:pPr>
              <w:pStyle w:val="14"/>
              <w:keepNext w:val="0"/>
              <w:keepLines w:val="0"/>
              <w:pageBreakBefore w:val="0"/>
              <w:kinsoku/>
              <w:wordWrap/>
              <w:overflowPunct/>
              <w:topLinePunct w:val="0"/>
              <w:autoSpaceDE/>
              <w:autoSpaceDN/>
              <w:bidi w:val="0"/>
              <w:adjustRightInd/>
              <w:snapToGrid/>
              <w:spacing w:line="400" w:lineRule="exact"/>
              <w:textAlignment w:val="auto"/>
            </w:pPr>
            <w:r>
              <w:t>保证完成上级下达学校的各项工作任务</w:t>
            </w:r>
          </w:p>
        </w:tc>
        <w:tc>
          <w:tcPr>
            <w:tcW w:w="644" w:type="pct"/>
            <w:vAlign w:val="center"/>
          </w:tcPr>
          <w:p>
            <w:pPr>
              <w:pStyle w:val="14"/>
              <w:keepNext w:val="0"/>
              <w:keepLines w:val="0"/>
              <w:pageBreakBefore w:val="0"/>
              <w:kinsoku/>
              <w:wordWrap/>
              <w:overflowPunct/>
              <w:topLinePunct w:val="0"/>
              <w:autoSpaceDE/>
              <w:autoSpaceDN/>
              <w:bidi w:val="0"/>
              <w:adjustRightInd/>
              <w:snapToGrid/>
              <w:spacing w:line="400" w:lineRule="exact"/>
              <w:textAlignment w:val="auto"/>
            </w:pPr>
            <w:r>
              <w:t>100%</w:t>
            </w:r>
          </w:p>
        </w:tc>
        <w:tc>
          <w:tcPr>
            <w:tcW w:w="933" w:type="pct"/>
            <w:vAlign w:val="center"/>
          </w:tcPr>
          <w:p>
            <w:pPr>
              <w:pStyle w:val="14"/>
              <w:keepNext w:val="0"/>
              <w:keepLines w:val="0"/>
              <w:pageBreakBefore w:val="0"/>
              <w:kinsoku/>
              <w:wordWrap/>
              <w:overflowPunct/>
              <w:topLinePunct w:val="0"/>
              <w:autoSpaceDE/>
              <w:autoSpaceDN/>
              <w:bidi w:val="0"/>
              <w:adjustRightInd/>
              <w:snapToGrid/>
              <w:spacing w:line="400" w:lineRule="exact"/>
              <w:textAlignment w:val="auto"/>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 w:type="pct"/>
          <w:trHeight w:val="369" w:hRule="atLeast"/>
          <w:jc w:val="center"/>
        </w:trPr>
        <w:tc>
          <w:tcPr>
            <w:tcW w:w="533" w:type="pct"/>
            <w:vMerge w:val="continue"/>
            <w:vAlign w:val="center"/>
          </w:tcPr>
          <w:p>
            <w:pPr>
              <w:keepNext w:val="0"/>
              <w:keepLines w:val="0"/>
              <w:pageBreakBefore w:val="0"/>
              <w:kinsoku/>
              <w:wordWrap/>
              <w:overflowPunct/>
              <w:topLinePunct w:val="0"/>
              <w:autoSpaceDE/>
              <w:autoSpaceDN/>
              <w:bidi w:val="0"/>
              <w:adjustRightInd/>
              <w:snapToGrid/>
              <w:spacing w:line="400" w:lineRule="exact"/>
              <w:textAlignment w:val="auto"/>
            </w:pPr>
          </w:p>
        </w:tc>
        <w:tc>
          <w:tcPr>
            <w:tcW w:w="753" w:type="pct"/>
            <w:vAlign w:val="center"/>
          </w:tcPr>
          <w:p>
            <w:pPr>
              <w:pStyle w:val="14"/>
              <w:keepNext w:val="0"/>
              <w:keepLines w:val="0"/>
              <w:pageBreakBefore w:val="0"/>
              <w:kinsoku/>
              <w:wordWrap/>
              <w:overflowPunct/>
              <w:topLinePunct w:val="0"/>
              <w:autoSpaceDE/>
              <w:autoSpaceDN/>
              <w:bidi w:val="0"/>
              <w:adjustRightInd/>
              <w:snapToGrid/>
              <w:spacing w:line="400" w:lineRule="exact"/>
              <w:textAlignment w:val="auto"/>
            </w:pPr>
            <w:r>
              <w:t>时效指标</w:t>
            </w:r>
          </w:p>
        </w:tc>
        <w:tc>
          <w:tcPr>
            <w:tcW w:w="672" w:type="pct"/>
            <w:vAlign w:val="center"/>
          </w:tcPr>
          <w:p>
            <w:pPr>
              <w:pStyle w:val="14"/>
              <w:keepNext w:val="0"/>
              <w:keepLines w:val="0"/>
              <w:pageBreakBefore w:val="0"/>
              <w:kinsoku/>
              <w:wordWrap/>
              <w:overflowPunct/>
              <w:topLinePunct w:val="0"/>
              <w:autoSpaceDE/>
              <w:autoSpaceDN/>
              <w:bidi w:val="0"/>
              <w:adjustRightInd/>
              <w:snapToGrid/>
              <w:spacing w:line="400" w:lineRule="exact"/>
              <w:textAlignment w:val="auto"/>
            </w:pPr>
            <w:r>
              <w:t>用于保障学校正常运转项目完成及时率</w:t>
            </w:r>
          </w:p>
        </w:tc>
        <w:tc>
          <w:tcPr>
            <w:tcW w:w="1461" w:type="pct"/>
            <w:vAlign w:val="center"/>
          </w:tcPr>
          <w:p>
            <w:pPr>
              <w:pStyle w:val="14"/>
              <w:keepNext w:val="0"/>
              <w:keepLines w:val="0"/>
              <w:pageBreakBefore w:val="0"/>
              <w:kinsoku/>
              <w:wordWrap/>
              <w:overflowPunct/>
              <w:topLinePunct w:val="0"/>
              <w:autoSpaceDE/>
              <w:autoSpaceDN/>
              <w:bidi w:val="0"/>
              <w:adjustRightInd/>
              <w:snapToGrid/>
              <w:spacing w:line="400" w:lineRule="exact"/>
              <w:textAlignment w:val="auto"/>
            </w:pPr>
            <w:r>
              <w:t>及时提供的教学用品、保障教学设施、设备正常运行</w:t>
            </w:r>
          </w:p>
        </w:tc>
        <w:tc>
          <w:tcPr>
            <w:tcW w:w="644" w:type="pct"/>
            <w:vAlign w:val="center"/>
          </w:tcPr>
          <w:p>
            <w:pPr>
              <w:pStyle w:val="14"/>
              <w:keepNext w:val="0"/>
              <w:keepLines w:val="0"/>
              <w:pageBreakBefore w:val="0"/>
              <w:kinsoku/>
              <w:wordWrap/>
              <w:overflowPunct/>
              <w:topLinePunct w:val="0"/>
              <w:autoSpaceDE/>
              <w:autoSpaceDN/>
              <w:bidi w:val="0"/>
              <w:adjustRightInd/>
              <w:snapToGrid/>
              <w:spacing w:line="400" w:lineRule="exact"/>
              <w:textAlignment w:val="auto"/>
            </w:pPr>
            <w:r>
              <w:t>100%</w:t>
            </w:r>
          </w:p>
        </w:tc>
        <w:tc>
          <w:tcPr>
            <w:tcW w:w="933" w:type="pct"/>
            <w:vAlign w:val="center"/>
          </w:tcPr>
          <w:p>
            <w:pPr>
              <w:pStyle w:val="14"/>
              <w:keepNext w:val="0"/>
              <w:keepLines w:val="0"/>
              <w:pageBreakBefore w:val="0"/>
              <w:kinsoku/>
              <w:wordWrap/>
              <w:overflowPunct/>
              <w:topLinePunct w:val="0"/>
              <w:autoSpaceDE/>
              <w:autoSpaceDN/>
              <w:bidi w:val="0"/>
              <w:adjustRightInd/>
              <w:snapToGrid/>
              <w:spacing w:line="400" w:lineRule="exact"/>
              <w:textAlignment w:val="auto"/>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 w:type="pct"/>
          <w:trHeight w:val="369" w:hRule="atLeast"/>
          <w:jc w:val="center"/>
        </w:trPr>
        <w:tc>
          <w:tcPr>
            <w:tcW w:w="533" w:type="pct"/>
            <w:vAlign w:val="center"/>
          </w:tcPr>
          <w:p>
            <w:pPr>
              <w:pStyle w:val="15"/>
              <w:keepNext w:val="0"/>
              <w:keepLines w:val="0"/>
              <w:pageBreakBefore w:val="0"/>
              <w:kinsoku/>
              <w:wordWrap/>
              <w:overflowPunct/>
              <w:topLinePunct w:val="0"/>
              <w:autoSpaceDE/>
              <w:autoSpaceDN/>
              <w:bidi w:val="0"/>
              <w:adjustRightInd/>
              <w:snapToGrid/>
              <w:spacing w:line="400" w:lineRule="exact"/>
              <w:textAlignment w:val="auto"/>
            </w:pPr>
            <w:r>
              <w:t>效益指标</w:t>
            </w:r>
          </w:p>
        </w:tc>
        <w:tc>
          <w:tcPr>
            <w:tcW w:w="753" w:type="pct"/>
            <w:vAlign w:val="center"/>
          </w:tcPr>
          <w:p>
            <w:pPr>
              <w:pStyle w:val="14"/>
              <w:keepNext w:val="0"/>
              <w:keepLines w:val="0"/>
              <w:pageBreakBefore w:val="0"/>
              <w:kinsoku/>
              <w:wordWrap/>
              <w:overflowPunct/>
              <w:topLinePunct w:val="0"/>
              <w:autoSpaceDE/>
              <w:autoSpaceDN/>
              <w:bidi w:val="0"/>
              <w:adjustRightInd/>
              <w:snapToGrid/>
              <w:spacing w:line="400" w:lineRule="exact"/>
              <w:textAlignment w:val="auto"/>
            </w:pPr>
            <w:r>
              <w:t>社会效益指标</w:t>
            </w:r>
          </w:p>
        </w:tc>
        <w:tc>
          <w:tcPr>
            <w:tcW w:w="672" w:type="pct"/>
            <w:vAlign w:val="center"/>
          </w:tcPr>
          <w:p>
            <w:pPr>
              <w:pStyle w:val="14"/>
              <w:keepNext w:val="0"/>
              <w:keepLines w:val="0"/>
              <w:pageBreakBefore w:val="0"/>
              <w:kinsoku/>
              <w:wordWrap/>
              <w:overflowPunct/>
              <w:topLinePunct w:val="0"/>
              <w:autoSpaceDE/>
              <w:autoSpaceDN/>
              <w:bidi w:val="0"/>
              <w:adjustRightInd/>
              <w:snapToGrid/>
              <w:spacing w:line="400" w:lineRule="exact"/>
              <w:textAlignment w:val="auto"/>
            </w:pPr>
            <w:r>
              <w:t>义务教育高质量发展</w:t>
            </w:r>
          </w:p>
        </w:tc>
        <w:tc>
          <w:tcPr>
            <w:tcW w:w="1461" w:type="pct"/>
            <w:vAlign w:val="center"/>
          </w:tcPr>
          <w:p>
            <w:pPr>
              <w:pStyle w:val="14"/>
              <w:keepNext w:val="0"/>
              <w:keepLines w:val="0"/>
              <w:pageBreakBefore w:val="0"/>
              <w:kinsoku/>
              <w:wordWrap/>
              <w:overflowPunct/>
              <w:topLinePunct w:val="0"/>
              <w:autoSpaceDE/>
              <w:autoSpaceDN/>
              <w:bidi w:val="0"/>
              <w:adjustRightInd/>
              <w:snapToGrid/>
              <w:spacing w:line="400" w:lineRule="exact"/>
              <w:textAlignment w:val="auto"/>
            </w:pPr>
            <w:r>
              <w:t>推动义务教育从数量扩张向质量提高转变</w:t>
            </w:r>
          </w:p>
        </w:tc>
        <w:tc>
          <w:tcPr>
            <w:tcW w:w="644" w:type="pct"/>
            <w:vAlign w:val="center"/>
          </w:tcPr>
          <w:p>
            <w:pPr>
              <w:pStyle w:val="14"/>
              <w:keepNext w:val="0"/>
              <w:keepLines w:val="0"/>
              <w:pageBreakBefore w:val="0"/>
              <w:kinsoku/>
              <w:wordWrap/>
              <w:overflowPunct/>
              <w:topLinePunct w:val="0"/>
              <w:autoSpaceDE/>
              <w:autoSpaceDN/>
              <w:bidi w:val="0"/>
              <w:adjustRightInd/>
              <w:snapToGrid/>
              <w:spacing w:line="400" w:lineRule="exact"/>
              <w:textAlignment w:val="auto"/>
            </w:pPr>
            <w:r>
              <w:t>提高</w:t>
            </w:r>
          </w:p>
        </w:tc>
        <w:tc>
          <w:tcPr>
            <w:tcW w:w="933" w:type="pct"/>
            <w:vAlign w:val="center"/>
          </w:tcPr>
          <w:p>
            <w:pPr>
              <w:pStyle w:val="14"/>
              <w:keepNext w:val="0"/>
              <w:keepLines w:val="0"/>
              <w:pageBreakBefore w:val="0"/>
              <w:kinsoku/>
              <w:wordWrap/>
              <w:overflowPunct/>
              <w:topLinePunct w:val="0"/>
              <w:autoSpaceDE/>
              <w:autoSpaceDN/>
              <w:bidi w:val="0"/>
              <w:adjustRightInd/>
              <w:snapToGrid/>
              <w:spacing w:line="400" w:lineRule="exact"/>
              <w:textAlignment w:val="auto"/>
            </w:pPr>
            <w: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 w:type="pct"/>
          <w:trHeight w:val="369" w:hRule="atLeast"/>
          <w:jc w:val="center"/>
        </w:trPr>
        <w:tc>
          <w:tcPr>
            <w:tcW w:w="533" w:type="pct"/>
            <w:vMerge w:val="restart"/>
            <w:vAlign w:val="center"/>
          </w:tcPr>
          <w:p>
            <w:pPr>
              <w:pStyle w:val="15"/>
              <w:keepNext w:val="0"/>
              <w:keepLines w:val="0"/>
              <w:pageBreakBefore w:val="0"/>
              <w:kinsoku/>
              <w:wordWrap/>
              <w:overflowPunct/>
              <w:topLinePunct w:val="0"/>
              <w:autoSpaceDE/>
              <w:autoSpaceDN/>
              <w:bidi w:val="0"/>
              <w:adjustRightInd/>
              <w:snapToGrid/>
              <w:spacing w:line="400" w:lineRule="exact"/>
              <w:textAlignment w:val="auto"/>
            </w:pPr>
            <w:r>
              <w:t>满意度指标</w:t>
            </w:r>
          </w:p>
        </w:tc>
        <w:tc>
          <w:tcPr>
            <w:tcW w:w="753" w:type="pct"/>
            <w:vAlign w:val="center"/>
          </w:tcPr>
          <w:p>
            <w:pPr>
              <w:pStyle w:val="14"/>
              <w:keepNext w:val="0"/>
              <w:keepLines w:val="0"/>
              <w:pageBreakBefore w:val="0"/>
              <w:kinsoku/>
              <w:wordWrap/>
              <w:overflowPunct/>
              <w:topLinePunct w:val="0"/>
              <w:autoSpaceDE/>
              <w:autoSpaceDN/>
              <w:bidi w:val="0"/>
              <w:adjustRightInd/>
              <w:snapToGrid/>
              <w:spacing w:line="400" w:lineRule="exact"/>
              <w:textAlignment w:val="auto"/>
            </w:pPr>
            <w:r>
              <w:t>服务对象满意度指标</w:t>
            </w:r>
          </w:p>
        </w:tc>
        <w:tc>
          <w:tcPr>
            <w:tcW w:w="672" w:type="pct"/>
            <w:vAlign w:val="center"/>
          </w:tcPr>
          <w:p>
            <w:pPr>
              <w:pStyle w:val="14"/>
              <w:keepNext w:val="0"/>
              <w:keepLines w:val="0"/>
              <w:pageBreakBefore w:val="0"/>
              <w:kinsoku/>
              <w:wordWrap/>
              <w:overflowPunct/>
              <w:topLinePunct w:val="0"/>
              <w:autoSpaceDE/>
              <w:autoSpaceDN/>
              <w:bidi w:val="0"/>
              <w:adjustRightInd/>
              <w:snapToGrid/>
              <w:spacing w:line="400" w:lineRule="exact"/>
              <w:textAlignment w:val="auto"/>
            </w:pPr>
            <w:r>
              <w:t>在校师生的满意程度</w:t>
            </w:r>
          </w:p>
        </w:tc>
        <w:tc>
          <w:tcPr>
            <w:tcW w:w="1461" w:type="pct"/>
            <w:vAlign w:val="center"/>
          </w:tcPr>
          <w:p>
            <w:pPr>
              <w:pStyle w:val="14"/>
              <w:keepNext w:val="0"/>
              <w:keepLines w:val="0"/>
              <w:pageBreakBefore w:val="0"/>
              <w:kinsoku/>
              <w:wordWrap/>
              <w:overflowPunct/>
              <w:topLinePunct w:val="0"/>
              <w:autoSpaceDE/>
              <w:autoSpaceDN/>
              <w:bidi w:val="0"/>
              <w:adjustRightInd/>
              <w:snapToGrid/>
              <w:spacing w:line="400" w:lineRule="exact"/>
              <w:textAlignment w:val="auto"/>
            </w:pPr>
            <w:r>
              <w:t>在校师生的满意程度</w:t>
            </w:r>
          </w:p>
        </w:tc>
        <w:tc>
          <w:tcPr>
            <w:tcW w:w="644" w:type="pct"/>
            <w:vAlign w:val="center"/>
          </w:tcPr>
          <w:p>
            <w:pPr>
              <w:pStyle w:val="14"/>
              <w:keepNext w:val="0"/>
              <w:keepLines w:val="0"/>
              <w:pageBreakBefore w:val="0"/>
              <w:kinsoku/>
              <w:wordWrap/>
              <w:overflowPunct/>
              <w:topLinePunct w:val="0"/>
              <w:autoSpaceDE/>
              <w:autoSpaceDN/>
              <w:bidi w:val="0"/>
              <w:adjustRightInd/>
              <w:snapToGrid/>
              <w:spacing w:line="400" w:lineRule="exact"/>
              <w:textAlignment w:val="auto"/>
            </w:pPr>
            <w:r>
              <w:t>≥95%</w:t>
            </w:r>
          </w:p>
        </w:tc>
        <w:tc>
          <w:tcPr>
            <w:tcW w:w="933" w:type="pct"/>
            <w:vAlign w:val="center"/>
          </w:tcPr>
          <w:p>
            <w:pPr>
              <w:pStyle w:val="14"/>
              <w:keepNext w:val="0"/>
              <w:keepLines w:val="0"/>
              <w:pageBreakBefore w:val="0"/>
              <w:kinsoku/>
              <w:wordWrap/>
              <w:overflowPunct/>
              <w:topLinePunct w:val="0"/>
              <w:autoSpaceDE/>
              <w:autoSpaceDN/>
              <w:bidi w:val="0"/>
              <w:adjustRightInd/>
              <w:snapToGrid/>
              <w:spacing w:line="400" w:lineRule="exact"/>
              <w:textAlignment w:val="auto"/>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Before w:val="1"/>
          <w:wBefore w:w="1" w:type="pct"/>
          <w:trHeight w:val="369" w:hRule="atLeast"/>
          <w:jc w:val="center"/>
        </w:trPr>
        <w:tc>
          <w:tcPr>
            <w:tcW w:w="533" w:type="pct"/>
            <w:vMerge w:val="continue"/>
            <w:vAlign w:val="center"/>
          </w:tcPr>
          <w:p>
            <w:pPr>
              <w:keepNext w:val="0"/>
              <w:keepLines w:val="0"/>
              <w:pageBreakBefore w:val="0"/>
              <w:kinsoku/>
              <w:wordWrap/>
              <w:overflowPunct/>
              <w:topLinePunct w:val="0"/>
              <w:autoSpaceDE/>
              <w:autoSpaceDN/>
              <w:bidi w:val="0"/>
              <w:adjustRightInd/>
              <w:snapToGrid/>
              <w:spacing w:line="400" w:lineRule="exact"/>
              <w:textAlignment w:val="auto"/>
            </w:pPr>
          </w:p>
        </w:tc>
        <w:tc>
          <w:tcPr>
            <w:tcW w:w="753" w:type="pct"/>
            <w:vAlign w:val="center"/>
          </w:tcPr>
          <w:p>
            <w:pPr>
              <w:pStyle w:val="14"/>
              <w:keepNext w:val="0"/>
              <w:keepLines w:val="0"/>
              <w:pageBreakBefore w:val="0"/>
              <w:kinsoku/>
              <w:wordWrap/>
              <w:overflowPunct/>
              <w:topLinePunct w:val="0"/>
              <w:autoSpaceDE/>
              <w:autoSpaceDN/>
              <w:bidi w:val="0"/>
              <w:adjustRightInd/>
              <w:snapToGrid/>
              <w:spacing w:line="400" w:lineRule="exact"/>
              <w:textAlignment w:val="auto"/>
            </w:pPr>
            <w:r>
              <w:t>服务对象满意度指标</w:t>
            </w:r>
          </w:p>
        </w:tc>
        <w:tc>
          <w:tcPr>
            <w:tcW w:w="672" w:type="pct"/>
            <w:vAlign w:val="center"/>
          </w:tcPr>
          <w:p>
            <w:pPr>
              <w:pStyle w:val="14"/>
              <w:keepNext w:val="0"/>
              <w:keepLines w:val="0"/>
              <w:pageBreakBefore w:val="0"/>
              <w:kinsoku/>
              <w:wordWrap/>
              <w:overflowPunct/>
              <w:topLinePunct w:val="0"/>
              <w:autoSpaceDE/>
              <w:autoSpaceDN/>
              <w:bidi w:val="0"/>
              <w:adjustRightInd/>
              <w:snapToGrid/>
              <w:spacing w:line="400" w:lineRule="exact"/>
              <w:textAlignment w:val="auto"/>
            </w:pPr>
            <w:r>
              <w:t>家长的满意程度</w:t>
            </w:r>
          </w:p>
        </w:tc>
        <w:tc>
          <w:tcPr>
            <w:tcW w:w="1461" w:type="pct"/>
            <w:vAlign w:val="center"/>
          </w:tcPr>
          <w:p>
            <w:pPr>
              <w:pStyle w:val="14"/>
              <w:keepNext w:val="0"/>
              <w:keepLines w:val="0"/>
              <w:pageBreakBefore w:val="0"/>
              <w:kinsoku/>
              <w:wordWrap/>
              <w:overflowPunct/>
              <w:topLinePunct w:val="0"/>
              <w:autoSpaceDE/>
              <w:autoSpaceDN/>
              <w:bidi w:val="0"/>
              <w:adjustRightInd/>
              <w:snapToGrid/>
              <w:spacing w:line="400" w:lineRule="exact"/>
              <w:textAlignment w:val="auto"/>
            </w:pPr>
            <w:r>
              <w:t>家长的满意程度</w:t>
            </w:r>
          </w:p>
        </w:tc>
        <w:tc>
          <w:tcPr>
            <w:tcW w:w="644" w:type="pct"/>
            <w:vAlign w:val="center"/>
          </w:tcPr>
          <w:p>
            <w:pPr>
              <w:pStyle w:val="14"/>
              <w:keepNext w:val="0"/>
              <w:keepLines w:val="0"/>
              <w:pageBreakBefore w:val="0"/>
              <w:kinsoku/>
              <w:wordWrap/>
              <w:overflowPunct/>
              <w:topLinePunct w:val="0"/>
              <w:autoSpaceDE/>
              <w:autoSpaceDN/>
              <w:bidi w:val="0"/>
              <w:adjustRightInd/>
              <w:snapToGrid/>
              <w:spacing w:line="400" w:lineRule="exact"/>
              <w:textAlignment w:val="auto"/>
            </w:pPr>
            <w:r>
              <w:t>≥95%</w:t>
            </w:r>
          </w:p>
        </w:tc>
        <w:tc>
          <w:tcPr>
            <w:tcW w:w="933" w:type="pct"/>
            <w:vAlign w:val="center"/>
          </w:tcPr>
          <w:p>
            <w:pPr>
              <w:pStyle w:val="14"/>
              <w:keepNext w:val="0"/>
              <w:keepLines w:val="0"/>
              <w:pageBreakBefore w:val="0"/>
              <w:kinsoku/>
              <w:wordWrap/>
              <w:overflowPunct/>
              <w:topLinePunct w:val="0"/>
              <w:autoSpaceDE/>
              <w:autoSpaceDN/>
              <w:bidi w:val="0"/>
              <w:adjustRightInd/>
              <w:snapToGrid/>
              <w:spacing w:line="400" w:lineRule="exact"/>
              <w:textAlignment w:val="auto"/>
            </w:pPr>
            <w:r>
              <w:t>调查问卷</w:t>
            </w:r>
          </w:p>
        </w:tc>
      </w:tr>
    </w:tbl>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6"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w:t>
      </w:r>
      <w:r>
        <w:rPr>
          <w:rFonts w:ascii="Times New Roman" w:hAnsi="Times New Roman" w:eastAsia="仿宋_GB2312" w:cs="Times New Roman"/>
          <w:sz w:val="32"/>
          <w:szCs w:val="24"/>
        </w:rPr>
        <w:t>2年，我部门安排政府采购预算0万元。具体内容见下表。</w:t>
      </w:r>
    </w:p>
    <w:bookmarkEnd w:id="6"/>
    <w:p>
      <w:pPr>
        <w:jc w:val="center"/>
        <w:outlineLvl w:val="1"/>
        <w:rPr>
          <w:rFonts w:ascii="方正小标宋_GBK" w:eastAsia="方正小标宋_GBK" w:cs="Times New Roman"/>
          <w:sz w:val="32"/>
        </w:rPr>
      </w:pPr>
      <w:bookmarkStart w:id="7" w:name="_Toc64920910"/>
      <w:r>
        <w:rPr>
          <w:rFonts w:hint="eastAsia" w:ascii="方正小标宋_GBK" w:eastAsia="方正小标宋_GBK" w:cs="Times New Roman"/>
          <w:sz w:val="32"/>
        </w:rPr>
        <w:t>部门政府采购预算</w:t>
      </w:r>
      <w:bookmarkEnd w:id="7"/>
    </w:p>
    <w:tbl>
      <w:tblPr>
        <w:tblStyle w:val="8"/>
        <w:tblpPr w:leftFromText="180" w:rightFromText="180" w:vertAnchor="text" w:horzAnchor="page" w:tblpXSpec="center" w:tblpY="612"/>
        <w:tblOverlap w:val="never"/>
        <w:tblW w:w="4997"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06"/>
        <w:gridCol w:w="887"/>
        <w:gridCol w:w="1040"/>
        <w:gridCol w:w="1040"/>
        <w:gridCol w:w="649"/>
        <w:gridCol w:w="780"/>
        <w:gridCol w:w="780"/>
        <w:gridCol w:w="884"/>
        <w:gridCol w:w="884"/>
        <w:gridCol w:w="884"/>
        <w:gridCol w:w="884"/>
        <w:gridCol w:w="884"/>
        <w:gridCol w:w="885"/>
        <w:gridCol w:w="885"/>
        <w:gridCol w:w="908"/>
        <w:gridCol w:w="88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68" w:type="pct"/>
            <w:gridSpan w:val="2"/>
            <w:vAlign w:val="center"/>
          </w:tcPr>
          <w:p>
            <w:pPr>
              <w:pStyle w:val="12"/>
              <w:keepNext w:val="0"/>
              <w:keepLines w:val="0"/>
              <w:pageBreakBefore w:val="0"/>
              <w:widowControl/>
              <w:kinsoku/>
              <w:wordWrap/>
              <w:overflowPunct/>
              <w:topLinePunct w:val="0"/>
              <w:autoSpaceDE/>
              <w:autoSpaceDN/>
              <w:bidi w:val="0"/>
              <w:adjustRightInd/>
              <w:snapToGrid/>
              <w:spacing w:line="400" w:lineRule="exact"/>
              <w:textAlignment w:val="auto"/>
            </w:pPr>
            <w:r>
              <w:t>政府采购项目来源</w:t>
            </w:r>
          </w:p>
        </w:tc>
        <w:tc>
          <w:tcPr>
            <w:tcW w:w="367" w:type="pct"/>
            <w:vMerge w:val="restart"/>
            <w:vAlign w:val="center"/>
          </w:tcPr>
          <w:p>
            <w:pPr>
              <w:pStyle w:val="12"/>
            </w:pPr>
            <w:r>
              <w:t>采购物品名称</w:t>
            </w:r>
          </w:p>
        </w:tc>
        <w:tc>
          <w:tcPr>
            <w:tcW w:w="367" w:type="pct"/>
            <w:vMerge w:val="restart"/>
            <w:vAlign w:val="center"/>
          </w:tcPr>
          <w:p>
            <w:pPr>
              <w:pStyle w:val="12"/>
            </w:pPr>
            <w:r>
              <w:t>政府采购目录序号</w:t>
            </w:r>
          </w:p>
        </w:tc>
        <w:tc>
          <w:tcPr>
            <w:tcW w:w="229" w:type="pct"/>
            <w:vMerge w:val="restart"/>
            <w:vAlign w:val="center"/>
          </w:tcPr>
          <w:p>
            <w:pPr>
              <w:pStyle w:val="12"/>
            </w:pPr>
            <w:r>
              <w:t>计量  单位</w:t>
            </w:r>
          </w:p>
        </w:tc>
        <w:tc>
          <w:tcPr>
            <w:tcW w:w="275" w:type="pct"/>
            <w:vMerge w:val="restart"/>
            <w:vAlign w:val="center"/>
          </w:tcPr>
          <w:p>
            <w:pPr>
              <w:pStyle w:val="12"/>
            </w:pPr>
            <w:r>
              <w:t>数量</w:t>
            </w:r>
          </w:p>
        </w:tc>
        <w:tc>
          <w:tcPr>
            <w:tcW w:w="275" w:type="pct"/>
            <w:vMerge w:val="restart"/>
            <w:vAlign w:val="center"/>
          </w:tcPr>
          <w:p>
            <w:pPr>
              <w:pStyle w:val="12"/>
            </w:pPr>
            <w:r>
              <w:t>单价</w:t>
            </w:r>
          </w:p>
        </w:tc>
        <w:tc>
          <w:tcPr>
            <w:tcW w:w="2504" w:type="pct"/>
            <w:gridSpan w:val="8"/>
            <w:vAlign w:val="center"/>
          </w:tcPr>
          <w:p>
            <w:pPr>
              <w:pStyle w:val="12"/>
            </w:pPr>
            <w:r>
              <w:t>政府采购金额（当年部门预算安排资金）</w:t>
            </w:r>
          </w:p>
        </w:tc>
        <w:tc>
          <w:tcPr>
            <w:tcW w:w="312" w:type="pct"/>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55" w:type="pct"/>
            <w:vAlign w:val="center"/>
          </w:tcPr>
          <w:p>
            <w:pPr>
              <w:pStyle w:val="12"/>
            </w:pPr>
            <w:r>
              <w:t>项目名称</w:t>
            </w:r>
          </w:p>
        </w:tc>
        <w:tc>
          <w:tcPr>
            <w:tcW w:w="313" w:type="pct"/>
            <w:vAlign w:val="center"/>
          </w:tcPr>
          <w:p>
            <w:pPr>
              <w:pStyle w:val="12"/>
            </w:pPr>
            <w:r>
              <w:t>预算    资金</w:t>
            </w:r>
          </w:p>
        </w:tc>
        <w:tc>
          <w:tcPr>
            <w:tcW w:w="367" w:type="pct"/>
            <w:vMerge w:val="continue"/>
          </w:tcPr>
          <w:p/>
        </w:tc>
        <w:tc>
          <w:tcPr>
            <w:tcW w:w="367" w:type="pct"/>
            <w:vMerge w:val="continue"/>
          </w:tcPr>
          <w:p/>
        </w:tc>
        <w:tc>
          <w:tcPr>
            <w:tcW w:w="229" w:type="pct"/>
            <w:vMerge w:val="continue"/>
          </w:tcPr>
          <w:p/>
        </w:tc>
        <w:tc>
          <w:tcPr>
            <w:tcW w:w="275" w:type="pct"/>
            <w:vMerge w:val="continue"/>
          </w:tcPr>
          <w:p/>
        </w:tc>
        <w:tc>
          <w:tcPr>
            <w:tcW w:w="275" w:type="pct"/>
            <w:vMerge w:val="continue"/>
          </w:tcPr>
          <w:p/>
        </w:tc>
        <w:tc>
          <w:tcPr>
            <w:tcW w:w="312" w:type="pct"/>
            <w:vAlign w:val="center"/>
          </w:tcPr>
          <w:p>
            <w:pPr>
              <w:pStyle w:val="12"/>
            </w:pPr>
            <w:r>
              <w:t>合计</w:t>
            </w:r>
          </w:p>
        </w:tc>
        <w:tc>
          <w:tcPr>
            <w:tcW w:w="312" w:type="pct"/>
            <w:vAlign w:val="center"/>
          </w:tcPr>
          <w:p>
            <w:pPr>
              <w:pStyle w:val="12"/>
            </w:pPr>
            <w:r>
              <w:t>一般公共预算拨款</w:t>
            </w:r>
          </w:p>
        </w:tc>
        <w:tc>
          <w:tcPr>
            <w:tcW w:w="312" w:type="pct"/>
            <w:vAlign w:val="center"/>
          </w:tcPr>
          <w:p>
            <w:pPr>
              <w:pStyle w:val="12"/>
            </w:pPr>
            <w:r>
              <w:t>基金预算拨款</w:t>
            </w:r>
          </w:p>
        </w:tc>
        <w:tc>
          <w:tcPr>
            <w:tcW w:w="312" w:type="pct"/>
            <w:vAlign w:val="center"/>
          </w:tcPr>
          <w:p>
            <w:pPr>
              <w:pStyle w:val="12"/>
            </w:pPr>
            <w:r>
              <w:t>国有资本经营预算拨款</w:t>
            </w:r>
          </w:p>
        </w:tc>
        <w:tc>
          <w:tcPr>
            <w:tcW w:w="312" w:type="pct"/>
            <w:vAlign w:val="center"/>
          </w:tcPr>
          <w:p>
            <w:pPr>
              <w:pStyle w:val="12"/>
            </w:pPr>
            <w:r>
              <w:t>财政专户核拨</w:t>
            </w:r>
          </w:p>
        </w:tc>
        <w:tc>
          <w:tcPr>
            <w:tcW w:w="312" w:type="pct"/>
            <w:vAlign w:val="center"/>
          </w:tcPr>
          <w:p>
            <w:pPr>
              <w:pStyle w:val="12"/>
            </w:pPr>
            <w:r>
              <w:t>单位    资金</w:t>
            </w:r>
          </w:p>
        </w:tc>
        <w:tc>
          <w:tcPr>
            <w:tcW w:w="312" w:type="pct"/>
            <w:vAlign w:val="center"/>
          </w:tcPr>
          <w:p>
            <w:pPr>
              <w:pStyle w:val="12"/>
            </w:pPr>
            <w:r>
              <w:t>财政拨    款结转</w:t>
            </w:r>
          </w:p>
        </w:tc>
        <w:tc>
          <w:tcPr>
            <w:tcW w:w="318" w:type="pct"/>
            <w:vAlign w:val="center"/>
          </w:tcPr>
          <w:p>
            <w:pPr>
              <w:pStyle w:val="12"/>
            </w:pPr>
            <w:r>
              <w:t>非财政    拨款结    转结余</w:t>
            </w:r>
          </w:p>
        </w:tc>
        <w:tc>
          <w:tcPr>
            <w:tcW w:w="312"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55" w:type="pct"/>
            <w:vAlign w:val="center"/>
          </w:tcPr>
          <w:p>
            <w:pPr>
              <w:pStyle w:val="16"/>
            </w:pPr>
            <w:r>
              <w:t>合  计</w:t>
            </w:r>
          </w:p>
        </w:tc>
        <w:tc>
          <w:tcPr>
            <w:tcW w:w="313" w:type="pct"/>
            <w:vAlign w:val="center"/>
          </w:tcPr>
          <w:p>
            <w:pPr>
              <w:pStyle w:val="17"/>
            </w:pPr>
          </w:p>
        </w:tc>
        <w:tc>
          <w:tcPr>
            <w:tcW w:w="367" w:type="pct"/>
            <w:vAlign w:val="center"/>
          </w:tcPr>
          <w:p>
            <w:pPr>
              <w:pStyle w:val="18"/>
            </w:pPr>
          </w:p>
        </w:tc>
        <w:tc>
          <w:tcPr>
            <w:tcW w:w="367" w:type="pct"/>
            <w:vAlign w:val="center"/>
          </w:tcPr>
          <w:p>
            <w:pPr>
              <w:pStyle w:val="18"/>
            </w:pPr>
          </w:p>
        </w:tc>
        <w:tc>
          <w:tcPr>
            <w:tcW w:w="229" w:type="pct"/>
            <w:vAlign w:val="center"/>
          </w:tcPr>
          <w:p>
            <w:pPr>
              <w:pStyle w:val="16"/>
            </w:pPr>
          </w:p>
        </w:tc>
        <w:tc>
          <w:tcPr>
            <w:tcW w:w="275" w:type="pct"/>
            <w:vAlign w:val="center"/>
          </w:tcPr>
          <w:p>
            <w:pPr>
              <w:pStyle w:val="17"/>
            </w:pPr>
          </w:p>
        </w:tc>
        <w:tc>
          <w:tcPr>
            <w:tcW w:w="275" w:type="pct"/>
            <w:vAlign w:val="center"/>
          </w:tcPr>
          <w:p>
            <w:pPr>
              <w:pStyle w:val="17"/>
            </w:pPr>
          </w:p>
        </w:tc>
        <w:tc>
          <w:tcPr>
            <w:tcW w:w="312" w:type="pct"/>
            <w:vAlign w:val="center"/>
          </w:tcPr>
          <w:p>
            <w:pPr>
              <w:pStyle w:val="17"/>
            </w:pPr>
          </w:p>
        </w:tc>
        <w:tc>
          <w:tcPr>
            <w:tcW w:w="312" w:type="pct"/>
            <w:vAlign w:val="center"/>
          </w:tcPr>
          <w:p>
            <w:pPr>
              <w:pStyle w:val="17"/>
            </w:pPr>
          </w:p>
        </w:tc>
        <w:tc>
          <w:tcPr>
            <w:tcW w:w="312" w:type="pct"/>
            <w:vAlign w:val="center"/>
          </w:tcPr>
          <w:p>
            <w:pPr>
              <w:pStyle w:val="17"/>
            </w:pPr>
          </w:p>
        </w:tc>
        <w:tc>
          <w:tcPr>
            <w:tcW w:w="312" w:type="pct"/>
            <w:vAlign w:val="center"/>
          </w:tcPr>
          <w:p>
            <w:pPr>
              <w:pStyle w:val="17"/>
            </w:pPr>
          </w:p>
        </w:tc>
        <w:tc>
          <w:tcPr>
            <w:tcW w:w="312" w:type="pct"/>
            <w:vAlign w:val="center"/>
          </w:tcPr>
          <w:p>
            <w:pPr>
              <w:pStyle w:val="17"/>
            </w:pPr>
          </w:p>
        </w:tc>
        <w:tc>
          <w:tcPr>
            <w:tcW w:w="312" w:type="pct"/>
            <w:vAlign w:val="center"/>
          </w:tcPr>
          <w:p>
            <w:pPr>
              <w:pStyle w:val="17"/>
            </w:pPr>
          </w:p>
        </w:tc>
        <w:tc>
          <w:tcPr>
            <w:tcW w:w="312" w:type="pct"/>
            <w:vAlign w:val="center"/>
          </w:tcPr>
          <w:p>
            <w:pPr>
              <w:pStyle w:val="17"/>
            </w:pPr>
          </w:p>
        </w:tc>
        <w:tc>
          <w:tcPr>
            <w:tcW w:w="318" w:type="pct"/>
            <w:vAlign w:val="center"/>
          </w:tcPr>
          <w:p>
            <w:pPr>
              <w:pStyle w:val="17"/>
            </w:pPr>
          </w:p>
        </w:tc>
        <w:tc>
          <w:tcPr>
            <w:tcW w:w="312"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55" w:type="pct"/>
            <w:vAlign w:val="center"/>
          </w:tcPr>
          <w:p>
            <w:pPr>
              <w:pStyle w:val="16"/>
            </w:pPr>
          </w:p>
        </w:tc>
        <w:tc>
          <w:tcPr>
            <w:tcW w:w="313" w:type="pct"/>
            <w:vAlign w:val="center"/>
          </w:tcPr>
          <w:p>
            <w:pPr>
              <w:pStyle w:val="17"/>
            </w:pPr>
          </w:p>
        </w:tc>
        <w:tc>
          <w:tcPr>
            <w:tcW w:w="367" w:type="pct"/>
            <w:vAlign w:val="center"/>
          </w:tcPr>
          <w:p>
            <w:pPr>
              <w:pStyle w:val="18"/>
            </w:pPr>
          </w:p>
        </w:tc>
        <w:tc>
          <w:tcPr>
            <w:tcW w:w="367" w:type="pct"/>
            <w:vAlign w:val="center"/>
          </w:tcPr>
          <w:p>
            <w:pPr>
              <w:pStyle w:val="18"/>
            </w:pPr>
          </w:p>
        </w:tc>
        <w:tc>
          <w:tcPr>
            <w:tcW w:w="229" w:type="pct"/>
            <w:vAlign w:val="center"/>
          </w:tcPr>
          <w:p>
            <w:pPr>
              <w:pStyle w:val="16"/>
            </w:pPr>
          </w:p>
        </w:tc>
        <w:tc>
          <w:tcPr>
            <w:tcW w:w="275" w:type="pct"/>
            <w:vAlign w:val="center"/>
          </w:tcPr>
          <w:p>
            <w:pPr>
              <w:pStyle w:val="17"/>
            </w:pPr>
          </w:p>
        </w:tc>
        <w:tc>
          <w:tcPr>
            <w:tcW w:w="275" w:type="pct"/>
            <w:vAlign w:val="center"/>
          </w:tcPr>
          <w:p>
            <w:pPr>
              <w:pStyle w:val="17"/>
            </w:pPr>
          </w:p>
        </w:tc>
        <w:tc>
          <w:tcPr>
            <w:tcW w:w="312" w:type="pct"/>
            <w:vAlign w:val="center"/>
          </w:tcPr>
          <w:p>
            <w:pPr>
              <w:pStyle w:val="17"/>
            </w:pPr>
          </w:p>
        </w:tc>
        <w:tc>
          <w:tcPr>
            <w:tcW w:w="312" w:type="pct"/>
            <w:vAlign w:val="center"/>
          </w:tcPr>
          <w:p>
            <w:pPr>
              <w:pStyle w:val="17"/>
            </w:pPr>
          </w:p>
        </w:tc>
        <w:tc>
          <w:tcPr>
            <w:tcW w:w="312" w:type="pct"/>
            <w:vAlign w:val="center"/>
          </w:tcPr>
          <w:p>
            <w:pPr>
              <w:pStyle w:val="17"/>
            </w:pPr>
          </w:p>
        </w:tc>
        <w:tc>
          <w:tcPr>
            <w:tcW w:w="312" w:type="pct"/>
            <w:vAlign w:val="center"/>
          </w:tcPr>
          <w:p>
            <w:pPr>
              <w:pStyle w:val="17"/>
            </w:pPr>
          </w:p>
        </w:tc>
        <w:tc>
          <w:tcPr>
            <w:tcW w:w="312" w:type="pct"/>
            <w:vAlign w:val="center"/>
          </w:tcPr>
          <w:p>
            <w:pPr>
              <w:pStyle w:val="17"/>
            </w:pPr>
          </w:p>
        </w:tc>
        <w:tc>
          <w:tcPr>
            <w:tcW w:w="312" w:type="pct"/>
            <w:vAlign w:val="center"/>
          </w:tcPr>
          <w:p>
            <w:pPr>
              <w:pStyle w:val="17"/>
            </w:pPr>
          </w:p>
        </w:tc>
        <w:tc>
          <w:tcPr>
            <w:tcW w:w="312" w:type="pct"/>
            <w:vAlign w:val="center"/>
          </w:tcPr>
          <w:p>
            <w:pPr>
              <w:pStyle w:val="17"/>
            </w:pPr>
          </w:p>
        </w:tc>
        <w:tc>
          <w:tcPr>
            <w:tcW w:w="318" w:type="pct"/>
            <w:vAlign w:val="center"/>
          </w:tcPr>
          <w:p>
            <w:pPr>
              <w:pStyle w:val="17"/>
            </w:pPr>
          </w:p>
        </w:tc>
        <w:tc>
          <w:tcPr>
            <w:tcW w:w="312" w:type="pct"/>
            <w:vAlign w:val="center"/>
          </w:tcPr>
          <w:p>
            <w:pPr>
              <w:pStyle w:val="17"/>
            </w:pPr>
          </w:p>
        </w:tc>
      </w:tr>
    </w:tbl>
    <w:p>
      <w:pPr>
        <w:outlineLvl w:val="1"/>
        <w:rPr>
          <w:rFonts w:ascii="方正小标宋_GBK" w:eastAsia="方正小标宋_GBK" w:cs="Times New Roman"/>
          <w:sz w:val="32"/>
        </w:rPr>
      </w:pPr>
      <w:r>
        <w:t>廊坊市</w:t>
      </w:r>
      <w:r>
        <w:rPr>
          <w:rFonts w:hint="eastAsia"/>
        </w:rPr>
        <w:t>广阳区九州镇赵各庄中心小学</w:t>
      </w:r>
      <w:r>
        <w:t xml:space="preserve">                                                                                         单位：万元</w:t>
      </w:r>
    </w:p>
    <w:p>
      <w:pPr>
        <w:spacing w:line="500" w:lineRule="exact"/>
        <w:ind w:firstLine="420"/>
        <w:rPr>
          <w:rFonts w:ascii="方正仿宋_GBK" w:hAnsi="方正仿宋_GBK" w:eastAsia="方正仿宋_GBK" w:cs="方正仿宋_GBK"/>
          <w:color w:val="000000"/>
        </w:rPr>
      </w:pPr>
      <w:r>
        <w:rPr>
          <w:rFonts w:ascii="方正仿宋_GBK" w:hAnsi="方正仿宋_GBK" w:eastAsia="方正仿宋_GBK" w:cs="方正仿宋_GBK"/>
          <w:color w:val="000000"/>
        </w:rPr>
        <w:t>注：同一采购目录序号的物品，其单价会因配置规格不同而变动，均符合资产配置标准。涉密采购事项按照相关规定执行。</w:t>
      </w:r>
    </w:p>
    <w:p>
      <w:pPr>
        <w:spacing w:line="500" w:lineRule="exact"/>
        <w:ind w:firstLine="420"/>
        <w:rPr>
          <w:rFonts w:ascii="方正仿宋_GBK" w:hAnsi="方正仿宋_GBK" w:eastAsia="方正仿宋_GBK" w:cs="方正仿宋_GBK"/>
          <w:color w:val="000000"/>
        </w:rPr>
      </w:pPr>
    </w:p>
    <w:p>
      <w:pPr>
        <w:spacing w:line="500" w:lineRule="exact"/>
        <w:ind w:firstLine="420"/>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广阳区九州镇赵各庄中心小学</w:t>
      </w:r>
      <w:r>
        <w:rPr>
          <w:rFonts w:ascii="Times New Roman" w:hAnsi="Times New Roman" w:eastAsia="仿宋_GB2312" w:cs="Times New Roman"/>
          <w:sz w:val="32"/>
          <w:szCs w:val="32"/>
        </w:rPr>
        <w:t>（含所属单位）上年末固定资产金额为441.8万元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，本年度我部门拟购置固定资产</w:t>
      </w:r>
      <w:r>
        <w:rPr>
          <w:rFonts w:hint="eastAsia" w:ascii="Times New Roman" w:hAnsi="Times New Roman" w:eastAsia="仿宋_GB2312" w:cs="Times New Roman"/>
          <w:sz w:val="32"/>
          <w:szCs w:val="32"/>
        </w:rPr>
        <w:t>总额为</w:t>
      </w:r>
      <w:r>
        <w:rPr>
          <w:rFonts w:ascii="Times New Roman" w:hAnsi="Times New Roman" w:eastAsia="仿宋_GB2312" w:cs="Times New Roman"/>
          <w:sz w:val="32"/>
          <w:szCs w:val="32"/>
        </w:rPr>
        <w:t>0</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 xml:space="preserve"> </w:t>
      </w:r>
    </w:p>
    <w:p>
      <w:pPr>
        <w:spacing w:line="584" w:lineRule="exact"/>
        <w:ind w:firstLine="640"/>
        <w:rPr>
          <w:rFonts w:ascii="Times New Roman" w:hAnsi="Times New Roman" w:eastAsia="仿宋_GB2312" w:cs="Times New Roman"/>
          <w:sz w:val="32"/>
          <w:szCs w:val="32"/>
        </w:rPr>
      </w:pP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w:t>
            </w:r>
            <w:r>
              <w:rPr>
                <w:rFonts w:hint="eastAsia" w:ascii="Times New Roman" w:hAnsi="Times New Roman" w:eastAsia="仿宋_GB2312" w:cs="Times New Roman"/>
                <w:b/>
                <w:bCs/>
                <w:kern w:val="0"/>
                <w:sz w:val="32"/>
                <w:szCs w:val="32"/>
              </w:rPr>
              <w:t>广阳区区</w:t>
            </w:r>
            <w:r>
              <w:rPr>
                <w:rFonts w:ascii="Times New Roman" w:hAnsi="Times New Roman" w:eastAsia="仿宋_GB2312" w:cs="Times New Roman"/>
                <w:b/>
                <w:bCs/>
                <w:kern w:val="0"/>
                <w:sz w:val="32"/>
                <w:szCs w:val="32"/>
              </w:rPr>
              <w:t>直部门固定资产占用情况表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编制部门：廊坊市</w:t>
            </w:r>
            <w:r>
              <w:rPr>
                <w:rFonts w:hint="eastAsia" w:ascii="Times New Roman" w:hAnsi="Times New Roman" w:eastAsia="仿宋_GB2312" w:cs="Times New Roman"/>
                <w:kern w:val="0"/>
                <w:sz w:val="22"/>
              </w:rPr>
              <w:t>广阳区九州镇赵各庄中心小学</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w:t>
            </w:r>
            <w:r>
              <w:rPr>
                <w:rFonts w:ascii="Times New Roman" w:hAnsi="Times New Roman" w:eastAsia="仿宋_GB2312" w:cs="Times New Roman"/>
                <w:kern w:val="0"/>
                <w:sz w:val="22"/>
              </w:rPr>
              <w:t xml:space="preserve">1年12月31日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411.8</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1318</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411.8</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1318</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411.8</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sectPr>
      <w:footerReference r:id="rId3" w:type="default"/>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书宋_GBK">
    <w:altName w:val="微软雅黑"/>
    <w:panose1 w:val="00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auto"/>
    <w:pitch w:val="default"/>
    <w:sig w:usb0="00000000" w:usb1="00000000"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11</w:t>
    </w:r>
    <w:r>
      <w:rPr>
        <w:lang w:val="zh-CN"/>
      </w:rPr>
      <w:fldChar w:fldCharType="end"/>
    </w:r>
    <w:r>
      <w:rPr>
        <w:rFonts w:hint="eastAsia"/>
      </w:rPr>
      <w:t>-</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7CC"/>
    <w:rsid w:val="00016118"/>
    <w:rsid w:val="000230E6"/>
    <w:rsid w:val="000A3C6C"/>
    <w:rsid w:val="000B2358"/>
    <w:rsid w:val="000F6018"/>
    <w:rsid w:val="0015329E"/>
    <w:rsid w:val="001677D2"/>
    <w:rsid w:val="00191A26"/>
    <w:rsid w:val="001B32FB"/>
    <w:rsid w:val="002019FF"/>
    <w:rsid w:val="0025632D"/>
    <w:rsid w:val="00284C42"/>
    <w:rsid w:val="00287EF8"/>
    <w:rsid w:val="003059E0"/>
    <w:rsid w:val="00353843"/>
    <w:rsid w:val="00410413"/>
    <w:rsid w:val="00435D41"/>
    <w:rsid w:val="00451489"/>
    <w:rsid w:val="00454732"/>
    <w:rsid w:val="004669C5"/>
    <w:rsid w:val="004A54AA"/>
    <w:rsid w:val="00541E10"/>
    <w:rsid w:val="00692935"/>
    <w:rsid w:val="00723090"/>
    <w:rsid w:val="00730C32"/>
    <w:rsid w:val="008A540B"/>
    <w:rsid w:val="008A6F8C"/>
    <w:rsid w:val="00923F99"/>
    <w:rsid w:val="00944233"/>
    <w:rsid w:val="00A361A5"/>
    <w:rsid w:val="00AC1133"/>
    <w:rsid w:val="00B40732"/>
    <w:rsid w:val="00B80935"/>
    <w:rsid w:val="00BE0480"/>
    <w:rsid w:val="00C9411A"/>
    <w:rsid w:val="00CA26D3"/>
    <w:rsid w:val="00CE75E4"/>
    <w:rsid w:val="00D303EB"/>
    <w:rsid w:val="00D347CC"/>
    <w:rsid w:val="00D54A85"/>
    <w:rsid w:val="00D66106"/>
    <w:rsid w:val="00D91BFC"/>
    <w:rsid w:val="00DC72B4"/>
    <w:rsid w:val="00DF7CFA"/>
    <w:rsid w:val="00F114D2"/>
    <w:rsid w:val="00FA6161"/>
    <w:rsid w:val="00FE4772"/>
    <w:rsid w:val="0CEC1180"/>
    <w:rsid w:val="13B05C60"/>
    <w:rsid w:val="1D445335"/>
    <w:rsid w:val="255C1D13"/>
    <w:rsid w:val="27D6656B"/>
    <w:rsid w:val="73693C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0"/>
    <w:rPr>
      <w:rFonts w:ascii="Times New Roman" w:hAnsi="Times New Roman" w:cs="Times New Roman"/>
      <w:szCs w:val="24"/>
    </w:rPr>
  </w:style>
  <w:style w:type="paragraph" w:styleId="6">
    <w:name w:val="footnote text"/>
    <w:basedOn w:val="1"/>
    <w:qFormat/>
    <w:uiPriority w:val="0"/>
    <w:pPr>
      <w:snapToGrid w:val="0"/>
      <w:jc w:val="left"/>
    </w:pPr>
    <w:rPr>
      <w:rFonts w:cs="Times New Roman"/>
      <w:sz w:val="18"/>
      <w:szCs w:val="18"/>
    </w:rPr>
  </w:style>
  <w:style w:type="paragraph" w:styleId="7">
    <w:name w:val="toc 2"/>
    <w:basedOn w:val="1"/>
    <w:next w:val="1"/>
    <w:qFormat/>
    <w:uiPriority w:val="0"/>
    <w:pPr>
      <w:ind w:left="200" w:leftChars="200"/>
    </w:pPr>
    <w:rPr>
      <w:rFonts w:ascii="Times New Roman" w:hAnsi="Times New Roman" w:cs="Times New Roman"/>
      <w:szCs w:val="24"/>
    </w:rPr>
  </w:style>
  <w:style w:type="character" w:styleId="10">
    <w:name w:val="footnote reference"/>
    <w:qFormat/>
    <w:uiPriority w:val="0"/>
    <w:rPr>
      <w:vertAlign w:val="superscript"/>
    </w:rPr>
  </w:style>
  <w:style w:type="paragraph" w:customStyle="1" w:styleId="1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
    <w:name w:val="单元格样式1"/>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3">
    <w:name w:val="单元格样式4"/>
    <w:basedOn w:val="1"/>
    <w:qFormat/>
    <w:uiPriority w:val="0"/>
    <w:pPr>
      <w:widowControl/>
      <w:jc w:val="right"/>
    </w:pPr>
    <w:rPr>
      <w:rFonts w:ascii="方正书宋_GBK" w:hAnsi="方正书宋_GBK" w:eastAsia="方正书宋_GBK" w:cs="方正书宋_GBK"/>
      <w:kern w:val="0"/>
      <w:szCs w:val="24"/>
      <w:lang w:eastAsia="uk-UA"/>
    </w:rPr>
  </w:style>
  <w:style w:type="paragraph" w:customStyle="1" w:styleId="14">
    <w:name w:val="单元格样式2"/>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15">
    <w:name w:val="单元格样式3"/>
    <w:basedOn w:val="1"/>
    <w:qFormat/>
    <w:uiPriority w:val="0"/>
    <w:pPr>
      <w:widowControl/>
      <w:jc w:val="center"/>
    </w:pPr>
    <w:rPr>
      <w:rFonts w:ascii="方正书宋_GBK" w:hAnsi="方正书宋_GBK" w:eastAsia="方正书宋_GBK" w:cs="方正书宋_GBK"/>
      <w:kern w:val="0"/>
      <w:szCs w:val="24"/>
      <w:lang w:eastAsia="uk-UA"/>
    </w:rPr>
  </w:style>
  <w:style w:type="paragraph" w:customStyle="1" w:styleId="16">
    <w:name w:val="单元格样式6"/>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7">
    <w:name w:val="单元格样式7"/>
    <w:basedOn w:val="1"/>
    <w:qFormat/>
    <w:uiPriority w:val="0"/>
    <w:pPr>
      <w:widowControl/>
      <w:jc w:val="right"/>
    </w:pPr>
    <w:rPr>
      <w:rFonts w:ascii="方正书宋_GBK" w:hAnsi="方正书宋_GBK" w:eastAsia="方正书宋_GBK" w:cs="方正书宋_GBK"/>
      <w:b/>
      <w:kern w:val="0"/>
      <w:szCs w:val="24"/>
      <w:lang w:eastAsia="uk-UA"/>
    </w:rPr>
  </w:style>
  <w:style w:type="paragraph" w:customStyle="1" w:styleId="18">
    <w:name w:val="单元格样式5"/>
    <w:basedOn w:val="1"/>
    <w:qFormat/>
    <w:uiPriority w:val="0"/>
    <w:pPr>
      <w:widowControl/>
      <w:jc w:val="left"/>
    </w:pPr>
    <w:rPr>
      <w:rFonts w:ascii="方正书宋_GBK" w:hAnsi="方正书宋_GBK" w:eastAsia="方正书宋_GBK" w:cs="方正书宋_GBK"/>
      <w:b/>
      <w:kern w:val="0"/>
      <w:szCs w:val="24"/>
      <w:lang w:eastAsia="uk-UA"/>
    </w:rPr>
  </w:style>
  <w:style w:type="paragraph" w:customStyle="1" w:styleId="19">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20</Pages>
  <Words>1390</Words>
  <Characters>7926</Characters>
  <Lines>66</Lines>
  <Paragraphs>18</Paragraphs>
  <TotalTime>0</TotalTime>
  <ScaleCrop>false</ScaleCrop>
  <LinksUpToDate>false</LinksUpToDate>
  <CharactersWithSpaces>9298</CharactersWithSpaces>
  <Application>WPS Office_11.1.0.11339_F1E327BC-269C-435d-A152-05C5408002CA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2022-03-08T02:32:00Z</dcterms:created>
  <dc:creator>guest</dc:creator>
  <cp:lastModifiedBy>lenovo</cp:lastModifiedBy>
  <cp:lastPrinted>2018-01-30T06:12:00Z</cp:lastPrinted>
  <dcterms:modified xsi:type="dcterms:W3CDTF">2022-07-06T08:43:11Z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2052-11.1.0.11339</vt:lpwstr>
  </property>
  <property fmtid="{D5CDD505-2E9C-101B-9397-08002B2CF9AE}" pid="3" name="ICV">
    <vt:lpwstr>723B94CEA18549CEB21E4047D023F36F</vt:lpwstr>
  </property>
</Properties>
</file>