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bookmarkStart w:id="5" w:name="_GoBack"/>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广阳区北旺镇东户屯中心小学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广阳区北旺镇东户屯中心小学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部门职责：</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广阳区北旺镇东户屯中心小学实施小学义务教育，促进基础教育发展，完成小学学历教育。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center"/>
          </w:tcPr>
          <w:p>
            <w:pPr>
              <w:spacing w:line="584" w:lineRule="exact"/>
              <w:rPr>
                <w:rFonts w:ascii="Times New Roman" w:hAnsi="Times New Roman" w:eastAsia="方正小标宋简体" w:cs="Times New Roman"/>
                <w:sz w:val="32"/>
                <w:szCs w:val="32"/>
              </w:rPr>
            </w:pPr>
            <w:r>
              <w:rPr>
                <w:rFonts w:ascii="Times New Roman" w:hAnsi="Times New Roman" w:eastAsia="仿宋_GB2312" w:cs="Times New Roman"/>
                <w:b/>
                <w:szCs w:val="24"/>
              </w:rPr>
              <w:t>廊坊市</w:t>
            </w:r>
            <w:r>
              <w:rPr>
                <w:rFonts w:hint="eastAsia" w:ascii="Times New Roman" w:hAnsi="Times New Roman" w:eastAsia="仿宋_GB2312" w:cs="Times New Roman"/>
                <w:b/>
                <w:szCs w:val="24"/>
              </w:rPr>
              <w:t>广阳区北旺镇东户屯中心小学</w:t>
            </w:r>
          </w:p>
        </w:tc>
        <w:tc>
          <w:tcPr>
            <w:tcW w:w="1134"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noWrap w:val="0"/>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广阳区北旺镇东户屯中心小学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广阳区北旺镇东户屯中心小学2022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6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rPr>
        <w:t>13.35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2022年比2021年增加了城乡义务教育生均公用经费、教育经费2个项目</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hint="eastAsia" w:ascii="仿宋_GB2312" w:eastAsia="仿宋_GB2312"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推进义务教育均衡发展，建立中小学校舍安全保障机制，改善薄弱学校办学条件，提高素质教育水平，开展丰富多彩的教学活动。促进公共教育资源向农村和经济欠发达地区倾斜。</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提高义务教育公用经费保障水平，改善办学条件，均衡配置基础教育资源，缩小城乡、区域、校际之间办学差距，推进标准化学校建设，实施数字化校园建设，加强学校文化建设，落实学生资助政策。</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w:t>
      </w:r>
      <w:r>
        <w:rPr>
          <w:rFonts w:eastAsia="仿宋_GB2312"/>
          <w:kern w:val="2"/>
          <w:sz w:val="32"/>
          <w:szCs w:val="32"/>
          <w:lang w:eastAsia="zh-CN"/>
        </w:rPr>
        <w:t xml:space="preserve">、发展农村义务教育  </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免除农村中小学生学杂费，提高公用经费保障水平，为贫困中小学生免费提供教科书，改善农村中小学办学条件。保障中小学公用经费水平逐年提高。保障小学入学率。</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2</w:t>
      </w:r>
      <w:r>
        <w:rPr>
          <w:rFonts w:eastAsia="仿宋_GB2312"/>
          <w:kern w:val="2"/>
          <w:sz w:val="32"/>
          <w:szCs w:val="32"/>
          <w:lang w:eastAsia="zh-CN"/>
        </w:rPr>
        <w:t>、改善学校办学条件</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保障义务教育阶段学校基本教学条件，改善学校生活设施，保障后勤社会化服务，解决学校大班额问题。开展学生社会实践活动，建立学生实践教育基地，推进学校教育信息化。使义务教育学校教学设施和生活设施满足基本教学需要，保障后勤社会化服务资金充足，使学校能够正常运转，超大班额现象消除，教师数量、素质、结构基本适应教学需要。</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3</w:t>
      </w:r>
      <w:r>
        <w:rPr>
          <w:rFonts w:eastAsia="仿宋_GB2312"/>
          <w:kern w:val="2"/>
          <w:sz w:val="32"/>
          <w:szCs w:val="32"/>
          <w:lang w:eastAsia="zh-CN"/>
        </w:rPr>
        <w:t>、提升特殊教育保障水平</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保证教学设备设施配备齐全，保障学生校园安全，支持贫困学生和爱心家园学生完成学业。改善办学条件，配置基础教育资源</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4</w:t>
      </w:r>
      <w:r>
        <w:rPr>
          <w:rFonts w:eastAsia="仿宋_GB2312"/>
          <w:kern w:val="2"/>
          <w:sz w:val="32"/>
          <w:szCs w:val="32"/>
          <w:lang w:eastAsia="zh-CN"/>
        </w:rPr>
        <w:t>、开展教师教研及学生德育活动</w:t>
      </w:r>
    </w:p>
    <w:p>
      <w:pPr>
        <w:pStyle w:val="15"/>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开展各类课题研究、校本研究，加强教师培训和教学交流，加强德育培训与研究，举办各类教育教学活动。提高教师教学水平，调动教师积极性，培养专家型教师人才，提高学生的综合素质。</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1、成立以校长为组长的学校教学经费保障领导小组，加强对教学经费保障的领导工作，确保教学经费使用占学校总开支的20%以上。</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2、建立日请月结、学期公布的财务制度。增加财物工作的透明、公开度。</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3、设立意见箱和回音栏，对教师提出的建议和意见及制给予回答并落实。</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4、定期召开教学经费保障专题会议。集思广益，使学校经费为教学开绿灯。</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5、成立教学经费保障监督小组，实行民主理财，集体决策。</w:t>
      </w:r>
    </w:p>
    <w:p>
      <w:pPr>
        <w:pStyle w:val="14"/>
        <w:keepNext w:val="0"/>
        <w:keepLines w:val="0"/>
        <w:pageBreakBefore w:val="0"/>
        <w:kinsoku/>
        <w:wordWrap/>
        <w:overflowPunct/>
        <w:topLinePunct w:val="0"/>
        <w:autoSpaceDE/>
        <w:autoSpaceDN/>
        <w:bidi w:val="0"/>
        <w:adjustRightInd/>
        <w:snapToGrid/>
        <w:spacing w:line="584" w:lineRule="exact"/>
        <w:textAlignment w:val="auto"/>
        <w:rPr>
          <w:rFonts w:eastAsia="仿宋_GB2312"/>
          <w:kern w:val="2"/>
          <w:sz w:val="32"/>
          <w:szCs w:val="32"/>
          <w:lang w:eastAsia="zh-CN"/>
        </w:rPr>
      </w:pPr>
      <w:r>
        <w:rPr>
          <w:rFonts w:eastAsia="仿宋_GB2312"/>
          <w:kern w:val="2"/>
          <w:sz w:val="32"/>
          <w:szCs w:val="32"/>
          <w:lang w:eastAsia="zh-CN"/>
        </w:rPr>
        <w:t>6、设立教师外出培训、外出学习交流专项资金。确保教师培训、外出学习交流</w:t>
      </w:r>
      <w:r>
        <w:rPr>
          <w:rFonts w:hint="eastAsia" w:eastAsia="仿宋_GB2312"/>
          <w:kern w:val="2"/>
          <w:sz w:val="32"/>
          <w:szCs w:val="32"/>
          <w:lang w:eastAsia="zh-CN"/>
        </w:rPr>
        <w:t>落到实处</w:t>
      </w:r>
      <w:r>
        <w:rPr>
          <w:rFonts w:eastAsia="仿宋_GB2312"/>
          <w:kern w:val="2"/>
          <w:sz w:val="32"/>
          <w:szCs w:val="32"/>
          <w:lang w:eastAsia="zh-CN"/>
        </w:rPr>
        <w:t>。</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10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482"/>
        <w:gridCol w:w="2187"/>
        <w:gridCol w:w="1717"/>
        <w:gridCol w:w="578"/>
        <w:gridCol w:w="452"/>
        <w:gridCol w:w="632"/>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482"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8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17"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62"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82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noWrap w:val="0"/>
            <w:vAlign w:val="center"/>
          </w:tcPr>
          <w:p/>
        </w:tc>
        <w:tc>
          <w:tcPr>
            <w:tcW w:w="825" w:type="dxa"/>
            <w:vMerge w:val="continue"/>
            <w:noWrap w:val="0"/>
            <w:vAlign w:val="center"/>
          </w:tcPr>
          <w:p/>
        </w:tc>
        <w:tc>
          <w:tcPr>
            <w:tcW w:w="1482" w:type="dxa"/>
            <w:vMerge w:val="continue"/>
            <w:noWrap w:val="0"/>
            <w:vAlign w:val="center"/>
          </w:tcPr>
          <w:p/>
        </w:tc>
        <w:tc>
          <w:tcPr>
            <w:tcW w:w="2187" w:type="dxa"/>
            <w:vMerge w:val="continue"/>
            <w:noWrap w:val="0"/>
            <w:vAlign w:val="center"/>
          </w:tcPr>
          <w:p/>
        </w:tc>
        <w:tc>
          <w:tcPr>
            <w:tcW w:w="1717" w:type="dxa"/>
            <w:vMerge w:val="continue"/>
            <w:noWrap w:val="0"/>
            <w:vAlign w:val="center"/>
          </w:tcPr>
          <w:p/>
        </w:tc>
        <w:tc>
          <w:tcPr>
            <w:tcW w:w="578"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52"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32"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821"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noWrap w:val="0"/>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482"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义务教育在校生（人）</w:t>
            </w:r>
          </w:p>
        </w:tc>
        <w:tc>
          <w:tcPr>
            <w:tcW w:w="218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717"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在校生人数</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17"/>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170</w:t>
            </w:r>
          </w:p>
        </w:tc>
        <w:tc>
          <w:tcPr>
            <w:tcW w:w="632" w:type="dxa"/>
            <w:noWrap w:val="0"/>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人</w:t>
            </w:r>
          </w:p>
        </w:tc>
        <w:tc>
          <w:tcPr>
            <w:tcW w:w="1821"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保障教学完成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482"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lang w:eastAsia="zh-CN"/>
              </w:rPr>
              <w:t>购置</w:t>
            </w:r>
            <w:r>
              <w:rPr>
                <w:rFonts w:hint="eastAsia" w:ascii="仿宋_GB2312" w:hAnsi="仿宋_GB2312" w:eastAsia="仿宋_GB2312" w:cs="仿宋_GB2312"/>
              </w:rPr>
              <w:t>物资合格率</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20分全部合格得满分，否则不得分。</w:t>
            </w:r>
          </w:p>
          <w:p>
            <w:pPr>
              <w:rPr>
                <w:rFonts w:hint="eastAsia" w:ascii="仿宋_GB2312" w:hAnsi="仿宋_GB2312" w:eastAsia="仿宋_GB2312" w:cs="仿宋_GB2312"/>
              </w:rPr>
            </w:pPr>
          </w:p>
        </w:tc>
        <w:tc>
          <w:tcPr>
            <w:tcW w:w="1717"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rPr>
              <w:t>100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482"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及时性</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20分及时完成得满分，否则不得分</w:t>
            </w:r>
          </w:p>
          <w:p>
            <w:pPr>
              <w:widowControl/>
              <w:adjustRightInd w:val="0"/>
              <w:snapToGrid w:val="0"/>
              <w:rPr>
                <w:rFonts w:hint="eastAsia" w:ascii="仿宋_GB2312" w:hAnsi="仿宋_GB2312" w:eastAsia="仿宋_GB2312" w:cs="仿宋_GB2312"/>
              </w:rPr>
            </w:pPr>
          </w:p>
        </w:tc>
        <w:tc>
          <w:tcPr>
            <w:tcW w:w="1717"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578"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rPr>
              <w:t>100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482" w:type="dxa"/>
            <w:noWrap w:val="0"/>
            <w:vAlign w:val="center"/>
          </w:tcPr>
          <w:p>
            <w:pPr>
              <w:pStyle w:val="17"/>
              <w:rPr>
                <w:rFonts w:hint="eastAsia" w:ascii="仿宋_GB2312" w:hAnsi="仿宋_GB2312" w:eastAsia="仿宋_GB2312" w:cs="仿宋_GB2312"/>
                <w:lang w:eastAsia="zh-CN"/>
              </w:rPr>
            </w:pPr>
            <w:r>
              <w:rPr>
                <w:rFonts w:hint="eastAsia" w:ascii="仿宋_GB2312" w:hAnsi="仿宋_GB2312" w:eastAsia="仿宋_GB2312" w:cs="仿宋_GB2312"/>
                <w:lang w:eastAsia="zh-CN"/>
              </w:rPr>
              <w:t>资金成本</w:t>
            </w:r>
          </w:p>
        </w:tc>
        <w:tc>
          <w:tcPr>
            <w:tcW w:w="2187"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10分不超过预算总额得满分，否则不得分</w:t>
            </w:r>
          </w:p>
          <w:p>
            <w:pPr>
              <w:rPr>
                <w:rFonts w:hint="eastAsia" w:ascii="仿宋_GB2312" w:hAnsi="仿宋_GB2312" w:eastAsia="仿宋_GB2312" w:cs="仿宋_GB2312"/>
              </w:rPr>
            </w:pPr>
            <w:r>
              <w:rPr>
                <w:rFonts w:hint="eastAsia" w:ascii="仿宋_GB2312" w:hAnsi="仿宋_GB2312" w:eastAsia="仿宋_GB2312" w:cs="仿宋_GB2312"/>
                <w:color w:val="000000"/>
                <w:sz w:val="22"/>
              </w:rPr>
              <w:t>。</w:t>
            </w:r>
          </w:p>
        </w:tc>
        <w:tc>
          <w:tcPr>
            <w:tcW w:w="1717" w:type="dxa"/>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578" w:type="dxa"/>
            <w:noWrap w:val="0"/>
            <w:vAlign w:val="center"/>
          </w:tcPr>
          <w:p>
            <w:pPr>
              <w:rPr>
                <w:rFonts w:hint="eastAsia" w:ascii="仿宋_GB2312" w:hAnsi="仿宋_GB2312" w:eastAsia="仿宋_GB2312" w:cs="仿宋_GB2312"/>
                <w:color w:val="000000"/>
                <w:sz w:val="22"/>
              </w:rPr>
            </w:pP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52" w:type="dxa"/>
            <w:noWrap w:val="0"/>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133500</w:t>
            </w:r>
          </w:p>
        </w:tc>
        <w:tc>
          <w:tcPr>
            <w:tcW w:w="632"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元</w:t>
            </w:r>
          </w:p>
        </w:tc>
        <w:tc>
          <w:tcPr>
            <w:tcW w:w="1821"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noWrap w:val="0"/>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482" w:type="dxa"/>
            <w:noWrap w:val="0"/>
            <w:vAlign w:val="center"/>
          </w:tcPr>
          <w:p>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p>
            <w:pPr>
              <w:pStyle w:val="17"/>
              <w:rPr>
                <w:rFonts w:hint="eastAsia" w:ascii="仿宋_GB2312" w:hAnsi="仿宋_GB2312" w:eastAsia="仿宋_GB2312" w:cs="仿宋_GB2312"/>
              </w:rPr>
            </w:pPr>
          </w:p>
        </w:tc>
        <w:tc>
          <w:tcPr>
            <w:tcW w:w="218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10分及时完成得满分，否则不得分</w:t>
            </w:r>
          </w:p>
        </w:tc>
        <w:tc>
          <w:tcPr>
            <w:tcW w:w="1717" w:type="dxa"/>
            <w:noWrap w:val="0"/>
            <w:vAlign w:val="center"/>
          </w:tcPr>
          <w:p>
            <w:pPr>
              <w:jc w:val="left"/>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p>
            <w:pPr>
              <w:pStyle w:val="17"/>
              <w:rPr>
                <w:rFonts w:hint="eastAsia" w:ascii="仿宋_GB2312" w:hAnsi="仿宋_GB2312" w:eastAsia="仿宋_GB2312" w:cs="仿宋_GB2312"/>
              </w:rPr>
            </w:pP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p>
            <w:pPr>
              <w:widowControl/>
              <w:adjustRightInd w:val="0"/>
              <w:snapToGrid w:val="0"/>
              <w:rPr>
                <w:rFonts w:hint="eastAsia" w:ascii="仿宋_GB2312" w:hAnsi="仿宋_GB2312" w:eastAsia="仿宋_GB2312" w:cs="仿宋_GB2312"/>
              </w:rPr>
            </w:pPr>
          </w:p>
        </w:tc>
        <w:tc>
          <w:tcPr>
            <w:tcW w:w="452" w:type="dxa"/>
            <w:noWrap w:val="0"/>
            <w:vAlign w:val="center"/>
          </w:tcPr>
          <w:p>
            <w:pPr>
              <w:widowControl/>
              <w:adjustRightInd w:val="0"/>
              <w:snapToGrid w:val="0"/>
              <w:jc w:val="center"/>
              <w:rPr>
                <w:rFonts w:hint="eastAsia" w:ascii="仿宋_GB2312" w:hAnsi="仿宋_GB2312" w:eastAsia="仿宋_GB2312" w:cs="仿宋_GB2312"/>
              </w:rPr>
            </w:pPr>
          </w:p>
        </w:tc>
        <w:tc>
          <w:tcPr>
            <w:tcW w:w="632" w:type="dxa"/>
            <w:noWrap w:val="0"/>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提高</w:t>
            </w:r>
          </w:p>
          <w:p>
            <w:pPr>
              <w:widowControl/>
              <w:adjustRightInd w:val="0"/>
              <w:snapToGrid w:val="0"/>
              <w:jc w:val="center"/>
              <w:rPr>
                <w:rFonts w:hint="eastAsia" w:ascii="仿宋_GB2312" w:hAnsi="仿宋_GB2312" w:eastAsia="仿宋_GB2312" w:cs="仿宋_GB2312"/>
              </w:rPr>
            </w:pPr>
          </w:p>
        </w:tc>
        <w:tc>
          <w:tcPr>
            <w:tcW w:w="1821"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19" w:hRule="atLeast"/>
          <w:jc w:val="center"/>
        </w:trPr>
        <w:tc>
          <w:tcPr>
            <w:tcW w:w="558" w:type="dxa"/>
            <w:noWrap w:val="0"/>
            <w:vAlign w:val="center"/>
          </w:tcPr>
          <w:p/>
        </w:tc>
        <w:tc>
          <w:tcPr>
            <w:tcW w:w="825"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482" w:type="dxa"/>
            <w:noWrap/>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sz w:val="22"/>
                <w:lang w:eastAsia="zh-CN"/>
              </w:rPr>
              <w:t>服务满意度</w:t>
            </w:r>
          </w:p>
        </w:tc>
        <w:tc>
          <w:tcPr>
            <w:tcW w:w="2187" w:type="dxa"/>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10分在校师生及家长的满意度达到95%得满分，每降低1%扣1分，扣完为止。</w:t>
            </w:r>
          </w:p>
          <w:p>
            <w:pPr>
              <w:rPr>
                <w:rFonts w:hint="eastAsia" w:ascii="仿宋_GB2312" w:hAnsi="仿宋_GB2312" w:eastAsia="仿宋_GB2312" w:cs="仿宋_GB2312"/>
              </w:rPr>
            </w:pPr>
          </w:p>
        </w:tc>
        <w:tc>
          <w:tcPr>
            <w:tcW w:w="1717"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在校师生的满意程度</w:t>
            </w: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p>
            <w:pPr>
              <w:widowControl/>
              <w:adjustRightInd w:val="0"/>
              <w:snapToGrid w:val="0"/>
              <w:rPr>
                <w:rFonts w:hint="eastAsia" w:ascii="仿宋_GB2312" w:hAnsi="仿宋_GB2312" w:eastAsia="仿宋_GB2312" w:cs="仿宋_GB2312"/>
              </w:rPr>
            </w:pPr>
          </w:p>
        </w:tc>
        <w:tc>
          <w:tcPr>
            <w:tcW w:w="452" w:type="dxa"/>
            <w:noWrap w:val="0"/>
            <w:vAlign w:val="center"/>
          </w:tcPr>
          <w:tbl>
            <w:tblPr>
              <w:tblStyle w:val="10"/>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256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r>
          </w:tbl>
          <w:p>
            <w:pPr>
              <w:widowControl/>
              <w:adjustRightInd w:val="0"/>
              <w:snapToGrid w:val="0"/>
              <w:rPr>
                <w:rFonts w:hint="eastAsia" w:ascii="仿宋_GB2312" w:hAnsi="仿宋_GB2312" w:eastAsia="仿宋_GB2312" w:cs="仿宋_GB2312"/>
              </w:rPr>
            </w:pPr>
          </w:p>
        </w:tc>
        <w:tc>
          <w:tcPr>
            <w:tcW w:w="632"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821" w:type="dxa"/>
            <w:noWrap w:val="0"/>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color w:val="000000"/>
                <w:sz w:val="22"/>
                <w:lang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noWrap w:val="0"/>
            <w:vAlign w:val="center"/>
          </w:tcPr>
          <w:p/>
        </w:tc>
        <w:tc>
          <w:tcPr>
            <w:tcW w:w="825" w:type="dxa"/>
            <w:noWrap w:val="0"/>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满意度</w:t>
            </w:r>
          </w:p>
        </w:tc>
        <w:tc>
          <w:tcPr>
            <w:tcW w:w="1482" w:type="dxa"/>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服务满意度</w:t>
            </w:r>
          </w:p>
        </w:tc>
        <w:tc>
          <w:tcPr>
            <w:tcW w:w="2187" w:type="dxa"/>
            <w:noWrap/>
            <w:vAlign w:val="center"/>
          </w:tcPr>
          <w:p>
            <w:pP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rPr>
              <w:t>10分在校师生及家长的满意度达到95%得满分，每降低1%扣1分，扣完为止。</w:t>
            </w:r>
          </w:p>
        </w:tc>
        <w:tc>
          <w:tcPr>
            <w:tcW w:w="1717" w:type="dxa"/>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家长</w:t>
            </w:r>
            <w:r>
              <w:rPr>
                <w:rFonts w:hint="eastAsia" w:ascii="仿宋_GB2312" w:hAnsi="仿宋_GB2312" w:eastAsia="仿宋_GB2312" w:cs="仿宋_GB2312"/>
                <w:color w:val="000000"/>
                <w:sz w:val="22"/>
              </w:rPr>
              <w:t>的满意程度</w:t>
            </w:r>
          </w:p>
        </w:tc>
        <w:tc>
          <w:tcPr>
            <w:tcW w:w="578" w:type="dxa"/>
            <w:noWrap w:val="0"/>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p>
            <w:pPr>
              <w:widowControl/>
              <w:adjustRightInd w:val="0"/>
              <w:snapToGrid w:val="0"/>
              <w:rPr>
                <w:rFonts w:hint="eastAsia" w:ascii="仿宋_GB2312" w:hAnsi="仿宋_GB2312" w:eastAsia="仿宋_GB2312" w:cs="仿宋_GB2312"/>
                <w:kern w:val="2"/>
                <w:sz w:val="21"/>
                <w:szCs w:val="22"/>
                <w:lang w:val="en-US" w:eastAsia="zh-CN" w:bidi="ar-SA"/>
              </w:rPr>
            </w:pPr>
          </w:p>
        </w:tc>
        <w:tc>
          <w:tcPr>
            <w:tcW w:w="452" w:type="dxa"/>
            <w:noWrap w:val="0"/>
            <w:vAlign w:val="center"/>
          </w:tcPr>
          <w:tbl>
            <w:tblPr>
              <w:tblStyle w:val="10"/>
              <w:tblW w:w="3760" w:type="dxa"/>
              <w:tblInd w:w="0" w:type="dxa"/>
              <w:tblLayout w:type="fixed"/>
              <w:tblCellMar>
                <w:top w:w="0" w:type="dxa"/>
                <w:left w:w="108" w:type="dxa"/>
                <w:bottom w:w="0" w:type="dxa"/>
                <w:right w:w="108" w:type="dxa"/>
              </w:tblCellMar>
            </w:tblPr>
            <w:tblGrid>
              <w:gridCol w:w="1200"/>
              <w:gridCol w:w="2560"/>
            </w:tblGrid>
            <w:tr>
              <w:tblPrEx>
                <w:tblCellMar>
                  <w:top w:w="0" w:type="dxa"/>
                  <w:left w:w="108" w:type="dxa"/>
                  <w:bottom w:w="0" w:type="dxa"/>
                  <w:right w:w="108" w:type="dxa"/>
                </w:tblCellMar>
              </w:tblPrEx>
              <w:trPr>
                <w:trHeight w:val="330" w:hRule="atLeast"/>
              </w:trPr>
              <w:tc>
                <w:tcPr>
                  <w:tcW w:w="120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2560" w:type="dxa"/>
                  <w:tcBorders>
                    <w:top w:val="nil"/>
                    <w:left w:val="nil"/>
                    <w:bottom w:val="nil"/>
                    <w:right w:val="nil"/>
                  </w:tcBorders>
                  <w:noWrap/>
                  <w:vAlign w:val="top"/>
                </w:tcPr>
                <w:p>
                  <w:pPr>
                    <w:widowControl/>
                    <w:jc w:val="left"/>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r>
          </w:tbl>
          <w:p>
            <w:pPr>
              <w:widowControl/>
              <w:adjustRightInd w:val="0"/>
              <w:snapToGrid w:val="0"/>
              <w:rPr>
                <w:rFonts w:hint="eastAsia" w:ascii="仿宋_GB2312" w:hAnsi="仿宋_GB2312" w:eastAsia="仿宋_GB2312" w:cs="仿宋_GB2312"/>
                <w:kern w:val="2"/>
                <w:sz w:val="21"/>
                <w:szCs w:val="22"/>
                <w:lang w:val="en-US" w:eastAsia="zh-CN" w:bidi="ar-SA"/>
              </w:rPr>
            </w:pPr>
          </w:p>
        </w:tc>
        <w:tc>
          <w:tcPr>
            <w:tcW w:w="632"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821"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color w:val="000000"/>
                <w:sz w:val="22"/>
                <w:lang w:eastAsia="zh-CN"/>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rPr>
          <w:rFonts w:hint="eastAsia" w:ascii="仿宋_GB2312" w:hAnsi="仿宋_GB2312" w:eastAsia="仿宋_GB2312" w:cs="仿宋_GB2312"/>
          <w:color w:val="000000"/>
          <w:sz w:val="28"/>
          <w:szCs w:val="28"/>
        </w:rPr>
      </w:pPr>
      <w:bookmarkStart w:id="0" w:name="_Toc_4_4_0000000004"/>
      <w:r>
        <w:rPr>
          <w:rFonts w:hint="eastAsia" w:ascii="仿宋_GB2312" w:hAnsi="仿宋_GB2312" w:eastAsia="仿宋_GB2312" w:cs="仿宋_GB2312"/>
          <w:color w:val="000000"/>
          <w:sz w:val="28"/>
          <w:szCs w:val="28"/>
        </w:rPr>
        <w:t>1.城乡义务教育生均公用经费[区级]绩效目标表</w:t>
      </w:r>
      <w:bookmarkEnd w:id="0"/>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47"/>
        <w:gridCol w:w="123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4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1.廊坊市广阳区北旺镇东户屯中心小学对2022年在校学生</w:t>
            </w:r>
            <w:r>
              <w:rPr>
                <w:rFonts w:hint="eastAsia" w:ascii="仿宋_GB2312" w:hAnsi="仿宋_GB2312" w:eastAsia="仿宋_GB2312" w:cs="仿宋_GB2312"/>
                <w:lang w:eastAsia="zh-CN"/>
              </w:rPr>
              <w:t>170</w:t>
            </w:r>
            <w:r>
              <w:rPr>
                <w:rFonts w:hint="eastAsia" w:ascii="仿宋_GB2312" w:hAnsi="仿宋_GB2312" w:eastAsia="仿宋_GB2312" w:cs="仿宋_GB2312"/>
              </w:rPr>
              <w:t>人，按照义务教育生均公用经费标准申请财政预算金，通过合理、合规使用资金达到保证学校正常运转。</w:t>
            </w:r>
          </w:p>
          <w:p>
            <w:pPr>
              <w:pStyle w:val="17"/>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7"/>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78"/>
        <w:gridCol w:w="2047"/>
        <w:gridCol w:w="2345"/>
        <w:gridCol w:w="3569"/>
        <w:gridCol w:w="1079"/>
        <w:gridCol w:w="33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66"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73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841"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280"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87"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188"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restar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产出指标</w:t>
            </w: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数量指标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lang w:eastAsia="zh-CN"/>
              </w:rPr>
              <w:t>170</w:t>
            </w:r>
            <w:r>
              <w:rPr>
                <w:rFonts w:hint="eastAsia" w:ascii="仿宋_GB2312" w:hAnsi="仿宋_GB2312" w:eastAsia="仿宋_GB2312" w:cs="仿宋_GB2312"/>
              </w:rPr>
              <w:t>人</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质量指标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时效指标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38" w:hRule="atLeast"/>
          <w:jc w:val="center"/>
        </w:trPr>
        <w:tc>
          <w:tcPr>
            <w:tcW w:w="566" w:type="pct"/>
            <w:vMerge w:val="continue"/>
            <w:noWrap w:val="0"/>
            <w:vAlign w:val="center"/>
          </w:tcPr>
          <w:p>
            <w:pPr>
              <w:rPr>
                <w:rFonts w:hint="eastAsia" w:ascii="仿宋_GB2312" w:hAnsi="仿宋_GB2312" w:eastAsia="仿宋_GB2312" w:cs="仿宋_GB2312"/>
              </w:rPr>
            </w:pP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成本指标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735元</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效益指标</w:t>
            </w: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支持</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3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4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80"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87"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≥90%</w:t>
            </w:r>
          </w:p>
        </w:tc>
        <w:tc>
          <w:tcPr>
            <w:tcW w:w="118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p>
    <w:p>
      <w:pPr>
        <w:rPr>
          <w:rFonts w:hint="eastAsia" w:ascii="仿宋_GB2312" w:hAnsi="仿宋_GB2312" w:eastAsia="仿宋_GB2312" w:cs="仿宋_GB2312"/>
          <w:color w:val="000000"/>
          <w:sz w:val="28"/>
          <w:szCs w:val="28"/>
        </w:rPr>
      </w:pPr>
      <w:bookmarkStart w:id="1" w:name="_Toc_4_4_0000000005"/>
      <w:r>
        <w:rPr>
          <w:rFonts w:hint="eastAsia" w:ascii="仿宋_GB2312" w:hAnsi="仿宋_GB2312" w:eastAsia="仿宋_GB2312" w:cs="仿宋_GB2312"/>
          <w:color w:val="000000"/>
          <w:sz w:val="28"/>
          <w:szCs w:val="28"/>
        </w:rPr>
        <w:t>2.城乡义务教育生均公用经费[市级]绩效目标表</w:t>
      </w:r>
      <w:bookmarkEnd w:id="1"/>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1.廊坊市广阳区北旺镇东户屯中心小学对2022年在校学生</w:t>
            </w:r>
            <w:r>
              <w:rPr>
                <w:rFonts w:hint="eastAsia" w:ascii="仿宋_GB2312" w:hAnsi="仿宋_GB2312" w:eastAsia="仿宋_GB2312" w:cs="仿宋_GB2312"/>
                <w:lang w:eastAsia="zh-CN"/>
              </w:rPr>
              <w:t>170</w:t>
            </w:r>
            <w:r>
              <w:rPr>
                <w:rFonts w:hint="eastAsia" w:ascii="仿宋_GB2312" w:hAnsi="仿宋_GB2312" w:eastAsia="仿宋_GB2312" w:cs="仿宋_GB2312"/>
              </w:rPr>
              <w:t>人，按照义务教育生均公用经费标准申请财政预算金，通过合理、合规使用资金达到保证学校正常运转。</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1991"/>
        <w:gridCol w:w="3982"/>
        <w:gridCol w:w="1707"/>
        <w:gridCol w:w="22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12"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815"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lang w:eastAsia="zh-CN"/>
              </w:rPr>
              <w:t>170</w:t>
            </w:r>
            <w:r>
              <w:rPr>
                <w:rFonts w:hint="eastAsia" w:ascii="仿宋_GB2312" w:hAnsi="仿宋_GB2312" w:eastAsia="仿宋_GB2312" w:cs="仿宋_GB2312"/>
              </w:rPr>
              <w:t>人</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pPr>
              <w:rPr>
                <w:rFonts w:hint="eastAsia" w:ascii="仿宋_GB2312" w:hAnsi="仿宋_GB2312" w:eastAsia="仿宋_GB2312" w:cs="仿宋_GB2312"/>
              </w:rPr>
            </w:pP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735元</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支持</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28"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12"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≥90%</w:t>
            </w:r>
          </w:p>
        </w:tc>
        <w:tc>
          <w:tcPr>
            <w:tcW w:w="81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p>
    <w:p>
      <w:pPr>
        <w:rPr>
          <w:rFonts w:hint="eastAsia" w:ascii="仿宋_GB2312" w:hAnsi="仿宋_GB2312" w:eastAsia="仿宋_GB2312" w:cs="仿宋_GB2312"/>
          <w:color w:val="000000"/>
          <w:sz w:val="28"/>
          <w:szCs w:val="28"/>
        </w:rPr>
      </w:pPr>
      <w:bookmarkStart w:id="2" w:name="_Toc_4_4_0000000006"/>
      <w:r>
        <w:rPr>
          <w:rFonts w:hint="eastAsia" w:ascii="仿宋_GB2312" w:hAnsi="仿宋_GB2312" w:eastAsia="仿宋_GB2312" w:cs="仿宋_GB2312"/>
          <w:color w:val="000000"/>
          <w:sz w:val="28"/>
          <w:szCs w:val="28"/>
        </w:rPr>
        <w:t>3.教育经费绩效目标表</w:t>
      </w:r>
      <w:bookmarkEnd w:id="2"/>
    </w:p>
    <w:tbl>
      <w:tblPr>
        <w:tblStyle w:val="10"/>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7"/>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7"/>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7"/>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0.85</w:t>
            </w:r>
            <w:r>
              <w:rPr>
                <w:rFonts w:hint="eastAsia" w:ascii="仿宋_GB2312" w:hAnsi="仿宋_GB2312" w:eastAsia="仿宋_GB2312" w:cs="仿宋_GB2312"/>
              </w:rPr>
              <w:t>万元</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noWrap w:val="0"/>
            <w:vAlign w:val="center"/>
          </w:tcPr>
          <w:p>
            <w:pPr>
              <w:rPr>
                <w:rFonts w:hint="eastAsia" w:ascii="仿宋_GB2312" w:hAnsi="仿宋_GB2312" w:eastAsia="仿宋_GB2312" w:cs="仿宋_GB2312"/>
              </w:rPr>
            </w:pP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4"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noWrap w:val="0"/>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调查问卷</w:t>
            </w:r>
          </w:p>
        </w:tc>
      </w:tr>
    </w:tbl>
    <w:p>
      <w:pPr>
        <w:sectPr>
          <w:pgSz w:w="16840" w:h="11900" w:orient="landscape"/>
          <w:pgMar w:top="1304" w:right="1984" w:bottom="1304" w:left="1134" w:header="720" w:footer="720" w:gutter="0"/>
          <w:cols w:space="720" w:num="1"/>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rPr>
        <w:t>部门政府采购预算</w:t>
      </w:r>
      <w:bookmarkEnd w:id="4"/>
    </w:p>
    <w:p>
      <w:pPr>
        <w:jc w:val="left"/>
        <w:outlineLvl w:val="1"/>
        <w:rPr>
          <w:rFonts w:ascii="方正小标宋_GBK" w:eastAsia="方正小标宋_GBK" w:cs="Times New Roman"/>
          <w:sz w:val="32"/>
        </w:rPr>
      </w:pPr>
      <w:r>
        <w:rPr>
          <w:rFonts w:hint="eastAsia"/>
        </w:rPr>
        <w:t>廊坊市广阳区北旺镇东户屯中心小学</w:t>
      </w:r>
      <w:r>
        <w:t xml:space="preserve">                                                                                       单位：万元</w:t>
      </w:r>
    </w:p>
    <w:tbl>
      <w:tblPr>
        <w:tblStyle w:val="10"/>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noWrap w:val="0"/>
            <w:vAlign w:val="center"/>
          </w:tcPr>
          <w:p>
            <w:pPr>
              <w:pStyle w:val="19"/>
              <w:spacing w:line="500" w:lineRule="exact"/>
            </w:pPr>
            <w:r>
              <w:t>政府采购项目来源</w:t>
            </w:r>
          </w:p>
        </w:tc>
        <w:tc>
          <w:tcPr>
            <w:tcW w:w="367" w:type="pct"/>
            <w:vMerge w:val="restart"/>
            <w:noWrap w:val="0"/>
            <w:vAlign w:val="center"/>
          </w:tcPr>
          <w:p>
            <w:pPr>
              <w:pStyle w:val="19"/>
              <w:spacing w:line="500" w:lineRule="exact"/>
            </w:pPr>
            <w:r>
              <w:t>采购物品名称</w:t>
            </w:r>
          </w:p>
        </w:tc>
        <w:tc>
          <w:tcPr>
            <w:tcW w:w="367" w:type="pct"/>
            <w:vMerge w:val="restart"/>
            <w:noWrap w:val="0"/>
            <w:vAlign w:val="center"/>
          </w:tcPr>
          <w:p>
            <w:pPr>
              <w:pStyle w:val="19"/>
              <w:spacing w:line="500" w:lineRule="exact"/>
            </w:pPr>
            <w:r>
              <w:t>政府采购目录序号</w:t>
            </w:r>
          </w:p>
        </w:tc>
        <w:tc>
          <w:tcPr>
            <w:tcW w:w="229" w:type="pct"/>
            <w:vMerge w:val="restart"/>
            <w:noWrap w:val="0"/>
            <w:vAlign w:val="center"/>
          </w:tcPr>
          <w:p>
            <w:pPr>
              <w:pStyle w:val="19"/>
              <w:spacing w:line="500" w:lineRule="exact"/>
            </w:pPr>
            <w:r>
              <w:t>计量  单位</w:t>
            </w:r>
          </w:p>
        </w:tc>
        <w:tc>
          <w:tcPr>
            <w:tcW w:w="275" w:type="pct"/>
            <w:vMerge w:val="restart"/>
            <w:noWrap w:val="0"/>
            <w:vAlign w:val="center"/>
          </w:tcPr>
          <w:p>
            <w:pPr>
              <w:pStyle w:val="19"/>
              <w:spacing w:line="500" w:lineRule="exact"/>
            </w:pPr>
            <w:r>
              <w:t>数量</w:t>
            </w:r>
          </w:p>
        </w:tc>
        <w:tc>
          <w:tcPr>
            <w:tcW w:w="275" w:type="pct"/>
            <w:vMerge w:val="restart"/>
            <w:noWrap w:val="0"/>
            <w:vAlign w:val="center"/>
          </w:tcPr>
          <w:p>
            <w:pPr>
              <w:pStyle w:val="19"/>
              <w:spacing w:line="500" w:lineRule="exact"/>
            </w:pPr>
            <w:r>
              <w:t>单价</w:t>
            </w:r>
          </w:p>
        </w:tc>
        <w:tc>
          <w:tcPr>
            <w:tcW w:w="2504" w:type="pct"/>
            <w:gridSpan w:val="8"/>
            <w:noWrap w:val="0"/>
            <w:vAlign w:val="center"/>
          </w:tcPr>
          <w:p>
            <w:pPr>
              <w:pStyle w:val="19"/>
              <w:spacing w:line="500" w:lineRule="exact"/>
            </w:pPr>
            <w:r>
              <w:t>政府采购金额（当年部门预算安排资金）</w:t>
            </w:r>
          </w:p>
        </w:tc>
        <w:tc>
          <w:tcPr>
            <w:tcW w:w="312" w:type="pct"/>
            <w:vMerge w:val="restart"/>
            <w:noWrap w:val="0"/>
            <w:vAlign w:val="center"/>
          </w:tcPr>
          <w:p>
            <w:pPr>
              <w:pStyle w:val="19"/>
              <w:spacing w:line="5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noWrap w:val="0"/>
            <w:vAlign w:val="center"/>
          </w:tcPr>
          <w:p>
            <w:pPr>
              <w:pStyle w:val="19"/>
              <w:spacing w:line="500" w:lineRule="exact"/>
            </w:pPr>
            <w:r>
              <w:t>项目名称</w:t>
            </w:r>
          </w:p>
        </w:tc>
        <w:tc>
          <w:tcPr>
            <w:tcW w:w="313" w:type="pct"/>
            <w:noWrap w:val="0"/>
            <w:vAlign w:val="center"/>
          </w:tcPr>
          <w:p>
            <w:pPr>
              <w:pStyle w:val="19"/>
              <w:spacing w:line="500" w:lineRule="exact"/>
            </w:pPr>
            <w:r>
              <w:t>预算    资金</w:t>
            </w:r>
          </w:p>
        </w:tc>
        <w:tc>
          <w:tcPr>
            <w:tcW w:w="367" w:type="pct"/>
            <w:vMerge w:val="continue"/>
            <w:noWrap w:val="0"/>
            <w:vAlign w:val="top"/>
          </w:tcPr>
          <w:p>
            <w:pPr>
              <w:spacing w:line="500" w:lineRule="exact"/>
            </w:pPr>
          </w:p>
        </w:tc>
        <w:tc>
          <w:tcPr>
            <w:tcW w:w="367" w:type="pct"/>
            <w:vMerge w:val="continue"/>
            <w:noWrap w:val="0"/>
            <w:vAlign w:val="top"/>
          </w:tcPr>
          <w:p>
            <w:pPr>
              <w:spacing w:line="500" w:lineRule="exact"/>
            </w:pPr>
          </w:p>
        </w:tc>
        <w:tc>
          <w:tcPr>
            <w:tcW w:w="229" w:type="pct"/>
            <w:vMerge w:val="continue"/>
            <w:noWrap w:val="0"/>
            <w:vAlign w:val="top"/>
          </w:tcPr>
          <w:p>
            <w:pPr>
              <w:spacing w:line="500" w:lineRule="exact"/>
            </w:pPr>
          </w:p>
        </w:tc>
        <w:tc>
          <w:tcPr>
            <w:tcW w:w="275" w:type="pct"/>
            <w:vMerge w:val="continue"/>
            <w:noWrap w:val="0"/>
            <w:vAlign w:val="top"/>
          </w:tcPr>
          <w:p>
            <w:pPr>
              <w:spacing w:line="500" w:lineRule="exact"/>
            </w:pPr>
          </w:p>
        </w:tc>
        <w:tc>
          <w:tcPr>
            <w:tcW w:w="275" w:type="pct"/>
            <w:vMerge w:val="continue"/>
            <w:noWrap w:val="0"/>
            <w:vAlign w:val="top"/>
          </w:tcPr>
          <w:p>
            <w:pPr>
              <w:spacing w:line="500" w:lineRule="exact"/>
            </w:pPr>
          </w:p>
        </w:tc>
        <w:tc>
          <w:tcPr>
            <w:tcW w:w="312" w:type="pct"/>
            <w:noWrap w:val="0"/>
            <w:vAlign w:val="center"/>
          </w:tcPr>
          <w:p>
            <w:pPr>
              <w:pStyle w:val="19"/>
              <w:spacing w:line="500" w:lineRule="exact"/>
            </w:pPr>
            <w:r>
              <w:t>合计</w:t>
            </w:r>
          </w:p>
        </w:tc>
        <w:tc>
          <w:tcPr>
            <w:tcW w:w="312" w:type="pct"/>
            <w:noWrap w:val="0"/>
            <w:vAlign w:val="center"/>
          </w:tcPr>
          <w:p>
            <w:pPr>
              <w:pStyle w:val="19"/>
              <w:spacing w:line="500" w:lineRule="exact"/>
            </w:pPr>
            <w:r>
              <w:t>一般公共预算拨款</w:t>
            </w:r>
          </w:p>
        </w:tc>
        <w:tc>
          <w:tcPr>
            <w:tcW w:w="312" w:type="pct"/>
            <w:noWrap w:val="0"/>
            <w:vAlign w:val="center"/>
          </w:tcPr>
          <w:p>
            <w:pPr>
              <w:pStyle w:val="19"/>
              <w:spacing w:line="500" w:lineRule="exact"/>
            </w:pPr>
            <w:r>
              <w:t>基金预算拨款</w:t>
            </w:r>
          </w:p>
        </w:tc>
        <w:tc>
          <w:tcPr>
            <w:tcW w:w="312" w:type="pct"/>
            <w:noWrap w:val="0"/>
            <w:vAlign w:val="center"/>
          </w:tcPr>
          <w:p>
            <w:pPr>
              <w:pStyle w:val="19"/>
              <w:spacing w:line="500" w:lineRule="exact"/>
            </w:pPr>
            <w:r>
              <w:t>国有资本经营预算拨款</w:t>
            </w:r>
          </w:p>
        </w:tc>
        <w:tc>
          <w:tcPr>
            <w:tcW w:w="312" w:type="pct"/>
            <w:noWrap w:val="0"/>
            <w:vAlign w:val="center"/>
          </w:tcPr>
          <w:p>
            <w:pPr>
              <w:pStyle w:val="19"/>
              <w:spacing w:line="500" w:lineRule="exact"/>
            </w:pPr>
            <w:r>
              <w:t>财政专户核拨</w:t>
            </w:r>
          </w:p>
        </w:tc>
        <w:tc>
          <w:tcPr>
            <w:tcW w:w="312" w:type="pct"/>
            <w:noWrap w:val="0"/>
            <w:vAlign w:val="center"/>
          </w:tcPr>
          <w:p>
            <w:pPr>
              <w:pStyle w:val="19"/>
              <w:spacing w:line="500" w:lineRule="exact"/>
            </w:pPr>
            <w:r>
              <w:t>单位    资金</w:t>
            </w:r>
          </w:p>
        </w:tc>
        <w:tc>
          <w:tcPr>
            <w:tcW w:w="312" w:type="pct"/>
            <w:noWrap w:val="0"/>
            <w:vAlign w:val="center"/>
          </w:tcPr>
          <w:p>
            <w:pPr>
              <w:pStyle w:val="19"/>
              <w:spacing w:line="500" w:lineRule="exact"/>
            </w:pPr>
            <w:r>
              <w:t>财政拨    款结转</w:t>
            </w:r>
          </w:p>
        </w:tc>
        <w:tc>
          <w:tcPr>
            <w:tcW w:w="318" w:type="pct"/>
            <w:noWrap w:val="0"/>
            <w:vAlign w:val="center"/>
          </w:tcPr>
          <w:p>
            <w:pPr>
              <w:pStyle w:val="19"/>
              <w:spacing w:line="500" w:lineRule="exact"/>
            </w:pPr>
            <w:r>
              <w:t>非财政    拨款结    转结余</w:t>
            </w:r>
          </w:p>
        </w:tc>
        <w:tc>
          <w:tcPr>
            <w:tcW w:w="312" w:type="pct"/>
            <w:vMerge w:val="continue"/>
            <w:noWrap w:val="0"/>
            <w:vAlign w:val="top"/>
          </w:tcPr>
          <w:p>
            <w:pPr>
              <w:spacing w:line="5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noWrap w:val="0"/>
            <w:vAlign w:val="center"/>
          </w:tcPr>
          <w:p>
            <w:pPr>
              <w:pStyle w:val="21"/>
              <w:spacing w:line="500" w:lineRule="exact"/>
            </w:pPr>
            <w:r>
              <w:t>合  计</w:t>
            </w:r>
          </w:p>
        </w:tc>
        <w:tc>
          <w:tcPr>
            <w:tcW w:w="313" w:type="pct"/>
            <w:noWrap w:val="0"/>
            <w:vAlign w:val="center"/>
          </w:tcPr>
          <w:p>
            <w:pPr>
              <w:pStyle w:val="16"/>
              <w:spacing w:line="500" w:lineRule="exact"/>
              <w:rPr>
                <w:rFonts w:hint="eastAsia"/>
                <w:lang w:eastAsia="zh-CN"/>
              </w:rPr>
            </w:pPr>
          </w:p>
        </w:tc>
        <w:tc>
          <w:tcPr>
            <w:tcW w:w="367" w:type="pct"/>
            <w:noWrap w:val="0"/>
            <w:vAlign w:val="center"/>
          </w:tcPr>
          <w:p>
            <w:pPr>
              <w:pStyle w:val="22"/>
              <w:spacing w:line="500" w:lineRule="exact"/>
              <w:rPr>
                <w:rFonts w:hint="eastAsia"/>
                <w:lang w:eastAsia="zh-CN"/>
              </w:rPr>
            </w:pPr>
          </w:p>
        </w:tc>
        <w:tc>
          <w:tcPr>
            <w:tcW w:w="367" w:type="pct"/>
            <w:noWrap w:val="0"/>
            <w:vAlign w:val="center"/>
          </w:tcPr>
          <w:p>
            <w:pPr>
              <w:pStyle w:val="22"/>
              <w:spacing w:line="500" w:lineRule="exact"/>
              <w:rPr>
                <w:rFonts w:hint="eastAsia"/>
                <w:lang w:eastAsia="zh-CN"/>
              </w:rPr>
            </w:pPr>
          </w:p>
        </w:tc>
        <w:tc>
          <w:tcPr>
            <w:tcW w:w="229" w:type="pct"/>
            <w:noWrap w:val="0"/>
            <w:vAlign w:val="center"/>
          </w:tcPr>
          <w:p>
            <w:pPr>
              <w:pStyle w:val="21"/>
              <w:spacing w:line="500" w:lineRule="exact"/>
              <w:rPr>
                <w:rFonts w:hint="eastAsia"/>
                <w:lang w:eastAsia="zh-CN"/>
              </w:rPr>
            </w:pPr>
          </w:p>
        </w:tc>
        <w:tc>
          <w:tcPr>
            <w:tcW w:w="275" w:type="pct"/>
            <w:noWrap w:val="0"/>
            <w:vAlign w:val="center"/>
          </w:tcPr>
          <w:p>
            <w:pPr>
              <w:pStyle w:val="16"/>
              <w:spacing w:line="500" w:lineRule="exact"/>
              <w:rPr>
                <w:rFonts w:hint="eastAsia"/>
                <w:lang w:eastAsia="zh-CN"/>
              </w:rPr>
            </w:pPr>
          </w:p>
        </w:tc>
        <w:tc>
          <w:tcPr>
            <w:tcW w:w="275"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8"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noWrap w:val="0"/>
            <w:vAlign w:val="center"/>
          </w:tcPr>
          <w:p>
            <w:pPr>
              <w:pStyle w:val="21"/>
              <w:spacing w:line="500" w:lineRule="exact"/>
              <w:rPr>
                <w:rFonts w:hint="eastAsia"/>
                <w:lang w:eastAsia="zh-CN"/>
              </w:rPr>
            </w:pPr>
          </w:p>
        </w:tc>
        <w:tc>
          <w:tcPr>
            <w:tcW w:w="313" w:type="pct"/>
            <w:noWrap w:val="0"/>
            <w:vAlign w:val="center"/>
          </w:tcPr>
          <w:p>
            <w:pPr>
              <w:pStyle w:val="16"/>
              <w:spacing w:line="500" w:lineRule="exact"/>
              <w:rPr>
                <w:rFonts w:hint="eastAsia"/>
                <w:lang w:eastAsia="zh-CN"/>
              </w:rPr>
            </w:pPr>
          </w:p>
        </w:tc>
        <w:tc>
          <w:tcPr>
            <w:tcW w:w="367" w:type="pct"/>
            <w:noWrap w:val="0"/>
            <w:vAlign w:val="center"/>
          </w:tcPr>
          <w:p>
            <w:pPr>
              <w:pStyle w:val="22"/>
              <w:spacing w:line="500" w:lineRule="exact"/>
              <w:rPr>
                <w:rFonts w:hint="eastAsia"/>
                <w:lang w:eastAsia="zh-CN"/>
              </w:rPr>
            </w:pPr>
          </w:p>
        </w:tc>
        <w:tc>
          <w:tcPr>
            <w:tcW w:w="367" w:type="pct"/>
            <w:noWrap w:val="0"/>
            <w:vAlign w:val="center"/>
          </w:tcPr>
          <w:p>
            <w:pPr>
              <w:pStyle w:val="22"/>
              <w:spacing w:line="500" w:lineRule="exact"/>
              <w:rPr>
                <w:rFonts w:hint="eastAsia"/>
                <w:lang w:eastAsia="zh-CN"/>
              </w:rPr>
            </w:pPr>
          </w:p>
        </w:tc>
        <w:tc>
          <w:tcPr>
            <w:tcW w:w="229" w:type="pct"/>
            <w:noWrap w:val="0"/>
            <w:vAlign w:val="center"/>
          </w:tcPr>
          <w:p>
            <w:pPr>
              <w:pStyle w:val="21"/>
              <w:spacing w:line="500" w:lineRule="exact"/>
              <w:rPr>
                <w:rFonts w:hint="eastAsia"/>
                <w:lang w:eastAsia="zh-CN"/>
              </w:rPr>
            </w:pPr>
          </w:p>
        </w:tc>
        <w:tc>
          <w:tcPr>
            <w:tcW w:w="275" w:type="pct"/>
            <w:noWrap w:val="0"/>
            <w:vAlign w:val="center"/>
          </w:tcPr>
          <w:p>
            <w:pPr>
              <w:pStyle w:val="16"/>
              <w:spacing w:line="500" w:lineRule="exact"/>
              <w:rPr>
                <w:rFonts w:hint="eastAsia"/>
                <w:lang w:eastAsia="zh-CN"/>
              </w:rPr>
            </w:pPr>
          </w:p>
        </w:tc>
        <w:tc>
          <w:tcPr>
            <w:tcW w:w="275"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c>
          <w:tcPr>
            <w:tcW w:w="318" w:type="pct"/>
            <w:noWrap w:val="0"/>
            <w:vAlign w:val="center"/>
          </w:tcPr>
          <w:p>
            <w:pPr>
              <w:pStyle w:val="16"/>
              <w:spacing w:line="500" w:lineRule="exact"/>
              <w:rPr>
                <w:rFonts w:hint="eastAsia"/>
                <w:lang w:eastAsia="zh-CN"/>
              </w:rPr>
            </w:pPr>
          </w:p>
        </w:tc>
        <w:tc>
          <w:tcPr>
            <w:tcW w:w="312" w:type="pct"/>
            <w:noWrap w:val="0"/>
            <w:vAlign w:val="center"/>
          </w:tcPr>
          <w:p>
            <w:pPr>
              <w:pStyle w:val="16"/>
              <w:spacing w:line="500" w:lineRule="exact"/>
              <w:rPr>
                <w:rFonts w:hint="eastAsia"/>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6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广阳区北旺镇东户屯中心小学</w:t>
      </w:r>
      <w:r>
        <w:rPr>
          <w:rFonts w:ascii="Times New Roman" w:hAnsi="Times New Roman" w:eastAsia="仿宋_GB2312" w:cs="Times New Roman"/>
          <w:sz w:val="32"/>
          <w:szCs w:val="32"/>
        </w:rPr>
        <w:t>上年末固定</w:t>
      </w:r>
      <w:r>
        <w:rPr>
          <w:rFonts w:ascii="Times New Roman" w:hAnsi="Times New Roman" w:eastAsia="仿宋_GB2312" w:cs="Times New Roman"/>
          <w:sz w:val="32"/>
          <w:szCs w:val="32"/>
          <w:highlight w:val="none"/>
        </w:rPr>
        <w:t>资产金额为</w:t>
      </w:r>
      <w:r>
        <w:rPr>
          <w:rFonts w:hint="eastAsia" w:ascii="Times New Roman" w:hAnsi="Times New Roman" w:eastAsia="仿宋_GB2312" w:cs="Times New Roman"/>
          <w:sz w:val="32"/>
          <w:szCs w:val="32"/>
          <w:highlight w:val="none"/>
        </w:rPr>
        <w:t>199.9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（详见下表）</w:t>
      </w:r>
      <w:r>
        <w:rPr>
          <w:rFonts w:ascii="Times New Roman" w:hAnsi="Times New Roman" w:eastAsia="仿宋_GB2312" w:cs="Times New Roman"/>
          <w:sz w:val="32"/>
          <w:szCs w:val="32"/>
          <w:highlight w:val="none"/>
        </w:rPr>
        <w:t>，本年度我部门拟购置固定资产</w:t>
      </w:r>
      <w:r>
        <w:rPr>
          <w:rFonts w:hint="eastAsia" w:ascii="Times New Roman" w:hAnsi="Times New Roman" w:eastAsia="仿宋_GB2312" w:cs="Times New Roman"/>
          <w:sz w:val="32"/>
          <w:szCs w:val="32"/>
          <w:highlight w:val="none"/>
        </w:rPr>
        <w:t>总额为0万元</w:t>
      </w:r>
      <w:r>
        <w:rPr>
          <w:rFonts w:ascii="Times New Roman" w:hAnsi="Times New Roman" w:eastAsia="仿宋_GB2312" w:cs="Times New Roman"/>
          <w:sz w:val="32"/>
          <w:szCs w:val="32"/>
          <w:highlight w:val="none"/>
        </w:rPr>
        <w:t>。</w:t>
      </w:r>
    </w:p>
    <w:p>
      <w:pPr>
        <w:spacing w:line="584" w:lineRule="exact"/>
        <w:ind w:firstLine="640"/>
        <w:rPr>
          <w:rFonts w:ascii="Times New Roman" w:hAnsi="Times New Roman" w:eastAsia="仿宋_GB2312" w:cs="Times New Roman"/>
          <w:sz w:val="32"/>
          <w:szCs w:val="32"/>
          <w:highlight w:val="none"/>
        </w:rPr>
      </w:pPr>
    </w:p>
    <w:tbl>
      <w:tblPr>
        <w:tblStyle w:val="10"/>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highlight w:val="none"/>
              </w:rPr>
            </w:pPr>
            <w:r>
              <w:rPr>
                <w:rFonts w:ascii="Times New Roman" w:hAnsi="Times New Roman" w:eastAsia="仿宋_GB2312" w:cs="Times New Roman"/>
                <w:b/>
                <w:bCs/>
                <w:kern w:val="0"/>
                <w:sz w:val="32"/>
                <w:szCs w:val="32"/>
                <w:highlight w:val="none"/>
              </w:rPr>
              <w:t>廊坊市</w:t>
            </w:r>
            <w:r>
              <w:rPr>
                <w:rFonts w:hint="eastAsia" w:ascii="Times New Roman" w:hAnsi="Times New Roman" w:eastAsia="仿宋_GB2312" w:cs="Times New Roman"/>
                <w:b/>
                <w:bCs/>
                <w:kern w:val="0"/>
                <w:sz w:val="32"/>
                <w:szCs w:val="32"/>
                <w:highlight w:val="none"/>
              </w:rPr>
              <w:t>广阳区区</w:t>
            </w:r>
            <w:r>
              <w:rPr>
                <w:rFonts w:ascii="Times New Roman" w:hAnsi="Times New Roman" w:eastAsia="仿宋_GB2312" w:cs="Times New Roman"/>
                <w:b/>
                <w:bCs/>
                <w:kern w:val="0"/>
                <w:sz w:val="32"/>
                <w:szCs w:val="32"/>
                <w:highlight w:val="none"/>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spacing w:line="584" w:lineRule="exact"/>
              <w:ind w:firstLine="660"/>
              <w:rPr>
                <w:rFonts w:hint="eastAsia"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编制部门：廊坊市</w:t>
            </w:r>
            <w:r>
              <w:rPr>
                <w:rFonts w:hint="eastAsia" w:ascii="Times New Roman" w:hAnsi="Times New Roman" w:eastAsia="仿宋_GB2312" w:cs="Times New Roman"/>
                <w:kern w:val="0"/>
                <w:sz w:val="22"/>
                <w:highlight w:val="none"/>
              </w:rPr>
              <w:t>广阳区北旺镇东户屯中心小学</w:t>
            </w:r>
          </w:p>
          <w:p>
            <w:pPr>
              <w:widowControl/>
              <w:spacing w:line="584" w:lineRule="exact"/>
              <w:jc w:val="left"/>
              <w:rPr>
                <w:rFonts w:ascii="Times New Roman" w:hAnsi="Times New Roman" w:eastAsia="仿宋_GB2312" w:cs="Times New Roman"/>
                <w:kern w:val="0"/>
                <w:sz w:val="22"/>
                <w:highlight w:val="none"/>
              </w:rPr>
            </w:pP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截止时间：20</w:t>
            </w:r>
            <w:r>
              <w:rPr>
                <w:rFonts w:hint="eastAsia" w:ascii="Times New Roman" w:hAnsi="Times New Roman" w:eastAsia="仿宋_GB2312" w:cs="Times New Roman"/>
                <w:kern w:val="0"/>
                <w:sz w:val="22"/>
                <w:highlight w:val="none"/>
              </w:rPr>
              <w:t>2</w:t>
            </w:r>
            <w:r>
              <w:rPr>
                <w:rFonts w:ascii="Times New Roman" w:hAnsi="Times New Roman" w:eastAsia="仿宋_GB2312" w:cs="Times New Roman"/>
                <w:kern w:val="0"/>
                <w:sz w:val="22"/>
                <w:highlight w:val="none"/>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highlight w:val="none"/>
              </w:rPr>
            </w:pPr>
            <w:r>
              <w:rPr>
                <w:rFonts w:ascii="Times New Roman" w:hAnsi="Times New Roman" w:eastAsia="仿宋_GB2312" w:cs="Times New Roman"/>
                <w:b/>
                <w:bCs/>
                <w:kern w:val="0"/>
                <w:sz w:val="22"/>
                <w:highlight w:val="none"/>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ascii="Times New Roman" w:hAnsi="Times New Roman" w:eastAsia="仿宋_GB2312" w:cs="Times New Roman"/>
                <w:sz w:val="22"/>
                <w:highlight w:val="none"/>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199.9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highlight w:val="none"/>
              </w:rPr>
            </w:pPr>
            <w:r>
              <w:rPr>
                <w:rFonts w:ascii="Times New Roman" w:hAnsi="Times New Roman" w:eastAsia="仿宋_GB2312" w:cs="Times New Roman"/>
                <w:kern w:val="0"/>
                <w:sz w:val="22"/>
                <w:highlight w:val="none"/>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1735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none"/>
              </w:rPr>
            </w:pPr>
            <w:r>
              <w:rPr>
                <w:rFonts w:hint="eastAsia" w:ascii="Times New Roman" w:hAnsi="Times New Roman" w:eastAsia="仿宋_GB2312" w:cs="Times New Roman"/>
                <w:sz w:val="22"/>
                <w:highlight w:val="none"/>
              </w:rPr>
              <w:t>169.9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215</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图书7650册等</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1010"/>
    <w:rsid w:val="000230E6"/>
    <w:rsid w:val="00082562"/>
    <w:rsid w:val="000F6018"/>
    <w:rsid w:val="001E5175"/>
    <w:rsid w:val="0025632D"/>
    <w:rsid w:val="002E7C46"/>
    <w:rsid w:val="003044A3"/>
    <w:rsid w:val="003059E0"/>
    <w:rsid w:val="003E298F"/>
    <w:rsid w:val="004A54AA"/>
    <w:rsid w:val="004D7053"/>
    <w:rsid w:val="004D70A0"/>
    <w:rsid w:val="0055580E"/>
    <w:rsid w:val="00603529"/>
    <w:rsid w:val="0061224B"/>
    <w:rsid w:val="00716539"/>
    <w:rsid w:val="007B68CD"/>
    <w:rsid w:val="008F08C6"/>
    <w:rsid w:val="00944233"/>
    <w:rsid w:val="0096300F"/>
    <w:rsid w:val="009929A3"/>
    <w:rsid w:val="00B40732"/>
    <w:rsid w:val="00B80935"/>
    <w:rsid w:val="00D347CC"/>
    <w:rsid w:val="00D61210"/>
    <w:rsid w:val="00D93A98"/>
    <w:rsid w:val="00DA539A"/>
    <w:rsid w:val="00DC72B4"/>
    <w:rsid w:val="00DE60A5"/>
    <w:rsid w:val="00DF529F"/>
    <w:rsid w:val="00EF0628"/>
    <w:rsid w:val="00EF6700"/>
    <w:rsid w:val="00F170FC"/>
    <w:rsid w:val="0431045E"/>
    <w:rsid w:val="0CEC1180"/>
    <w:rsid w:val="15D63982"/>
    <w:rsid w:val="41AE296A"/>
    <w:rsid w:val="49395019"/>
    <w:rsid w:val="556A3C4E"/>
    <w:rsid w:val="5CD41ECD"/>
    <w:rsid w:val="6EB9408C"/>
    <w:rsid w:val="73693C55"/>
    <w:rsid w:val="77586C37"/>
    <w:rsid w:val="780D7F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footnote text"/>
    <w:basedOn w:val="1"/>
    <w:qFormat/>
    <w:uiPriority w:val="0"/>
    <w:pPr>
      <w:snapToGrid w:val="0"/>
      <w:jc w:val="left"/>
    </w:pPr>
    <w:rPr>
      <w:rFonts w:cs="Times New Roman"/>
      <w:sz w:val="18"/>
      <w:szCs w:val="18"/>
    </w:rPr>
  </w:style>
  <w:style w:type="paragraph" w:styleId="9">
    <w:name w:val="toc 2"/>
    <w:basedOn w:val="1"/>
    <w:next w:val="1"/>
    <w:qFormat/>
    <w:uiPriority w:val="0"/>
    <w:pPr>
      <w:ind w:left="200" w:leftChars="200"/>
    </w:pPr>
    <w:rPr>
      <w:rFonts w:ascii="Times New Roman" w:hAnsi="Times New Roman" w:cs="Times New Roman"/>
      <w:szCs w:val="24"/>
    </w:rPr>
  </w:style>
  <w:style w:type="character" w:styleId="12">
    <w:name w:val="footnote reference"/>
    <w:qFormat/>
    <w:uiPriority w:val="0"/>
    <w:rPr>
      <w:vertAlign w:val="superscript"/>
    </w:rPr>
  </w:style>
  <w:style w:type="paragraph" w:customStyle="1" w:styleId="13">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4">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7">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825</Words>
  <Characters>4706</Characters>
  <Lines>39</Lines>
  <Paragraphs>11</Paragraphs>
  <TotalTime>3</TotalTime>
  <ScaleCrop>false</ScaleCrop>
  <LinksUpToDate>false</LinksUpToDate>
  <CharactersWithSpaces>5520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2022-03-08T07:00:00Z</dcterms:created>
  <dc:creator>guest</dc:creator>
  <cp:lastModifiedBy>111</cp:lastModifiedBy>
  <cp:lastPrinted>2018-01-30T06:12:00Z</cp:lastPrinted>
  <dcterms:modified xsi:type="dcterms:W3CDTF">2024-05-16T06:54:42Z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093BA5D1009C43EFB79CF4164B67FB15</vt:lpwstr>
  </property>
</Properties>
</file>