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9" w:name="_GoBack"/>
      <w:r>
        <w:rPr>
          <w:rFonts w:hint="eastAsia" w:ascii="Times New Roman" w:hAnsi="Times New Roman" w:eastAsia="方正小标宋简体" w:cs="Times New Roman"/>
          <w:sz w:val="44"/>
          <w:szCs w:val="44"/>
        </w:rPr>
        <w:t>九州镇炊庄中心小学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9"/>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79"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79" w:lineRule="exact"/>
        <w:ind w:firstLine="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79" w:lineRule="exact"/>
        <w:ind w:firstLine="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hint="eastAsia"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20"/>
        <w:gridCol w:w="1408"/>
        <w:gridCol w:w="1585"/>
        <w:gridCol w:w="3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520"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08"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585"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605"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tblHeader/>
          <w:jc w:val="center"/>
        </w:trPr>
        <w:tc>
          <w:tcPr>
            <w:tcW w:w="5520" w:type="dxa"/>
            <w:vMerge w:val="continue"/>
            <w:noWrap w:val="0"/>
            <w:vAlign w:val="center"/>
          </w:tcPr>
          <w:p/>
        </w:tc>
        <w:tc>
          <w:tcPr>
            <w:tcW w:w="1408" w:type="dxa"/>
            <w:vMerge w:val="continue"/>
            <w:noWrap w:val="0"/>
            <w:vAlign w:val="center"/>
          </w:tcPr>
          <w:p/>
        </w:tc>
        <w:tc>
          <w:tcPr>
            <w:tcW w:w="1585" w:type="dxa"/>
            <w:vMerge w:val="continue"/>
            <w:noWrap w:val="0"/>
            <w:vAlign w:val="center"/>
          </w:tcPr>
          <w:p/>
        </w:tc>
        <w:tc>
          <w:tcPr>
            <w:tcW w:w="3605"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9" w:hRule="atLeast"/>
          <w:jc w:val="center"/>
        </w:trPr>
        <w:tc>
          <w:tcPr>
            <w:tcW w:w="5520"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廊坊市广阳区九州镇炊庄中心小学</w:t>
            </w:r>
          </w:p>
        </w:tc>
        <w:tc>
          <w:tcPr>
            <w:tcW w:w="1408"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585"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605" w:type="dxa"/>
            <w:noWrap w:val="0"/>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1" w:hRule="atLeast"/>
          <w:jc w:val="center"/>
        </w:trPr>
        <w:tc>
          <w:tcPr>
            <w:tcW w:w="5520" w:type="dxa"/>
            <w:noWrap w:val="0"/>
            <w:vAlign w:val="center"/>
          </w:tcPr>
          <w:p>
            <w:pPr>
              <w:spacing w:line="584" w:lineRule="exact"/>
              <w:jc w:val="left"/>
              <w:rPr>
                <w:rFonts w:ascii="Times New Roman" w:hAnsi="Times New Roman" w:eastAsia="仿宋_GB2312" w:cs="Times New Roman"/>
              </w:rPr>
            </w:pPr>
          </w:p>
        </w:tc>
        <w:tc>
          <w:tcPr>
            <w:tcW w:w="1408" w:type="dxa"/>
            <w:noWrap w:val="0"/>
            <w:vAlign w:val="center"/>
          </w:tcPr>
          <w:p>
            <w:pPr>
              <w:spacing w:line="584" w:lineRule="exact"/>
              <w:jc w:val="center"/>
              <w:rPr>
                <w:rFonts w:ascii="Times New Roman" w:hAnsi="Times New Roman" w:eastAsia="仿宋_GB2312" w:cs="Times New Roman"/>
              </w:rPr>
            </w:pPr>
          </w:p>
        </w:tc>
        <w:tc>
          <w:tcPr>
            <w:tcW w:w="1585" w:type="dxa"/>
            <w:noWrap w:val="0"/>
            <w:vAlign w:val="center"/>
          </w:tcPr>
          <w:p>
            <w:pPr>
              <w:spacing w:line="584" w:lineRule="exact"/>
              <w:jc w:val="center"/>
              <w:rPr>
                <w:rFonts w:ascii="Times New Roman" w:hAnsi="Times New Roman" w:eastAsia="仿宋_GB2312" w:cs="Times New Roman"/>
              </w:rPr>
            </w:pPr>
          </w:p>
        </w:tc>
        <w:tc>
          <w:tcPr>
            <w:tcW w:w="3605" w:type="dxa"/>
            <w:noWrap w:val="0"/>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2" w:hRule="atLeast"/>
          <w:jc w:val="center"/>
        </w:trPr>
        <w:tc>
          <w:tcPr>
            <w:tcW w:w="5520" w:type="dxa"/>
            <w:noWrap w:val="0"/>
            <w:vAlign w:val="center"/>
          </w:tcPr>
          <w:p>
            <w:pPr>
              <w:spacing w:line="584" w:lineRule="exact"/>
              <w:jc w:val="left"/>
              <w:rPr>
                <w:rFonts w:ascii="Times New Roman" w:hAnsi="Times New Roman" w:eastAsia="仿宋_GB2312" w:cs="Times New Roman"/>
              </w:rPr>
            </w:pPr>
          </w:p>
        </w:tc>
        <w:tc>
          <w:tcPr>
            <w:tcW w:w="1408" w:type="dxa"/>
            <w:noWrap w:val="0"/>
            <w:vAlign w:val="center"/>
          </w:tcPr>
          <w:p>
            <w:pPr>
              <w:spacing w:line="584" w:lineRule="exact"/>
              <w:jc w:val="center"/>
              <w:rPr>
                <w:rFonts w:ascii="Times New Roman" w:hAnsi="Times New Roman" w:eastAsia="仿宋_GB2312" w:cs="Times New Roman"/>
              </w:rPr>
            </w:pPr>
          </w:p>
        </w:tc>
        <w:tc>
          <w:tcPr>
            <w:tcW w:w="1585" w:type="dxa"/>
            <w:noWrap w:val="0"/>
            <w:vAlign w:val="center"/>
          </w:tcPr>
          <w:p>
            <w:pPr>
              <w:spacing w:line="584" w:lineRule="exact"/>
              <w:jc w:val="center"/>
              <w:rPr>
                <w:rFonts w:ascii="Times New Roman" w:hAnsi="Times New Roman" w:eastAsia="仿宋_GB2312" w:cs="Times New Roman"/>
              </w:rPr>
            </w:pPr>
          </w:p>
        </w:tc>
        <w:tc>
          <w:tcPr>
            <w:tcW w:w="3605" w:type="dxa"/>
            <w:noWrap w:val="0"/>
            <w:vAlign w:val="center"/>
          </w:tcPr>
          <w:p>
            <w:pPr>
              <w:spacing w:line="584" w:lineRule="exact"/>
              <w:jc w:val="center"/>
              <w:rPr>
                <w:rFonts w:ascii="Times New Roman" w:hAnsi="Times New Roman" w:eastAsia="仿宋_GB2312" w:cs="Times New Roman"/>
              </w:rPr>
            </w:pPr>
          </w:p>
        </w:tc>
      </w:tr>
    </w:tbl>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的收支包含在部门预算中。</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广阳区九州镇炊庄中心小学2022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万元，其中基本支出0万元，包括</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w:t>
      </w:r>
    </w:p>
    <w:p>
      <w:pPr>
        <w:spacing w:line="540"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4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增加33.6</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rPr>
        <w:t>特定目标类项目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增多33.6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教育附加费和特殊教育经费增多</w:t>
      </w:r>
      <w:r>
        <w:rPr>
          <w:rFonts w:ascii="Times New Roman" w:hAnsi="Times New Roman" w:eastAsia="仿宋_GB2312" w:cs="Times New Roman"/>
          <w:sz w:val="32"/>
          <w:szCs w:val="32"/>
        </w:rPr>
        <w:t>。</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autoSpaceDE w:val="0"/>
        <w:autoSpaceDN w:val="0"/>
        <w:adjustRightInd w:val="0"/>
        <w:spacing w:line="540"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103.25</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40"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40"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40"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40"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（二）分项绩效目标</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4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40" w:lineRule="exact"/>
        <w:rPr>
          <w:sz w:val="24"/>
          <w:szCs w:val="24"/>
        </w:rPr>
      </w:pPr>
      <w:r>
        <w:rPr>
          <w:rFonts w:hint="eastAsia" w:ascii="Times New Roman" w:hAnsi="Times New Roman" w:eastAsia="仿宋_GB2312" w:cs="Times New Roman"/>
          <w:sz w:val="32"/>
          <w:szCs w:val="32"/>
        </w:rPr>
        <w:t>7、办人民满意的学校,教师、学生、家长整体满意度达到90%以上。</w:t>
      </w:r>
    </w:p>
    <w:p>
      <w:pPr>
        <w:spacing w:line="540"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0"/>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505" w:type="dxa"/>
        <w:tblInd w:w="0" w:type="dxa"/>
        <w:tblLayout w:type="fixed"/>
        <w:tblCellMar>
          <w:top w:w="0" w:type="dxa"/>
          <w:left w:w="108" w:type="dxa"/>
          <w:bottom w:w="0" w:type="dxa"/>
          <w:right w:w="108" w:type="dxa"/>
        </w:tblCellMar>
      </w:tblPr>
      <w:tblGrid>
        <w:gridCol w:w="1106"/>
        <w:gridCol w:w="1225"/>
        <w:gridCol w:w="1394"/>
        <w:gridCol w:w="2409"/>
        <w:gridCol w:w="3037"/>
        <w:gridCol w:w="1047"/>
        <w:gridCol w:w="597"/>
        <w:gridCol w:w="1698"/>
        <w:gridCol w:w="992"/>
      </w:tblGrid>
      <w:tr>
        <w:tblPrEx>
          <w:tblCellMar>
            <w:top w:w="0" w:type="dxa"/>
            <w:left w:w="108" w:type="dxa"/>
            <w:bottom w:w="0" w:type="dxa"/>
            <w:right w:w="108" w:type="dxa"/>
          </w:tblCellMar>
        </w:tblPrEx>
        <w:trPr>
          <w:trHeight w:val="214"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39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24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绩效指标描述</w:t>
            </w:r>
          </w:p>
        </w:tc>
        <w:tc>
          <w:tcPr>
            <w:tcW w:w="30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评（扣）分标准</w:t>
            </w:r>
          </w:p>
        </w:tc>
        <w:tc>
          <w:tcPr>
            <w:tcW w:w="334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9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指标值确定依据</w:t>
            </w:r>
          </w:p>
        </w:tc>
      </w:tr>
      <w:tr>
        <w:tblPrEx>
          <w:tblCellMar>
            <w:top w:w="0" w:type="dxa"/>
            <w:left w:w="108" w:type="dxa"/>
            <w:bottom w:w="0" w:type="dxa"/>
            <w:right w:w="108" w:type="dxa"/>
          </w:tblCellMar>
        </w:tblPrEx>
        <w:trPr>
          <w:trHeight w:val="343"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3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24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30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c>
          <w:tcPr>
            <w:tcW w:w="104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符号</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值</w:t>
            </w:r>
          </w:p>
        </w:tc>
        <w:tc>
          <w:tcPr>
            <w:tcW w:w="1698"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单位（文字描述）</w:t>
            </w:r>
          </w:p>
        </w:tc>
        <w:tc>
          <w:tcPr>
            <w:tcW w:w="9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color w:val="000000"/>
                <w:kern w:val="0"/>
                <w:szCs w:val="21"/>
              </w:rPr>
            </w:pPr>
          </w:p>
        </w:tc>
      </w:tr>
      <w:tr>
        <w:tblPrEx>
          <w:tblCellMar>
            <w:top w:w="0" w:type="dxa"/>
            <w:left w:w="108" w:type="dxa"/>
            <w:bottom w:w="0" w:type="dxa"/>
            <w:right w:w="108" w:type="dxa"/>
          </w:tblCellMar>
        </w:tblPrEx>
        <w:trPr>
          <w:trHeight w:val="196" w:hRule="atLeast"/>
        </w:trPr>
        <w:tc>
          <w:tcPr>
            <w:tcW w:w="1106" w:type="dxa"/>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产出指标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大学生工业设计创新大赛参赛作品</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小学生毕业生合格率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20分毕业生合格率100%得满分，否则不得分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岗位职责</w:t>
            </w:r>
          </w:p>
        </w:tc>
      </w:tr>
      <w:tr>
        <w:tblPrEx>
          <w:tblCellMar>
            <w:top w:w="0" w:type="dxa"/>
            <w:left w:w="108" w:type="dxa"/>
            <w:bottom w:w="0" w:type="dxa"/>
            <w:right w:w="108" w:type="dxa"/>
          </w:tblCellMar>
        </w:tblPrEx>
        <w:trPr>
          <w:trHeight w:val="275"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数量指标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重点工作实际完成率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重点工作实际完成率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10分不低于95%得满分，否则不得分5每减少1%扣1分，扣完为止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196"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质量指标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采购物资、建设工程合格率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采购物资、建设工程合格率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20分合格率100%得满分，否则不得分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质量评价标准</w:t>
            </w:r>
          </w:p>
        </w:tc>
      </w:tr>
      <w:tr>
        <w:tblPrEx>
          <w:tblCellMar>
            <w:top w:w="0" w:type="dxa"/>
            <w:left w:w="108" w:type="dxa"/>
            <w:bottom w:w="0" w:type="dxa"/>
            <w:right w:w="108" w:type="dxa"/>
          </w:tblCellMar>
        </w:tblPrEx>
        <w:trPr>
          <w:trHeight w:val="196"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时效指标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学校的各项工作任务及时完成情况</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学校的各项工作任务及时完成情况</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10分及时完成得满分，否则不得分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及时</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年初工作计划</w:t>
            </w:r>
          </w:p>
        </w:tc>
      </w:tr>
      <w:tr>
        <w:tblPrEx>
          <w:tblCellMar>
            <w:top w:w="0" w:type="dxa"/>
            <w:left w:w="108" w:type="dxa"/>
            <w:bottom w:w="0" w:type="dxa"/>
            <w:right w:w="108" w:type="dxa"/>
          </w:tblCellMar>
        </w:tblPrEx>
        <w:trPr>
          <w:trHeight w:val="364" w:hRule="atLeast"/>
        </w:trPr>
        <w:tc>
          <w:tcPr>
            <w:tcW w:w="110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cs="Calibri"/>
                <w:color w:val="000000"/>
                <w:kern w:val="0"/>
                <w:szCs w:val="21"/>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成本指标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教育经费使用控制率</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支出的公用经费总额与预算安排的比率</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10分教育经费决算数不大于调整预算数得满分，否则不得分</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文字描述</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教育经费决算数不大于调整预算数</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实际工作</w:t>
            </w:r>
          </w:p>
        </w:tc>
      </w:tr>
      <w:tr>
        <w:tblPrEx>
          <w:tblCellMar>
            <w:top w:w="0" w:type="dxa"/>
            <w:left w:w="108" w:type="dxa"/>
            <w:bottom w:w="0" w:type="dxa"/>
            <w:right w:w="108" w:type="dxa"/>
          </w:tblCellMar>
        </w:tblPrEx>
        <w:trPr>
          <w:trHeight w:val="364"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效益指标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社会效益指标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义务教育高质量发展</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推动义务教育从数量扩张向质量提高转变</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10分学生、家长、社会对学校整体满意度达到95%得满分，每降低1%扣1分，扣完为止。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部门职责</w:t>
            </w:r>
          </w:p>
        </w:tc>
      </w:tr>
      <w:tr>
        <w:tblPrEx>
          <w:tblCellMar>
            <w:top w:w="0" w:type="dxa"/>
            <w:left w:w="108" w:type="dxa"/>
            <w:bottom w:w="0" w:type="dxa"/>
            <w:right w:w="108" w:type="dxa"/>
          </w:tblCellMar>
        </w:tblPrEx>
        <w:trPr>
          <w:trHeight w:val="275"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在校师生的满意程度</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在校师生的满意程度</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10分在校师生的满意度达到95%得满分，每降低1%扣1分，扣完为止。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r>
        <w:tblPrEx>
          <w:tblCellMar>
            <w:top w:w="0" w:type="dxa"/>
            <w:left w:w="108" w:type="dxa"/>
            <w:bottom w:w="0" w:type="dxa"/>
            <w:right w:w="108" w:type="dxa"/>
          </w:tblCellMar>
        </w:tblPrEx>
        <w:trPr>
          <w:trHeight w:val="275" w:hRule="atLeast"/>
        </w:trPr>
        <w:tc>
          <w:tcPr>
            <w:tcW w:w="1106"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cs="Calibri"/>
                <w:color w:val="000000"/>
                <w:kern w:val="0"/>
                <w:szCs w:val="21"/>
              </w:rPr>
            </w:pPr>
            <w:r>
              <w:rPr>
                <w:rFonts w:cs="Calibri"/>
                <w:color w:val="000000"/>
                <w:kern w:val="0"/>
                <w:szCs w:val="21"/>
              </w:rPr>
              <w:t>满意度指标</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left"/>
              <w:rPr>
                <w:rFonts w:ascii="宋体" w:hAnsi="宋体" w:cs="宋体"/>
                <w:kern w:val="0"/>
                <w:szCs w:val="21"/>
              </w:rPr>
            </w:pPr>
            <w:r>
              <w:rPr>
                <w:rFonts w:hint="eastAsia" w:ascii="宋体" w:hAnsi="宋体" w:cs="宋体"/>
                <w:kern w:val="0"/>
                <w:szCs w:val="21"/>
              </w:rPr>
              <w:t>服务对象满意度指标</w:t>
            </w:r>
          </w:p>
        </w:tc>
        <w:tc>
          <w:tcPr>
            <w:tcW w:w="1394"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家长的满意程度</w:t>
            </w:r>
          </w:p>
        </w:tc>
        <w:tc>
          <w:tcPr>
            <w:tcW w:w="2409"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家长的满意程度</w:t>
            </w:r>
          </w:p>
        </w:tc>
        <w:tc>
          <w:tcPr>
            <w:tcW w:w="303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10分家长的满意度达到95%得满分，每降低1%扣1分，扣完为止。</w:t>
            </w:r>
          </w:p>
        </w:tc>
        <w:tc>
          <w:tcPr>
            <w:tcW w:w="104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597"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95</w:t>
            </w:r>
          </w:p>
        </w:tc>
        <w:tc>
          <w:tcPr>
            <w:tcW w:w="1698"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992" w:type="dxa"/>
            <w:tcBorders>
              <w:top w:val="single" w:color="auto" w:sz="4" w:space="0"/>
              <w:left w:val="single" w:color="auto" w:sz="4" w:space="0"/>
              <w:bottom w:val="single" w:color="auto" w:sz="4" w:space="0"/>
              <w:right w:val="single" w:color="auto" w:sz="4" w:space="0"/>
            </w:tcBorders>
            <w:noWrap w:val="0"/>
            <w:vAlign w:val="top"/>
          </w:tcPr>
          <w:p>
            <w:pPr>
              <w:widowControl/>
              <w:spacing w:line="260" w:lineRule="exact"/>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调查问卷</w:t>
            </w:r>
          </w:p>
        </w:tc>
      </w:tr>
    </w:tbl>
    <w:p>
      <w:pPr>
        <w:numPr>
          <w:ilvl w:val="0"/>
          <w:numId w:val="0"/>
        </w:numPr>
        <w:spacing w:line="584" w:lineRule="exact"/>
        <w:ind w:firstLine="640" w:firstLineChars="200"/>
        <w:rPr>
          <w:rFonts w:hint="eastAsia" w:ascii="Times New Roman" w:hAnsi="Times New Roman" w:eastAsia="黑体" w:cs="Times New Roman"/>
          <w:sz w:val="32"/>
          <w:szCs w:val="32"/>
          <w:lang w:eastAsia="zh-CN"/>
        </w:rPr>
      </w:pPr>
    </w:p>
    <w:p>
      <w:pPr>
        <w:numPr>
          <w:ilvl w:val="0"/>
          <w:numId w:val="0"/>
        </w:numPr>
        <w:spacing w:line="584" w:lineRule="exact"/>
        <w:ind w:firstLine="640" w:firstLineChars="200"/>
        <w:rPr>
          <w:rFonts w:hint="eastAsia" w:ascii="Times New Roman" w:hAnsi="Times New Roman" w:eastAsia="黑体" w:cs="Times New Roman"/>
          <w:sz w:val="32"/>
          <w:szCs w:val="32"/>
          <w:lang w:eastAsia="zh-CN"/>
        </w:rPr>
      </w:pPr>
    </w:p>
    <w:p>
      <w:pPr>
        <w:numPr>
          <w:ilvl w:val="0"/>
          <w:numId w:val="0"/>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bookmarkStart w:id="0" w:name="_Toc_4_4_0000000004"/>
    </w:p>
    <w:bookmarkEnd w:id="0"/>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1.城乡义务教育生均公用经费[区级]绩效目标表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60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96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1.廊坊市广阳区九州镇炊庄小学对2022年在校学生465人，按照义务教育圣君公用经费标准申请财政预算资金、通过合理，合规保障学校运转及事业发展。</w:t>
            </w:r>
            <w:r>
              <w:rPr>
                <w:rFonts w:hint="eastAsia" w:ascii="仿宋_GB2312" w:hAnsi="仿宋_GB2312" w:eastAsia="仿宋_GB2312" w:cs="仿宋_GB2312"/>
              </w:rPr>
              <w:tab/>
            </w:r>
          </w:p>
          <w:p>
            <w:pPr>
              <w:pStyle w:val="13"/>
              <w:rPr>
                <w:rFonts w:hint="eastAsia" w:ascii="仿宋_GB2312" w:hAnsi="仿宋_GB2312" w:eastAsia="仿宋_GB2312" w:cs="仿宋_GB2312"/>
              </w:rPr>
            </w:pPr>
            <w:r>
              <w:rPr>
                <w:rFonts w:hint="eastAsia" w:ascii="仿宋_GB2312" w:hAnsi="仿宋_GB2312" w:eastAsia="仿宋_GB2312" w:cs="仿宋_GB2312"/>
              </w:rPr>
              <w:t>2.改善我校办学条件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3"/>
              <w:rPr>
                <w:rFonts w:hint="eastAsia" w:ascii="仿宋_GB2312" w:hAnsi="仿宋_GB2312" w:eastAsia="仿宋_GB2312" w:cs="仿宋_GB2312"/>
              </w:rPr>
            </w:pPr>
            <w:r>
              <w:rPr>
                <w:rFonts w:hint="eastAsia" w:ascii="仿宋_GB2312" w:hAnsi="仿宋_GB2312" w:eastAsia="仿宋_GB2312" w:cs="仿宋_GB2312"/>
              </w:rPr>
              <w:t>3.促进城区义务教育发展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3"/>
        <w:gridCol w:w="1215"/>
        <w:gridCol w:w="1425"/>
        <w:gridCol w:w="2762"/>
        <w:gridCol w:w="928"/>
        <w:gridCol w:w="34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3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15"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425"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76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28"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340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465人</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vMerge w:val="continue"/>
            <w:noWrap w:val="0"/>
            <w:vAlign w:val="center"/>
          </w:tcPr>
          <w:p>
            <w:pPr>
              <w:rPr>
                <w:rFonts w:hint="eastAsia" w:ascii="仿宋_GB2312" w:hAnsi="仿宋_GB2312" w:eastAsia="仿宋_GB2312" w:cs="仿宋_GB2312"/>
              </w:rPr>
            </w:pP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735元/生</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3"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1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25"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7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28"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340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97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897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1.廊坊市广阳区九州镇炊庄中心小学对2022年在校学生465人，按照义务教育生均公用经费标准申请财政预算资金、通过合理，合规保障学校运转及事业发展。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3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237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465人</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pPr>
              <w:rPr>
                <w:rFonts w:hint="eastAsia" w:ascii="仿宋_GB2312" w:hAnsi="仿宋_GB2312" w:eastAsia="仿宋_GB2312" w:cs="仿宋_GB2312"/>
              </w:rPr>
            </w:pP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735元/生</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237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3.教育经费绩效目标表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3"/>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3"/>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4.特殊教育资金[中央]绩效目标表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1个</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12月底</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项目成本</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项目成本</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6000元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廊财教[2021]69号文件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持续</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5.校园房屋外墙主体粉刷资金绩效目标表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1.改善教学办公条件.</w:t>
            </w:r>
          </w:p>
          <w:p>
            <w:pPr>
              <w:pStyle w:val="13"/>
              <w:rPr>
                <w:rFonts w:hint="eastAsia" w:ascii="仿宋_GB2312" w:hAnsi="仿宋_GB2312" w:eastAsia="仿宋_GB2312" w:cs="仿宋_GB2312"/>
              </w:rPr>
            </w:pPr>
            <w:r>
              <w:rPr>
                <w:rFonts w:hint="eastAsia" w:ascii="仿宋_GB2312" w:hAnsi="仿宋_GB2312" w:eastAsia="仿宋_GB2312" w:cs="仿宋_GB2312"/>
              </w:rPr>
              <w:t>2.高教育教学环境。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3.为义务教育教学工作正常进行提供保障。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校园房屋外墙主体粉刷所需平方米数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校园房屋外墙主体粉刷所需平方米数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4424.7平方米</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符合房屋外墙主体粉刷质量标准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符合房屋外墙主体粉刷质量标准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国家粉刷质量标准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工程进度是否达标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工程是否按时按质完成</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及时完成</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≤17.7万元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成本核算鉴定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安全得到保障</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6.校园平房防水资金绩效目标表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1.改善教学办公条件.</w:t>
            </w:r>
          </w:p>
          <w:p>
            <w:pPr>
              <w:pStyle w:val="13"/>
              <w:rPr>
                <w:rFonts w:hint="eastAsia" w:ascii="仿宋_GB2312" w:hAnsi="仿宋_GB2312" w:eastAsia="仿宋_GB2312" w:cs="仿宋_GB2312"/>
              </w:rPr>
            </w:pPr>
            <w:r>
              <w:rPr>
                <w:rFonts w:hint="eastAsia" w:ascii="仿宋_GB2312" w:hAnsi="仿宋_GB2312" w:eastAsia="仿宋_GB2312" w:cs="仿宋_GB2312"/>
              </w:rPr>
              <w:t>2.提高教育教学环境。</w:t>
            </w:r>
          </w:p>
          <w:p>
            <w:pPr>
              <w:pStyle w:val="13"/>
              <w:rPr>
                <w:rFonts w:hint="eastAsia" w:ascii="仿宋_GB2312" w:hAnsi="仿宋_GB2312" w:eastAsia="仿宋_GB2312" w:cs="仿宋_GB2312"/>
              </w:rPr>
            </w:pPr>
            <w:r>
              <w:rPr>
                <w:rFonts w:hint="eastAsia" w:ascii="仿宋_GB2312" w:hAnsi="仿宋_GB2312" w:eastAsia="仿宋_GB2312" w:cs="仿宋_GB2312"/>
              </w:rPr>
              <w:t>3.为义务教育教学工作正常进行提供保障。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校园平房防水所需平方米数</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校园平房防水所需平方米数</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3777.85平方米</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廊财【2020】19号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符合房屋防水质量标准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符合房屋防水质量标准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防水质量标准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工程进度是否达标</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工程是否按时按质完成</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及时完成</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pPr>
              <w:rPr>
                <w:rFonts w:hint="eastAsia" w:ascii="仿宋_GB2312" w:hAnsi="仿宋_GB2312" w:eastAsia="仿宋_GB2312" w:cs="仿宋_GB2312"/>
              </w:rPr>
            </w:pP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符合成本核算标准</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≤24.6万元</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成本核算鉴定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保证教育教学环境安全舒适。</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安全得到保障</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2891"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学生及家长的满意度</w:t>
            </w:r>
          </w:p>
        </w:tc>
        <w:tc>
          <w:tcPr>
            <w:tcW w:w="1276"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7.幼儿园生均经费绩效目标表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1"/>
        <w:gridCol w:w="97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31"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绩效目标</w:t>
            </w:r>
          </w:p>
        </w:tc>
        <w:tc>
          <w:tcPr>
            <w:tcW w:w="9760"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1.保障学前教育学校运转，改善学校基本办学条件，促进学前教育均衡发展及学生素质提高。</w:t>
            </w:r>
          </w:p>
          <w:p>
            <w:pPr>
              <w:pStyle w:val="13"/>
              <w:rPr>
                <w:rFonts w:hint="eastAsia" w:ascii="仿宋_GB2312" w:hAnsi="仿宋_GB2312" w:eastAsia="仿宋_GB2312" w:cs="仿宋_GB2312"/>
              </w:rPr>
            </w:pPr>
            <w:r>
              <w:rPr>
                <w:rFonts w:hint="eastAsia" w:ascii="仿宋_GB2312" w:hAnsi="仿宋_GB2312" w:eastAsia="仿宋_GB2312" w:cs="仿宋_GB2312"/>
              </w:rPr>
              <w:t>2.廊坊市广阳区九州镇炊庄中心小学对2022年在校学生82人，按照学前教育生均公用经费标准申请财政预算资金，通过合理、合规使用资金达到保证学校正常运转，改善办学条件，促进学前教育发展。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4"/>
        <w:gridCol w:w="1464"/>
        <w:gridCol w:w="2372"/>
        <w:gridCol w:w="2657"/>
        <w:gridCol w:w="1003"/>
        <w:gridCol w:w="33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1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二级指标</w:t>
            </w:r>
          </w:p>
        </w:tc>
        <w:tc>
          <w:tcPr>
            <w:tcW w:w="2372"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7"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3"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w:t>
            </w:r>
          </w:p>
        </w:tc>
        <w:tc>
          <w:tcPr>
            <w:tcW w:w="3354" w:type="dxa"/>
            <w:noWrap w:val="0"/>
            <w:vAlign w:val="center"/>
          </w:tcPr>
          <w:p>
            <w:pPr>
              <w:pStyle w:val="19"/>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restart"/>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数量指标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82人</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质量指标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时效指标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100%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vMerge w:val="continue"/>
            <w:noWrap w:val="0"/>
            <w:vAlign w:val="center"/>
          </w:tcPr>
          <w:p>
            <w:pPr>
              <w:rPr>
                <w:rFonts w:hint="eastAsia" w:ascii="仿宋_GB2312" w:hAnsi="仿宋_GB2312" w:eastAsia="仿宋_GB2312" w:cs="仿宋_GB2312"/>
              </w:rPr>
            </w:pP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成本指标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400元/生</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该资金用于学校正常运转，改善办学条件，促进学前教育均衡发展及学生素质提高</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支持</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14" w:type="dxa"/>
            <w:noWrap w:val="0"/>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72"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7"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3"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≥90%</w:t>
            </w:r>
          </w:p>
        </w:tc>
        <w:tc>
          <w:tcPr>
            <w:tcW w:w="3354" w:type="dxa"/>
            <w:noWrap w:val="0"/>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32"/>
          <w:szCs w:val="32"/>
        </w:rPr>
        <w:sectPr>
          <w:footerReference r:id="rId3" w:type="default"/>
          <w:pgSz w:w="16838" w:h="11906" w:orient="landscape"/>
          <w:pgMar w:top="1800" w:right="1440" w:bottom="1800" w:left="1440"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7"/>
    <w:p>
      <w:pPr>
        <w:jc w:val="center"/>
        <w:outlineLvl w:val="1"/>
        <w:rPr>
          <w:rFonts w:ascii="方正小标宋_GBK" w:eastAsia="方正小标宋_GBK" w:cs="Times New Roman"/>
          <w:sz w:val="32"/>
        </w:rPr>
      </w:pPr>
      <w:bookmarkStart w:id="8" w:name="_Toc64920910"/>
      <w:r>
        <w:rPr>
          <w:rFonts w:hint="eastAsia" w:ascii="方正小标宋_GBK" w:eastAsia="方正小标宋_GBK" w:cs="Times New Roman"/>
          <w:sz w:val="32"/>
        </w:rPr>
        <w:t>部门政府采购预算</w:t>
      </w:r>
      <w:bookmarkEnd w:id="8"/>
    </w:p>
    <w:p>
      <w:pPr>
        <w:outlineLvl w:val="1"/>
        <w:rPr>
          <w:rFonts w:ascii="方正小标宋_GBK" w:eastAsia="方正小标宋_GBK" w:cs="Times New Roman"/>
          <w:sz w:val="32"/>
        </w:rPr>
      </w:pPr>
      <w:r>
        <w:t>廊坊市</w:t>
      </w:r>
      <w:r>
        <w:rPr>
          <w:rFonts w:hint="eastAsia"/>
        </w:rPr>
        <w:t>广阳区九州镇炊庄中心小学</w:t>
      </w:r>
      <w:r>
        <w:t xml:space="preserve">                                                                                             单位：万元</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9"/>
              <w:spacing w:line="300" w:lineRule="exact"/>
            </w:pPr>
            <w:r>
              <w:t>政府采购项目来源</w:t>
            </w:r>
          </w:p>
        </w:tc>
        <w:tc>
          <w:tcPr>
            <w:tcW w:w="1134" w:type="dxa"/>
            <w:vMerge w:val="restart"/>
            <w:noWrap w:val="0"/>
            <w:vAlign w:val="center"/>
          </w:tcPr>
          <w:p>
            <w:pPr>
              <w:pStyle w:val="19"/>
              <w:spacing w:line="300" w:lineRule="exact"/>
            </w:pPr>
            <w:r>
              <w:t>采购物品名称</w:t>
            </w:r>
          </w:p>
        </w:tc>
        <w:tc>
          <w:tcPr>
            <w:tcW w:w="1134" w:type="dxa"/>
            <w:vMerge w:val="restart"/>
            <w:noWrap w:val="0"/>
            <w:vAlign w:val="center"/>
          </w:tcPr>
          <w:p>
            <w:pPr>
              <w:pStyle w:val="19"/>
              <w:spacing w:line="300" w:lineRule="exact"/>
            </w:pPr>
            <w:r>
              <w:t>政府采购目录序号</w:t>
            </w:r>
          </w:p>
        </w:tc>
        <w:tc>
          <w:tcPr>
            <w:tcW w:w="709" w:type="dxa"/>
            <w:vMerge w:val="restart"/>
            <w:noWrap w:val="0"/>
            <w:vAlign w:val="center"/>
          </w:tcPr>
          <w:p>
            <w:pPr>
              <w:pStyle w:val="19"/>
              <w:spacing w:line="300" w:lineRule="exact"/>
            </w:pPr>
            <w:r>
              <w:t>计量  单位</w:t>
            </w:r>
          </w:p>
        </w:tc>
        <w:tc>
          <w:tcPr>
            <w:tcW w:w="850" w:type="dxa"/>
            <w:vMerge w:val="restart"/>
            <w:noWrap w:val="0"/>
            <w:vAlign w:val="center"/>
          </w:tcPr>
          <w:p>
            <w:pPr>
              <w:pStyle w:val="19"/>
              <w:spacing w:line="300" w:lineRule="exact"/>
            </w:pPr>
            <w:r>
              <w:t>数量</w:t>
            </w:r>
          </w:p>
        </w:tc>
        <w:tc>
          <w:tcPr>
            <w:tcW w:w="850" w:type="dxa"/>
            <w:vMerge w:val="restart"/>
            <w:noWrap w:val="0"/>
            <w:vAlign w:val="center"/>
          </w:tcPr>
          <w:p>
            <w:pPr>
              <w:pStyle w:val="19"/>
              <w:spacing w:line="300" w:lineRule="exact"/>
            </w:pPr>
            <w:r>
              <w:t>单价</w:t>
            </w:r>
          </w:p>
        </w:tc>
        <w:tc>
          <w:tcPr>
            <w:tcW w:w="7712" w:type="dxa"/>
            <w:gridSpan w:val="8"/>
            <w:noWrap w:val="0"/>
            <w:vAlign w:val="center"/>
          </w:tcPr>
          <w:p>
            <w:pPr>
              <w:pStyle w:val="19"/>
              <w:spacing w:line="300" w:lineRule="exact"/>
            </w:pPr>
            <w:r>
              <w:t>政府采购金额（当年部门预算安排资金）</w:t>
            </w:r>
          </w:p>
        </w:tc>
        <w:tc>
          <w:tcPr>
            <w:tcW w:w="964" w:type="dxa"/>
            <w:vMerge w:val="restart"/>
            <w:noWrap w:val="0"/>
            <w:vAlign w:val="center"/>
          </w:tcPr>
          <w:p>
            <w:pPr>
              <w:pStyle w:val="19"/>
              <w:spacing w:line="30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9"/>
              <w:spacing w:line="300" w:lineRule="exact"/>
            </w:pPr>
            <w:r>
              <w:t>项目名称</w:t>
            </w:r>
          </w:p>
        </w:tc>
        <w:tc>
          <w:tcPr>
            <w:tcW w:w="964" w:type="dxa"/>
            <w:noWrap w:val="0"/>
            <w:vAlign w:val="center"/>
          </w:tcPr>
          <w:p>
            <w:pPr>
              <w:pStyle w:val="19"/>
              <w:spacing w:line="300" w:lineRule="exact"/>
            </w:pPr>
            <w:r>
              <w:t>预算    资金</w:t>
            </w:r>
          </w:p>
        </w:tc>
        <w:tc>
          <w:tcPr>
            <w:tcW w:w="1134" w:type="dxa"/>
            <w:vMerge w:val="continue"/>
            <w:noWrap w:val="0"/>
            <w:vAlign w:val="top"/>
          </w:tcPr>
          <w:p>
            <w:pPr>
              <w:widowControl/>
              <w:spacing w:line="300" w:lineRule="exact"/>
              <w:jc w:val="center"/>
            </w:pPr>
          </w:p>
        </w:tc>
        <w:tc>
          <w:tcPr>
            <w:tcW w:w="1134" w:type="dxa"/>
            <w:vMerge w:val="continue"/>
            <w:noWrap w:val="0"/>
            <w:vAlign w:val="top"/>
          </w:tcPr>
          <w:p>
            <w:pPr>
              <w:widowControl/>
              <w:spacing w:line="300" w:lineRule="exact"/>
              <w:jc w:val="center"/>
            </w:pPr>
          </w:p>
        </w:tc>
        <w:tc>
          <w:tcPr>
            <w:tcW w:w="709" w:type="dxa"/>
            <w:vMerge w:val="continue"/>
            <w:noWrap w:val="0"/>
            <w:vAlign w:val="top"/>
          </w:tcPr>
          <w:p>
            <w:pPr>
              <w:widowControl/>
              <w:spacing w:line="300" w:lineRule="exact"/>
              <w:jc w:val="center"/>
            </w:pPr>
          </w:p>
        </w:tc>
        <w:tc>
          <w:tcPr>
            <w:tcW w:w="850" w:type="dxa"/>
            <w:vMerge w:val="continue"/>
            <w:noWrap w:val="0"/>
            <w:vAlign w:val="top"/>
          </w:tcPr>
          <w:p>
            <w:pPr>
              <w:widowControl/>
              <w:spacing w:line="300" w:lineRule="exact"/>
              <w:jc w:val="center"/>
            </w:pPr>
          </w:p>
        </w:tc>
        <w:tc>
          <w:tcPr>
            <w:tcW w:w="850" w:type="dxa"/>
            <w:vMerge w:val="continue"/>
            <w:noWrap w:val="0"/>
            <w:vAlign w:val="top"/>
          </w:tcPr>
          <w:p>
            <w:pPr>
              <w:widowControl/>
              <w:spacing w:line="300" w:lineRule="exact"/>
              <w:jc w:val="center"/>
            </w:pPr>
          </w:p>
        </w:tc>
        <w:tc>
          <w:tcPr>
            <w:tcW w:w="964" w:type="dxa"/>
            <w:noWrap w:val="0"/>
            <w:vAlign w:val="center"/>
          </w:tcPr>
          <w:p>
            <w:pPr>
              <w:pStyle w:val="19"/>
              <w:spacing w:line="300" w:lineRule="exact"/>
            </w:pPr>
            <w:r>
              <w:t>合计</w:t>
            </w:r>
          </w:p>
        </w:tc>
        <w:tc>
          <w:tcPr>
            <w:tcW w:w="964" w:type="dxa"/>
            <w:noWrap w:val="0"/>
            <w:vAlign w:val="center"/>
          </w:tcPr>
          <w:p>
            <w:pPr>
              <w:pStyle w:val="19"/>
              <w:spacing w:line="300" w:lineRule="exact"/>
            </w:pPr>
            <w:r>
              <w:t>一般公共预算拨款</w:t>
            </w:r>
          </w:p>
        </w:tc>
        <w:tc>
          <w:tcPr>
            <w:tcW w:w="964" w:type="dxa"/>
            <w:noWrap w:val="0"/>
            <w:vAlign w:val="center"/>
          </w:tcPr>
          <w:p>
            <w:pPr>
              <w:pStyle w:val="19"/>
              <w:spacing w:line="300" w:lineRule="exact"/>
            </w:pPr>
            <w:r>
              <w:t>基金预算拨款</w:t>
            </w:r>
          </w:p>
        </w:tc>
        <w:tc>
          <w:tcPr>
            <w:tcW w:w="964" w:type="dxa"/>
            <w:noWrap w:val="0"/>
            <w:vAlign w:val="center"/>
          </w:tcPr>
          <w:p>
            <w:pPr>
              <w:pStyle w:val="19"/>
              <w:spacing w:line="300" w:lineRule="exact"/>
            </w:pPr>
            <w:r>
              <w:t>国有资本经营预算拨款</w:t>
            </w:r>
          </w:p>
        </w:tc>
        <w:tc>
          <w:tcPr>
            <w:tcW w:w="964" w:type="dxa"/>
            <w:noWrap w:val="0"/>
            <w:vAlign w:val="center"/>
          </w:tcPr>
          <w:p>
            <w:pPr>
              <w:pStyle w:val="19"/>
              <w:spacing w:line="300" w:lineRule="exact"/>
            </w:pPr>
            <w:r>
              <w:t>财政专户核拨</w:t>
            </w:r>
          </w:p>
        </w:tc>
        <w:tc>
          <w:tcPr>
            <w:tcW w:w="964" w:type="dxa"/>
            <w:noWrap w:val="0"/>
            <w:vAlign w:val="center"/>
          </w:tcPr>
          <w:p>
            <w:pPr>
              <w:pStyle w:val="19"/>
              <w:spacing w:line="300" w:lineRule="exact"/>
            </w:pPr>
            <w:r>
              <w:t>单位    资金</w:t>
            </w:r>
          </w:p>
        </w:tc>
        <w:tc>
          <w:tcPr>
            <w:tcW w:w="964" w:type="dxa"/>
            <w:noWrap w:val="0"/>
            <w:vAlign w:val="center"/>
          </w:tcPr>
          <w:p>
            <w:pPr>
              <w:pStyle w:val="19"/>
              <w:spacing w:line="300" w:lineRule="exact"/>
            </w:pPr>
            <w:r>
              <w:t>财政拨    款结转</w:t>
            </w:r>
          </w:p>
        </w:tc>
        <w:tc>
          <w:tcPr>
            <w:tcW w:w="964" w:type="dxa"/>
            <w:noWrap w:val="0"/>
            <w:vAlign w:val="center"/>
          </w:tcPr>
          <w:p>
            <w:pPr>
              <w:pStyle w:val="19"/>
              <w:spacing w:line="300" w:lineRule="exact"/>
            </w:pPr>
            <w:r>
              <w:t>非财政    拨款结    转结余</w:t>
            </w:r>
          </w:p>
        </w:tc>
        <w:tc>
          <w:tcPr>
            <w:tcW w:w="964" w:type="dxa"/>
            <w:vMerge w:val="continue"/>
            <w:noWrap w:val="0"/>
            <w:vAlign w:val="top"/>
          </w:tcPr>
          <w:p>
            <w:pPr>
              <w:widowControl/>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097" w:type="dxa"/>
            <w:noWrap w:val="0"/>
            <w:vAlign w:val="center"/>
          </w:tcPr>
          <w:p>
            <w:pPr>
              <w:pStyle w:val="17"/>
              <w:spacing w:line="300" w:lineRule="exact"/>
            </w:pPr>
            <w:r>
              <w:t>合  计</w:t>
            </w:r>
          </w:p>
        </w:tc>
        <w:tc>
          <w:tcPr>
            <w:tcW w:w="964" w:type="dxa"/>
            <w:noWrap w:val="0"/>
            <w:vAlign w:val="center"/>
          </w:tcPr>
          <w:p>
            <w:pPr>
              <w:pStyle w:val="16"/>
              <w:spacing w:line="300" w:lineRule="exact"/>
              <w:jc w:val="center"/>
            </w:pPr>
          </w:p>
        </w:tc>
        <w:tc>
          <w:tcPr>
            <w:tcW w:w="1134" w:type="dxa"/>
            <w:noWrap w:val="0"/>
            <w:vAlign w:val="center"/>
          </w:tcPr>
          <w:p>
            <w:pPr>
              <w:pStyle w:val="18"/>
              <w:spacing w:line="300" w:lineRule="exact"/>
              <w:jc w:val="center"/>
            </w:pPr>
          </w:p>
        </w:tc>
        <w:tc>
          <w:tcPr>
            <w:tcW w:w="1134" w:type="dxa"/>
            <w:noWrap w:val="0"/>
            <w:vAlign w:val="center"/>
          </w:tcPr>
          <w:p>
            <w:pPr>
              <w:pStyle w:val="18"/>
              <w:spacing w:line="300" w:lineRule="exact"/>
              <w:jc w:val="center"/>
            </w:pPr>
          </w:p>
        </w:tc>
        <w:tc>
          <w:tcPr>
            <w:tcW w:w="709" w:type="dxa"/>
            <w:noWrap w:val="0"/>
            <w:vAlign w:val="center"/>
          </w:tcPr>
          <w:p>
            <w:pPr>
              <w:pStyle w:val="17"/>
              <w:spacing w:line="300" w:lineRule="exact"/>
            </w:pPr>
          </w:p>
        </w:tc>
        <w:tc>
          <w:tcPr>
            <w:tcW w:w="850" w:type="dxa"/>
            <w:noWrap w:val="0"/>
            <w:vAlign w:val="center"/>
          </w:tcPr>
          <w:p>
            <w:pPr>
              <w:pStyle w:val="16"/>
              <w:spacing w:line="300" w:lineRule="exact"/>
              <w:jc w:val="center"/>
            </w:pPr>
          </w:p>
        </w:tc>
        <w:tc>
          <w:tcPr>
            <w:tcW w:w="850"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c>
          <w:tcPr>
            <w:tcW w:w="964" w:type="dxa"/>
            <w:noWrap w:val="0"/>
            <w:vAlign w:val="center"/>
          </w:tcPr>
          <w:p>
            <w:pPr>
              <w:pStyle w:val="16"/>
              <w:spacing w:line="3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7"/>
            </w:pPr>
          </w:p>
        </w:tc>
        <w:tc>
          <w:tcPr>
            <w:tcW w:w="964" w:type="dxa"/>
            <w:noWrap w:val="0"/>
            <w:vAlign w:val="center"/>
          </w:tcPr>
          <w:p>
            <w:pPr>
              <w:pStyle w:val="16"/>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7"/>
            </w:pPr>
          </w:p>
        </w:tc>
        <w:tc>
          <w:tcPr>
            <w:tcW w:w="850" w:type="dxa"/>
            <w:noWrap w:val="0"/>
            <w:vAlign w:val="center"/>
          </w:tcPr>
          <w:p>
            <w:pPr>
              <w:pStyle w:val="16"/>
            </w:pPr>
          </w:p>
        </w:tc>
        <w:tc>
          <w:tcPr>
            <w:tcW w:w="850"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c>
          <w:tcPr>
            <w:tcW w:w="964" w:type="dxa"/>
            <w:noWrap w:val="0"/>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noWrap w:val="0"/>
            <w:vAlign w:val="center"/>
          </w:tcPr>
          <w:p>
            <w:pPr>
              <w:pStyle w:val="13"/>
            </w:pPr>
          </w:p>
        </w:tc>
        <w:tc>
          <w:tcPr>
            <w:tcW w:w="964" w:type="dxa"/>
            <w:noWrap w:val="0"/>
            <w:vAlign w:val="center"/>
          </w:tcPr>
          <w:p>
            <w:pPr>
              <w:pStyle w:val="14"/>
            </w:pPr>
          </w:p>
        </w:tc>
        <w:tc>
          <w:tcPr>
            <w:tcW w:w="1134" w:type="dxa"/>
            <w:noWrap w:val="0"/>
            <w:vAlign w:val="center"/>
          </w:tcPr>
          <w:p>
            <w:pPr>
              <w:pStyle w:val="13"/>
            </w:pPr>
          </w:p>
        </w:tc>
        <w:tc>
          <w:tcPr>
            <w:tcW w:w="1134" w:type="dxa"/>
            <w:noWrap w:val="0"/>
            <w:vAlign w:val="center"/>
          </w:tcPr>
          <w:p>
            <w:pPr>
              <w:pStyle w:val="13"/>
            </w:pPr>
          </w:p>
        </w:tc>
        <w:tc>
          <w:tcPr>
            <w:tcW w:w="709" w:type="dxa"/>
            <w:noWrap w:val="0"/>
            <w:vAlign w:val="center"/>
          </w:tcPr>
          <w:p>
            <w:pPr>
              <w:pStyle w:val="15"/>
            </w:pPr>
          </w:p>
        </w:tc>
        <w:tc>
          <w:tcPr>
            <w:tcW w:w="850" w:type="dxa"/>
            <w:noWrap w:val="0"/>
            <w:vAlign w:val="center"/>
          </w:tcPr>
          <w:p>
            <w:pPr>
              <w:pStyle w:val="14"/>
            </w:pPr>
          </w:p>
        </w:tc>
        <w:tc>
          <w:tcPr>
            <w:tcW w:w="850"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c>
          <w:tcPr>
            <w:tcW w:w="964" w:type="dxa"/>
            <w:noWrap w:val="0"/>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广阳区九州镇炊庄中心小学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544.7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0" w:type="auto"/>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广阳区九州镇炊庄中心小学</w:t>
            </w:r>
          </w:p>
        </w:tc>
        <w:tc>
          <w:tcPr>
            <w:tcW w:w="5103" w:type="dxa"/>
            <w:tcBorders>
              <w:top w:val="nil"/>
              <w:left w:val="nil"/>
              <w:bottom w:val="nil"/>
              <w:right w:val="nil"/>
            </w:tcBorders>
            <w:noWrap w:val="0"/>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3558</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3558</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544.7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0"/>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sectPr>
          <w:pgSz w:w="16838" w:h="11906" w:orient="landscape"/>
          <w:pgMar w:top="1800" w:right="1440" w:bottom="1800" w:left="1440" w:header="851" w:footer="992" w:gutter="0"/>
          <w:cols w:space="720"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B7B"/>
    <w:rsid w:val="00285EDF"/>
    <w:rsid w:val="00473F9C"/>
    <w:rsid w:val="007D70E2"/>
    <w:rsid w:val="00AF7908"/>
    <w:rsid w:val="3386301C"/>
    <w:rsid w:val="426A7967"/>
    <w:rsid w:val="49BF5823"/>
    <w:rsid w:val="656A19EC"/>
    <w:rsid w:val="66707F75"/>
    <w:rsid w:val="6A9D3992"/>
    <w:rsid w:val="71070D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character" w:customStyle="1" w:styleId="11">
    <w:name w:val="NormalCharacter"/>
    <w:uiPriority w:val="0"/>
    <w:rPr>
      <w:rFonts w:ascii="Calibri" w:hAnsi="Calibri" w:eastAsia="宋体" w:cs="Arial"/>
      <w:kern w:val="2"/>
      <w:sz w:val="21"/>
      <w:szCs w:val="22"/>
      <w:lang w:val="en-US" w:eastAsia="zh-CN"/>
    </w:rPr>
  </w:style>
  <w:style w:type="paragraph" w:customStyle="1" w:styleId="12">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2"/>
    <w:basedOn w:val="1"/>
    <w:uiPriority w:val="0"/>
    <w:pPr>
      <w:widowControl/>
      <w:jc w:val="left"/>
    </w:pPr>
    <w:rPr>
      <w:rFonts w:ascii="方正书宋_GBK" w:hAnsi="方正书宋_GBK" w:eastAsia="方正书宋_GBK" w:cs="方正书宋_GBK"/>
      <w:kern w:val="0"/>
      <w:szCs w:val="24"/>
    </w:rPr>
  </w:style>
  <w:style w:type="paragraph" w:customStyle="1" w:styleId="14">
    <w:name w:val="单元格样式4"/>
    <w:basedOn w:val="1"/>
    <w:uiPriority w:val="0"/>
    <w:pPr>
      <w:widowControl/>
      <w:jc w:val="right"/>
    </w:pPr>
    <w:rPr>
      <w:rFonts w:ascii="方正书宋_GBK" w:hAnsi="方正书宋_GBK" w:eastAsia="方正书宋_GBK" w:cs="方正书宋_GBK"/>
      <w:kern w:val="0"/>
      <w:szCs w:val="24"/>
    </w:rPr>
  </w:style>
  <w:style w:type="paragraph" w:customStyle="1" w:styleId="15">
    <w:name w:val="单元格样式3"/>
    <w:basedOn w:val="1"/>
    <w:uiPriority w:val="0"/>
    <w:pPr>
      <w:widowControl/>
      <w:jc w:val="center"/>
    </w:pPr>
    <w:rPr>
      <w:rFonts w:ascii="方正书宋_GBK" w:hAnsi="方正书宋_GBK" w:eastAsia="方正书宋_GBK" w:cs="方正书宋_GBK"/>
      <w:kern w:val="0"/>
      <w:szCs w:val="24"/>
    </w:rPr>
  </w:style>
  <w:style w:type="paragraph" w:customStyle="1" w:styleId="16">
    <w:name w:val="单元格样式7"/>
    <w:basedOn w:val="1"/>
    <w:uiPriority w:val="0"/>
    <w:pPr>
      <w:widowControl/>
      <w:jc w:val="right"/>
    </w:pPr>
    <w:rPr>
      <w:rFonts w:ascii="方正书宋_GBK" w:hAnsi="方正书宋_GBK" w:eastAsia="方正书宋_GBK" w:cs="方正书宋_GBK"/>
      <w:b/>
      <w:kern w:val="0"/>
      <w:szCs w:val="24"/>
    </w:rPr>
  </w:style>
  <w:style w:type="paragraph" w:customStyle="1" w:styleId="17">
    <w:name w:val="单元格样式6"/>
    <w:basedOn w:val="1"/>
    <w:uiPriority w:val="0"/>
    <w:pPr>
      <w:widowControl/>
      <w:jc w:val="center"/>
    </w:pPr>
    <w:rPr>
      <w:rFonts w:ascii="方正书宋_GBK" w:hAnsi="方正书宋_GBK" w:eastAsia="方正书宋_GBK" w:cs="方正书宋_GBK"/>
      <w:b/>
      <w:kern w:val="0"/>
      <w:szCs w:val="24"/>
    </w:rPr>
  </w:style>
  <w:style w:type="paragraph" w:customStyle="1" w:styleId="18">
    <w:name w:val="单元格样式5"/>
    <w:basedOn w:val="1"/>
    <w:uiPriority w:val="0"/>
    <w:pPr>
      <w:widowControl/>
      <w:jc w:val="left"/>
    </w:pPr>
    <w:rPr>
      <w:rFonts w:ascii="方正书宋_GBK" w:hAnsi="方正书宋_GBK" w:eastAsia="方正书宋_GBK" w:cs="方正书宋_GBK"/>
      <w:b/>
      <w:kern w:val="0"/>
      <w:szCs w:val="24"/>
    </w:rPr>
  </w:style>
  <w:style w:type="paragraph" w:customStyle="1" w:styleId="19">
    <w:name w:val="单元格样式1"/>
    <w:basedOn w:val="1"/>
    <w:uiPriority w:val="0"/>
    <w:pPr>
      <w:widowControl/>
      <w:jc w:val="center"/>
    </w:pPr>
    <w:rPr>
      <w:rFonts w:ascii="方正书宋_GBK" w:hAnsi="方正书宋_GBK" w:eastAsia="方正书宋_GBK" w:cs="方正书宋_GBK"/>
      <w:b/>
      <w:kern w:val="0"/>
      <w:szCs w:val="24"/>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1481</Words>
  <Characters>8447</Characters>
  <Lines>70</Lines>
  <Paragraphs>19</Paragraphs>
  <TotalTime>1</TotalTime>
  <ScaleCrop>false</ScaleCrop>
  <LinksUpToDate>false</LinksUpToDate>
  <CharactersWithSpaces>9909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lenovo</cp:lastModifiedBy>
  <cp:lastPrinted>2018-01-30T06:12:00Z</cp:lastPrinted>
  <dcterms:modified xsi:type="dcterms:W3CDTF">2022-07-06T09:40:39Z</dcterms:modified>
  <dc:title>Administrator</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DC8BFDADAAD3477B9F71965A55C5D8E6</vt:lpwstr>
  </property>
</Properties>
</file>