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84" w:lineRule="exact"/>
        <w:ind w:firstLine="880" w:firstLineChars="200"/>
        <w:rPr>
          <w:rFonts w:ascii="Times New Roman" w:hAnsi="Times New Roman" w:eastAsia="仿宋_GB2312" w:cs="Times New Roman"/>
          <w:sz w:val="44"/>
          <w:szCs w:val="44"/>
        </w:rPr>
      </w:pPr>
    </w:p>
    <w:p>
      <w:pPr>
        <w:pStyle w:val="7"/>
        <w:spacing w:line="584" w:lineRule="exact"/>
        <w:ind w:firstLine="880" w:firstLineChars="200"/>
        <w:jc w:val="center"/>
        <w:rPr>
          <w:rFonts w:ascii="Times New Roman" w:hAnsi="Times New Roman" w:eastAsia="仿宋_GB2312" w:cs="Times New Roman"/>
          <w:sz w:val="44"/>
          <w:szCs w:val="44"/>
        </w:rPr>
      </w:pPr>
    </w:p>
    <w:p>
      <w:pPr>
        <w:pStyle w:val="7"/>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廊坊市广阳区农业农村局</w:t>
      </w:r>
    </w:p>
    <w:p>
      <w:pPr>
        <w:pStyle w:val="7"/>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2022年部门预算信息公开情况说明</w:t>
      </w:r>
    </w:p>
    <w:p>
      <w:pPr>
        <w:pStyle w:val="7"/>
        <w:spacing w:line="584" w:lineRule="exact"/>
        <w:ind w:firstLine="880" w:firstLineChars="200"/>
        <w:jc w:val="center"/>
        <w:rPr>
          <w:rFonts w:ascii="Times New Roman" w:hAnsi="Times New Roman" w:eastAsia="仿宋_GB2312" w:cs="Times New Roman"/>
          <w:sz w:val="44"/>
          <w:szCs w:val="44"/>
        </w:rPr>
      </w:pPr>
    </w:p>
    <w:p>
      <w:pPr>
        <w:pStyle w:val="7"/>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按照《中华人民共和国预算法》、《中华人民共和国预算法实施条例》、《地方预决算公开操作规程》和《河北省省级预算公开办法》规定，现将廊坊市广阳区农业农村局2022年部门预算公开如下：</w:t>
      </w:r>
    </w:p>
    <w:p>
      <w:pPr>
        <w:pStyle w:val="7"/>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pStyle w:val="7"/>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pStyle w:val="6"/>
        <w:spacing w:line="584" w:lineRule="exact"/>
        <w:ind w:firstLine="640" w:firstLineChars="200"/>
        <w:rPr>
          <w:rFonts w:eastAsia="仿宋_GB2312"/>
          <w:sz w:val="32"/>
          <w:szCs w:val="32"/>
        </w:rPr>
      </w:pPr>
      <w:r>
        <w:rPr>
          <w:rFonts w:eastAsia="仿宋_GB2312"/>
          <w:sz w:val="32"/>
          <w:szCs w:val="32"/>
        </w:rPr>
        <w:t>（一）统筹研究和组织实施全区“三农”工作的发展战略、中长期规划及有关政策；做好全区农业综合执法工作；落实涉农的有关政策措施。</w:t>
      </w:r>
    </w:p>
    <w:p>
      <w:pPr>
        <w:pStyle w:val="6"/>
        <w:spacing w:line="584" w:lineRule="exact"/>
        <w:ind w:firstLine="640" w:firstLineChars="200"/>
        <w:rPr>
          <w:rFonts w:eastAsia="仿宋_GB2312"/>
          <w:sz w:val="32"/>
          <w:szCs w:val="32"/>
        </w:rPr>
      </w:pPr>
      <w:r>
        <w:rPr>
          <w:rFonts w:eastAsia="仿宋_GB2312"/>
          <w:sz w:val="32"/>
          <w:szCs w:val="32"/>
        </w:rPr>
        <w:t>（二）协调推动发展全区农村社会事业、农村公共服务、农村文化、农村基础设施和乡村治理；牵头组织改善农村人居环境；协调推进乡村文明和农耕文化建设；指导农业行业安全生产工作。</w:t>
      </w:r>
    </w:p>
    <w:p>
      <w:pPr>
        <w:pStyle w:val="6"/>
        <w:spacing w:line="584" w:lineRule="exact"/>
        <w:ind w:firstLine="640" w:firstLineChars="200"/>
        <w:rPr>
          <w:rFonts w:eastAsia="仿宋_GB2312"/>
          <w:sz w:val="32"/>
          <w:szCs w:val="32"/>
        </w:rPr>
      </w:pPr>
      <w:r>
        <w:rPr>
          <w:rFonts w:eastAsia="仿宋_GB2312"/>
          <w:sz w:val="32"/>
          <w:szCs w:val="32"/>
        </w:rPr>
        <w:t>（三）拟订区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6"/>
        <w:spacing w:line="584" w:lineRule="exact"/>
        <w:ind w:firstLine="640" w:firstLineChars="200"/>
        <w:rPr>
          <w:rFonts w:eastAsia="仿宋_GB2312"/>
          <w:sz w:val="32"/>
          <w:szCs w:val="32"/>
        </w:rPr>
      </w:pPr>
      <w:r>
        <w:rPr>
          <w:rFonts w:eastAsia="仿宋_GB2312"/>
          <w:sz w:val="32"/>
          <w:szCs w:val="32"/>
        </w:rPr>
        <w:t>（四）指导全区乡村产业、农产品加工业和休闲农业发展工作；培育、保护、壮大农业品牌。监测分析农业农村经济运行。承担农业统计和农业农村信息化有关工作。</w:t>
      </w:r>
    </w:p>
    <w:p>
      <w:pPr>
        <w:pStyle w:val="6"/>
        <w:spacing w:line="584" w:lineRule="exact"/>
        <w:ind w:firstLine="640" w:firstLineChars="200"/>
        <w:rPr>
          <w:rFonts w:eastAsia="仿宋_GB2312"/>
          <w:sz w:val="32"/>
          <w:szCs w:val="32"/>
        </w:rPr>
      </w:pPr>
      <w:r>
        <w:rPr>
          <w:rFonts w:eastAsia="仿宋_GB2312"/>
          <w:sz w:val="32"/>
          <w:szCs w:val="32"/>
        </w:rPr>
        <w:t>（五）负责全区种植业、畜牧业、渔业、农业机械化等农业各产业的监督管理；指导粮、棉、油、菜、果、肉、蛋、奶、渔等农产品生产；组织构建现代农业产业体系、生产体系、经营体系,指导农业标准化生产。</w:t>
      </w:r>
    </w:p>
    <w:p>
      <w:pPr>
        <w:pStyle w:val="6"/>
        <w:spacing w:line="584" w:lineRule="exact"/>
        <w:ind w:firstLine="640" w:firstLineChars="200"/>
        <w:rPr>
          <w:rFonts w:eastAsia="仿宋_GB2312"/>
          <w:sz w:val="32"/>
          <w:szCs w:val="32"/>
        </w:rPr>
      </w:pPr>
      <w:r>
        <w:rPr>
          <w:rFonts w:eastAsia="仿宋_GB2312"/>
          <w:sz w:val="32"/>
          <w:szCs w:val="32"/>
        </w:rPr>
        <w:t>（六）负责全区农产品质量安全监督管理；组织开展农产品质量安全监测、追溯、风险评估和监督抽查；指导农业检验监测体系建设。</w:t>
      </w:r>
    </w:p>
    <w:p>
      <w:pPr>
        <w:pStyle w:val="6"/>
        <w:spacing w:line="584" w:lineRule="exact"/>
        <w:ind w:firstLine="640" w:firstLineChars="200"/>
        <w:rPr>
          <w:rFonts w:eastAsia="仿宋_GB2312"/>
          <w:sz w:val="32"/>
          <w:szCs w:val="32"/>
        </w:rPr>
      </w:pPr>
      <w:r>
        <w:rPr>
          <w:rFonts w:eastAsia="仿宋_GB2312"/>
          <w:sz w:val="32"/>
          <w:szCs w:val="32"/>
        </w:rPr>
        <w:t>（七）负责全区农业资源保护、开发与利用；指导农用地、农业生物物种资源的保护与管理,负责耕地及永久基本农田质量保护工作；指导农产品产地环境管理和农业清洁生产；指导设施农业、生态循环农业、节水农业发展以及农村可再生能源综合开发利用、农业生物质产业发展。</w:t>
      </w:r>
    </w:p>
    <w:p>
      <w:pPr>
        <w:pStyle w:val="6"/>
        <w:spacing w:line="584" w:lineRule="exact"/>
        <w:ind w:firstLine="640" w:firstLineChars="200"/>
        <w:rPr>
          <w:rFonts w:eastAsia="仿宋_GB2312"/>
          <w:sz w:val="32"/>
          <w:szCs w:val="32"/>
        </w:rPr>
      </w:pPr>
      <w:r>
        <w:rPr>
          <w:rFonts w:eastAsia="仿宋_GB2312"/>
          <w:sz w:val="32"/>
          <w:szCs w:val="32"/>
        </w:rPr>
        <w:t>（八）负责有关农业生产资料和农业投入品的监督管理；组织农业生产资料市场体系建设,进行兽医医政、兽药药政药检工作,负责执业兽医和畜禽屠宰行业管理。</w:t>
      </w:r>
    </w:p>
    <w:p>
      <w:pPr>
        <w:pStyle w:val="6"/>
        <w:spacing w:line="584" w:lineRule="exact"/>
        <w:ind w:firstLine="640" w:firstLineChars="200"/>
        <w:rPr>
          <w:rFonts w:eastAsia="仿宋_GB2312"/>
          <w:sz w:val="32"/>
          <w:szCs w:val="32"/>
        </w:rPr>
      </w:pPr>
      <w:r>
        <w:rPr>
          <w:rFonts w:eastAsia="仿宋_GB2312"/>
          <w:sz w:val="32"/>
          <w:szCs w:val="32"/>
        </w:rPr>
        <w:t>（九）负责农业防灾减灾、农作物重大病虫害预测预报及防治工作；指导动植物防疫检疫体系建设，组织、监督区内动植物防疫检疫工作，依法报告疫情并组织扑灭。</w:t>
      </w:r>
    </w:p>
    <w:p>
      <w:pPr>
        <w:pStyle w:val="6"/>
        <w:spacing w:line="584" w:lineRule="exact"/>
        <w:ind w:firstLine="640" w:firstLineChars="200"/>
        <w:rPr>
          <w:rFonts w:eastAsia="仿宋_GB2312"/>
          <w:sz w:val="32"/>
          <w:szCs w:val="32"/>
        </w:rPr>
      </w:pPr>
      <w:r>
        <w:rPr>
          <w:rFonts w:eastAsia="仿宋_GB2312"/>
          <w:sz w:val="32"/>
          <w:szCs w:val="32"/>
        </w:rPr>
        <w:t>（十）负责农业投资管理。编制区级投资安排的农业投资项目建设规划，提出农业投资规模和方向、扶持农业农村发展财政项目的建议，按规定权限审批农业投资项目，负责农业投资项目资金安排和监督管理。</w:t>
      </w:r>
    </w:p>
    <w:p>
      <w:pPr>
        <w:pStyle w:val="6"/>
        <w:spacing w:line="584" w:lineRule="exact"/>
        <w:ind w:firstLine="640" w:firstLineChars="200"/>
        <w:rPr>
          <w:rFonts w:eastAsia="仿宋_GB2312"/>
          <w:sz w:val="32"/>
          <w:szCs w:val="32"/>
        </w:rPr>
      </w:pPr>
      <w:r>
        <w:rPr>
          <w:rFonts w:eastAsia="仿宋_GB2312"/>
          <w:sz w:val="32"/>
          <w:szCs w:val="32"/>
        </w:rPr>
        <w:t>（十一）推动农业科技体制改革和农业科技创新体系建设；指导农业产业技术体系和农技推广体系建设，组织开展农业领域的高新技术应用、科技成果转化和技术推广；负责农业转基因生物安全监督管理和农业植物新品种保护。</w:t>
      </w:r>
    </w:p>
    <w:p>
      <w:pPr>
        <w:pStyle w:val="6"/>
        <w:spacing w:line="584" w:lineRule="exact"/>
        <w:ind w:firstLine="640" w:firstLineChars="200"/>
        <w:rPr>
          <w:rFonts w:eastAsia="仿宋_GB2312"/>
          <w:sz w:val="32"/>
          <w:szCs w:val="32"/>
        </w:rPr>
      </w:pPr>
      <w:r>
        <w:rPr>
          <w:rFonts w:eastAsia="仿宋_GB2312"/>
          <w:sz w:val="32"/>
          <w:szCs w:val="32"/>
        </w:rPr>
        <w:t>（十二）指导农业农村人才工作；组织新型职业农民培育、农业科技人才培养和农村实用人才培训工作。</w:t>
      </w:r>
    </w:p>
    <w:p>
      <w:pPr>
        <w:pStyle w:val="6"/>
        <w:spacing w:line="584" w:lineRule="exact"/>
        <w:ind w:firstLine="640" w:firstLineChars="200"/>
      </w:pPr>
      <w:r>
        <w:rPr>
          <w:rFonts w:eastAsia="仿宋_GB2312"/>
          <w:sz w:val="32"/>
          <w:szCs w:val="32"/>
        </w:rPr>
        <w:t>（十三）完成区委、区政府和区委农村工作领导小组交办的其他任务。</w:t>
      </w:r>
    </w:p>
    <w:p>
      <w:pPr>
        <w:pStyle w:val="7"/>
        <w:autoSpaceDE w:val="0"/>
        <w:autoSpaceDN w:val="0"/>
        <w:spacing w:line="584" w:lineRule="exact"/>
        <w:ind w:firstLine="630" w:firstLineChars="196"/>
        <w:jc w:val="left"/>
        <w:rPr>
          <w:rFonts w:ascii="Times New Roman" w:hAnsi="Times New Roman" w:eastAsia="楷体_GB2312" w:cs="Times New Roman"/>
          <w:b/>
          <w:sz w:val="32"/>
          <w:szCs w:val="32"/>
        </w:rPr>
      </w:pPr>
    </w:p>
    <w:p>
      <w:pPr>
        <w:pStyle w:val="7"/>
        <w:autoSpaceDE w:val="0"/>
        <w:autoSpaceDN w:val="0"/>
        <w:spacing w:line="584" w:lineRule="exact"/>
        <w:ind w:firstLine="630" w:firstLineChars="196"/>
        <w:jc w:val="left"/>
        <w:rPr>
          <w:rFonts w:ascii="Times New Roman" w:hAnsi="Times New Roman" w:eastAsia="楷体_GB2312" w:cs="Times New Roman"/>
          <w:b/>
          <w:sz w:val="32"/>
          <w:szCs w:val="32"/>
        </w:rPr>
      </w:pPr>
    </w:p>
    <w:p>
      <w:pPr>
        <w:pStyle w:val="7"/>
        <w:autoSpaceDE w:val="0"/>
        <w:autoSpaceDN w:val="0"/>
        <w:spacing w:line="584" w:lineRule="exact"/>
        <w:ind w:firstLine="630" w:firstLineChars="196"/>
        <w:jc w:val="left"/>
        <w:rPr>
          <w:rFonts w:ascii="Times New Roman" w:hAnsi="Times New Roman" w:eastAsia="楷体_GB2312" w:cs="Times New Roman"/>
          <w:b/>
          <w:sz w:val="32"/>
          <w:szCs w:val="32"/>
        </w:rPr>
      </w:pPr>
    </w:p>
    <w:p>
      <w:pPr>
        <w:pStyle w:val="7"/>
        <w:autoSpaceDE w:val="0"/>
        <w:autoSpaceDN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pStyle w:val="7"/>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4"/>
        <w:tblW w:w="9755" w:type="dxa"/>
        <w:jc w:val="center"/>
        <w:tblLayout w:type="fixed"/>
        <w:tblCellMar>
          <w:top w:w="0" w:type="dxa"/>
          <w:left w:w="108" w:type="dxa"/>
          <w:bottom w:w="0" w:type="dxa"/>
          <w:right w:w="108" w:type="dxa"/>
        </w:tblCellMar>
      </w:tblPr>
      <w:tblGrid>
        <w:gridCol w:w="4444"/>
        <w:gridCol w:w="1133"/>
        <w:gridCol w:w="1276"/>
        <w:gridCol w:w="2902"/>
      </w:tblGrid>
      <w:tr>
        <w:tblPrEx>
          <w:tblCellMar>
            <w:top w:w="0" w:type="dxa"/>
            <w:left w:w="108" w:type="dxa"/>
            <w:bottom w:w="0" w:type="dxa"/>
            <w:right w:w="108" w:type="dxa"/>
          </w:tblCellMar>
        </w:tblPrEx>
        <w:trPr>
          <w:trHeight w:val="584" w:hRule="atLeast"/>
          <w:tblHeader/>
          <w:jc w:val="center"/>
        </w:trPr>
        <w:tc>
          <w:tcPr>
            <w:tcW w:w="444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spacing w:line="584" w:lineRule="exact"/>
              <w:jc w:val="center"/>
              <w:rPr>
                <w:rFonts w:ascii="仿宋" w:hAnsi="仿宋" w:eastAsia="仿宋" w:cs="Times New Roman"/>
                <w:b/>
                <w:szCs w:val="24"/>
              </w:rPr>
            </w:pPr>
            <w:r>
              <w:rPr>
                <w:rFonts w:ascii="仿宋" w:hAnsi="仿宋" w:eastAsia="仿宋" w:cs="Times New Roman"/>
                <w:b/>
                <w:szCs w:val="24"/>
              </w:rPr>
              <w:t>单位名称</w:t>
            </w:r>
          </w:p>
        </w:tc>
        <w:tc>
          <w:tcPr>
            <w:tcW w:w="113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spacing w:line="584" w:lineRule="exact"/>
              <w:jc w:val="center"/>
              <w:rPr>
                <w:rFonts w:ascii="仿宋" w:hAnsi="仿宋" w:eastAsia="仿宋" w:cs="Times New Roman"/>
                <w:b/>
                <w:szCs w:val="24"/>
              </w:rPr>
            </w:pPr>
            <w:r>
              <w:rPr>
                <w:rFonts w:ascii="仿宋" w:hAnsi="仿宋" w:eastAsia="仿宋" w:cs="Times New Roman"/>
                <w:b/>
                <w:szCs w:val="24"/>
              </w:rPr>
              <w:t>单位性质</w:t>
            </w:r>
          </w:p>
        </w:tc>
        <w:tc>
          <w:tcPr>
            <w:tcW w:w="127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spacing w:line="584" w:lineRule="exact"/>
              <w:jc w:val="center"/>
              <w:rPr>
                <w:rFonts w:ascii="仿宋" w:hAnsi="仿宋" w:eastAsia="仿宋" w:cs="Times New Roman"/>
                <w:b/>
                <w:szCs w:val="24"/>
              </w:rPr>
            </w:pPr>
            <w:r>
              <w:rPr>
                <w:rFonts w:ascii="仿宋" w:hAnsi="仿宋" w:eastAsia="仿宋" w:cs="Times New Roman"/>
                <w:b/>
                <w:szCs w:val="24"/>
              </w:rPr>
              <w:t>单位规格</w:t>
            </w:r>
          </w:p>
        </w:tc>
        <w:tc>
          <w:tcPr>
            <w:tcW w:w="290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spacing w:line="584" w:lineRule="exact"/>
              <w:jc w:val="center"/>
              <w:rPr>
                <w:rFonts w:ascii="仿宋" w:hAnsi="仿宋" w:eastAsia="仿宋" w:cs="Times New Roman"/>
                <w:b/>
                <w:szCs w:val="24"/>
              </w:rPr>
            </w:pPr>
            <w:r>
              <w:rPr>
                <w:rFonts w:ascii="仿宋" w:hAnsi="仿宋" w:eastAsia="仿宋" w:cs="Times New Roman"/>
                <w:b/>
                <w:szCs w:val="24"/>
              </w:rPr>
              <w:t>经费保障形式</w:t>
            </w:r>
          </w:p>
        </w:tc>
      </w:tr>
      <w:tr>
        <w:tblPrEx>
          <w:tblCellMar>
            <w:top w:w="0" w:type="dxa"/>
            <w:left w:w="108" w:type="dxa"/>
            <w:bottom w:w="0" w:type="dxa"/>
            <w:right w:w="108" w:type="dxa"/>
          </w:tblCellMar>
        </w:tblPrEx>
        <w:trPr>
          <w:trHeight w:val="312" w:hRule="atLeast"/>
          <w:tblHeader/>
          <w:jc w:val="center"/>
        </w:trPr>
        <w:tc>
          <w:tcPr>
            <w:tcW w:w="444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pPr>
          </w:p>
        </w:tc>
        <w:tc>
          <w:tcPr>
            <w:tcW w:w="113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pPr>
          </w:p>
        </w:tc>
        <w:tc>
          <w:tcPr>
            <w:tcW w:w="12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pPr>
          </w:p>
        </w:tc>
        <w:tc>
          <w:tcPr>
            <w:tcW w:w="290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pPr>
          </w:p>
        </w:tc>
      </w:tr>
      <w:tr>
        <w:tblPrEx>
          <w:tblCellMar>
            <w:top w:w="0" w:type="dxa"/>
            <w:left w:w="108" w:type="dxa"/>
            <w:bottom w:w="0" w:type="dxa"/>
            <w:right w:w="108" w:type="dxa"/>
          </w:tblCellMar>
        </w:tblPrEx>
        <w:trPr>
          <w:trHeight w:val="384" w:hRule="atLeast"/>
          <w:jc w:val="center"/>
        </w:trPr>
        <w:tc>
          <w:tcPr>
            <w:tcW w:w="444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spacing w:line="584" w:lineRule="exact"/>
              <w:jc w:val="center"/>
              <w:rPr>
                <w:rFonts w:ascii="仿宋" w:hAnsi="仿宋" w:eastAsia="仿宋" w:cs="Times New Roman"/>
                <w:b/>
              </w:rPr>
            </w:pPr>
            <w:r>
              <w:rPr>
                <w:rFonts w:ascii="仿宋" w:hAnsi="仿宋" w:eastAsia="仿宋" w:cs="Times New Roman"/>
                <w:b/>
              </w:rPr>
              <w:t>廊坊市广阳区农业农村局</w:t>
            </w: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spacing w:line="584" w:lineRule="exact"/>
              <w:jc w:val="center"/>
              <w:rPr>
                <w:rFonts w:ascii="仿宋" w:hAnsi="仿宋" w:eastAsia="仿宋" w:cs="Times New Roman"/>
                <w:b/>
              </w:rPr>
            </w:pPr>
            <w:r>
              <w:rPr>
                <w:rFonts w:ascii="仿宋" w:hAnsi="仿宋" w:eastAsia="仿宋" w:cs="Times New Roman"/>
                <w:b/>
              </w:rPr>
              <w:t>行政</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spacing w:line="584" w:lineRule="exact"/>
              <w:jc w:val="center"/>
              <w:rPr>
                <w:rFonts w:ascii="仿宋" w:hAnsi="仿宋" w:eastAsia="仿宋" w:cs="Times New Roman"/>
                <w:b/>
              </w:rPr>
            </w:pPr>
            <w:r>
              <w:rPr>
                <w:rFonts w:ascii="仿宋" w:hAnsi="仿宋" w:eastAsia="仿宋" w:cs="Times New Roman"/>
                <w:b/>
              </w:rPr>
              <w:t>正科级</w:t>
            </w:r>
          </w:p>
        </w:tc>
        <w:tc>
          <w:tcPr>
            <w:tcW w:w="290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spacing w:line="584" w:lineRule="exact"/>
              <w:jc w:val="center"/>
              <w:rPr>
                <w:rFonts w:ascii="仿宋" w:hAnsi="仿宋" w:eastAsia="仿宋" w:cs="Times New Roman"/>
                <w:b/>
              </w:rPr>
            </w:pPr>
            <w:r>
              <w:rPr>
                <w:rFonts w:ascii="仿宋" w:hAnsi="仿宋" w:eastAsia="仿宋" w:cs="Times New Roman"/>
                <w:b/>
              </w:rPr>
              <w:t>财政拨款（行政）</w:t>
            </w:r>
          </w:p>
        </w:tc>
      </w:tr>
    </w:tbl>
    <w:p>
      <w:pPr>
        <w:pStyle w:val="7"/>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pStyle w:val="7"/>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按照预算管理有关规定，目前我区部门预算的编制实行综合预算制度，即全部收入和支出都反映在预算中。廊坊市广阳区农业农村局机关及所属事业单位的收支包含在部门预算中。</w:t>
      </w:r>
    </w:p>
    <w:p>
      <w:pPr>
        <w:pStyle w:val="7"/>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pStyle w:val="7"/>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反映本部门当年全部收入。2022年预算收入5419.41万元，其中：一般公共预算收入3412.21万元，基金预算收入890万元，财政专户核拨收入0万元，其他来源收入0万元，上年结转1117.2万元。</w:t>
      </w:r>
    </w:p>
    <w:p>
      <w:pPr>
        <w:pStyle w:val="7"/>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pStyle w:val="7"/>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广阳区农业农村局2022年度部门预算中支出预算的总体情况。2022年支出预算5419.41万元，其中基本支出2711.83万元，包括人员类项目经费2467.79万元和运转类公用项目经费244.04万元；运转类其他及特定目标类项目支出2707.58万元，主要为2021年度购置猪瘟和高致病性猪蓝耳病强制免疫疫苗市级补助资金、2021年度省级疫病防治专项资金、2021省级农业生产发展资金、美丽乡村建设项目经费等。</w:t>
      </w:r>
    </w:p>
    <w:p>
      <w:pPr>
        <w:pStyle w:val="7"/>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pStyle w:val="7"/>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2022年预算收支安排5419.41万元，较2021年预算增加1050.56万元，其中：基本支出减少64.32万元，主要因为人员退休及调动，经费减少；项目支出增加1114.88万元，主要为2022年美丽乡村厕所整改、人居环境提升等项目支出。</w:t>
      </w:r>
    </w:p>
    <w:p>
      <w:pPr>
        <w:pStyle w:val="7"/>
        <w:autoSpaceDE w:val="0"/>
        <w:autoSpaceDN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pStyle w:val="7"/>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2022年，我局机关运行经费共计安排</w:t>
      </w:r>
      <w:r>
        <w:rPr>
          <w:rFonts w:hint="eastAsia" w:ascii="Times New Roman" w:hAnsi="Times New Roman" w:eastAsia="仿宋_GB2312" w:cs="Times New Roman"/>
          <w:sz w:val="32"/>
          <w:szCs w:val="32"/>
          <w:lang w:val="en-US" w:eastAsia="zh-CN"/>
        </w:rPr>
        <w:t>244.04</w:t>
      </w:r>
      <w:r>
        <w:rPr>
          <w:rFonts w:ascii="Times New Roman" w:hAnsi="Times New Roman" w:eastAsia="仿宋_GB2312" w:cs="Times New Roman"/>
          <w:sz w:val="32"/>
          <w:szCs w:val="32"/>
        </w:rPr>
        <w:t>万元，主要用于广阳区农业农村局所属办公区的日常维修、办公用房水电费、办公用房取暖费、办公用房物业管理费、人员支出、运维支出等。</w:t>
      </w:r>
    </w:p>
    <w:p>
      <w:pPr>
        <w:pStyle w:val="7"/>
        <w:autoSpaceDE w:val="0"/>
        <w:autoSpaceDN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pStyle w:val="7"/>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我局财政拨款“三公”经费预算安排24.09万元。其中，因公出国（境）费0万元；公务用车购置及运维费24.09万元（其中：公务用车购置费为0万元，公务用车运维费24.09万元)；公务接待费0万元。与2021年相比持平，无增减变化。</w:t>
      </w:r>
    </w:p>
    <w:p>
      <w:pPr>
        <w:pStyle w:val="7"/>
        <w:autoSpaceDE w:val="0"/>
        <w:autoSpaceDN w:val="0"/>
        <w:spacing w:line="584" w:lineRule="exact"/>
        <w:ind w:firstLine="640" w:firstLineChars="200"/>
        <w:jc w:val="left"/>
        <w:rPr>
          <w:rFonts w:ascii="Times New Roman" w:hAnsi="Times New Roman" w:eastAsia="黑体" w:cs="Times New Roman"/>
          <w:sz w:val="32"/>
          <w:szCs w:val="32"/>
        </w:rPr>
      </w:pPr>
    </w:p>
    <w:p>
      <w:pPr>
        <w:pStyle w:val="7"/>
        <w:keepNext w:val="0"/>
        <w:keepLines w:val="0"/>
        <w:pageBreakBefore w:val="0"/>
        <w:widowControl w:val="0"/>
        <w:kinsoku/>
        <w:wordWrap/>
        <w:overflowPunct/>
        <w:topLinePunct w:val="0"/>
        <w:autoSpaceDE w:val="0"/>
        <w:autoSpaceDN w:val="0"/>
        <w:bidi w:val="0"/>
        <w:adjustRightInd/>
        <w:snapToGrid/>
        <w:spacing w:line="584"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pStyle w:val="7"/>
        <w:keepNext w:val="0"/>
        <w:keepLines w:val="0"/>
        <w:pageBreakBefore w:val="0"/>
        <w:widowControl w:val="0"/>
        <w:kinsoku/>
        <w:wordWrap/>
        <w:overflowPunct/>
        <w:topLinePunct w:val="0"/>
        <w:autoSpaceDE w:val="0"/>
        <w:autoSpaceDN w:val="0"/>
        <w:bidi w:val="0"/>
        <w:adjustRightInd/>
        <w:snapToGrid/>
        <w:spacing w:line="584" w:lineRule="exact"/>
        <w:ind w:firstLine="640" w:firstLineChars="200"/>
        <w:jc w:val="center"/>
        <w:textAlignment w:val="auto"/>
        <w:rPr>
          <w:rFonts w:ascii="Times New Roman" w:hAnsi="Times New Roman" w:eastAsia="Times New Roman"/>
          <w:sz w:val="24"/>
          <w:szCs w:val="24"/>
          <w:lang w:eastAsia="uk-UA"/>
        </w:rPr>
      </w:pPr>
      <w:r>
        <w:rPr>
          <w:rFonts w:ascii="Times New Roman" w:hAnsi="Times New Roman" w:eastAsia="黑体" w:cs="Times New Roman"/>
          <w:sz w:val="32"/>
          <w:szCs w:val="32"/>
        </w:rPr>
        <w:t>第一部分 部门整体绩效目标</w:t>
      </w:r>
    </w:p>
    <w:p>
      <w:pPr>
        <w:keepNext w:val="0"/>
        <w:keepLines w:val="0"/>
        <w:pageBreakBefore w:val="0"/>
        <w:widowControl w:val="0"/>
        <w:kinsoku/>
        <w:wordWrap/>
        <w:overflowPunct/>
        <w:topLinePunct w:val="0"/>
        <w:bidi w:val="0"/>
        <w:adjustRightInd/>
        <w:snapToGrid/>
        <w:spacing w:line="584" w:lineRule="exact"/>
        <w:ind w:firstLine="643" w:firstLineChars="200"/>
        <w:textAlignment w:val="auto"/>
        <w:rPr>
          <w:rFonts w:ascii="楷体_GB2312" w:hAnsi="Calibri" w:eastAsia="楷体_GB2312"/>
          <w:b/>
          <w:kern w:val="2"/>
          <w:sz w:val="32"/>
          <w:szCs w:val="32"/>
          <w:lang w:eastAsia="uk-UA" w:bidi="ar-SA"/>
        </w:rPr>
      </w:pPr>
      <w:bookmarkStart w:id="0" w:name="_Toc_2_2_0000000001"/>
      <w:r>
        <w:rPr>
          <w:rFonts w:hint="eastAsia" w:ascii="楷体_GB2312" w:hAnsi="Calibri" w:eastAsia="楷体_GB2312"/>
          <w:b/>
          <w:kern w:val="2"/>
          <w:sz w:val="32"/>
          <w:szCs w:val="32"/>
          <w:lang w:bidi="ar-SA"/>
        </w:rPr>
        <w:t>（一）总体绩效目标</w:t>
      </w:r>
      <w:bookmarkEnd w:id="0"/>
    </w:p>
    <w:p>
      <w:pPr>
        <w:pStyle w:val="11"/>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ascii="Times New Roman" w:hAnsi="Times New Roman" w:eastAsia="仿宋_GB2312" w:cs="Times New Roman"/>
          <w:kern w:val="2"/>
          <w:sz w:val="32"/>
          <w:szCs w:val="32"/>
          <w:lang w:val="en-US" w:eastAsia="zh-CN" w:bidi="ar-SA"/>
        </w:rPr>
        <w:t>1、本年度主要工作完成率达到90%以上；</w:t>
      </w:r>
    </w:p>
    <w:p>
      <w:pPr>
        <w:pStyle w:val="11"/>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ascii="Times New Roman" w:hAnsi="Times New Roman" w:eastAsia="仿宋_GB2312" w:cs="Times New Roman"/>
          <w:kern w:val="2"/>
          <w:sz w:val="32"/>
          <w:szCs w:val="32"/>
          <w:lang w:val="en-US" w:eastAsia="zh-CN" w:bidi="ar-SA"/>
        </w:rPr>
        <w:t>2、本年度主要工作考核合格率达到90%以上；</w:t>
      </w:r>
    </w:p>
    <w:p>
      <w:pPr>
        <w:pStyle w:val="11"/>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ascii="Times New Roman" w:hAnsi="Times New Roman" w:eastAsia="仿宋_GB2312" w:cs="Times New Roman"/>
          <w:kern w:val="2"/>
          <w:sz w:val="32"/>
          <w:szCs w:val="32"/>
          <w:lang w:val="en-US" w:eastAsia="zh-CN" w:bidi="ar-SA"/>
        </w:rPr>
        <w:t>3、本年度主要工作按时间节点完成率达到90%以上；</w:t>
      </w:r>
    </w:p>
    <w:p>
      <w:pPr>
        <w:pStyle w:val="11"/>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ascii="Times New Roman" w:hAnsi="Times New Roman" w:eastAsia="仿宋_GB2312" w:cs="Times New Roman"/>
          <w:kern w:val="2"/>
          <w:sz w:val="32"/>
          <w:szCs w:val="32"/>
          <w:lang w:val="en-US" w:eastAsia="zh-CN" w:bidi="ar-SA"/>
        </w:rPr>
        <w:t>4、本年度完成主要工作且资金支付率达到90%以上；</w:t>
      </w:r>
    </w:p>
    <w:p>
      <w:pPr>
        <w:pStyle w:val="11"/>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ascii="Times New Roman" w:hAnsi="Times New Roman" w:eastAsia="仿宋_GB2312" w:cs="Times New Roman"/>
          <w:kern w:val="2"/>
          <w:sz w:val="32"/>
          <w:szCs w:val="32"/>
          <w:lang w:val="en-US" w:eastAsia="zh-CN" w:bidi="ar-SA"/>
        </w:rPr>
        <w:t>5、本年度通过开展农业生产发展工作，维护好农业生产稳定；</w:t>
      </w:r>
    </w:p>
    <w:p>
      <w:pPr>
        <w:pStyle w:val="11"/>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ascii="Times New Roman" w:hAnsi="Times New Roman" w:eastAsia="仿宋_GB2312" w:cs="Times New Roman"/>
          <w:kern w:val="2"/>
          <w:sz w:val="32"/>
          <w:szCs w:val="32"/>
          <w:lang w:val="en-US" w:eastAsia="zh-CN" w:bidi="ar-SA"/>
        </w:rPr>
        <w:t>6、本年度完成主要工作满意度平均值达到90%以上。</w:t>
      </w:r>
    </w:p>
    <w:p>
      <w:pPr>
        <w:keepNext w:val="0"/>
        <w:keepLines w:val="0"/>
        <w:pageBreakBefore w:val="0"/>
        <w:widowControl w:val="0"/>
        <w:kinsoku/>
        <w:wordWrap/>
        <w:overflowPunct/>
        <w:topLinePunct w:val="0"/>
        <w:bidi w:val="0"/>
        <w:adjustRightInd/>
        <w:snapToGrid/>
        <w:spacing w:line="584" w:lineRule="exact"/>
        <w:ind w:firstLine="643" w:firstLineChars="200"/>
        <w:textAlignment w:val="auto"/>
        <w:rPr>
          <w:rFonts w:ascii="楷体_GB2312" w:hAnsi="Calibri" w:eastAsia="楷体_GB2312"/>
          <w:b/>
          <w:kern w:val="2"/>
          <w:sz w:val="32"/>
          <w:szCs w:val="32"/>
          <w:lang w:eastAsia="uk-UA" w:bidi="ar-SA"/>
        </w:rPr>
      </w:pPr>
      <w:bookmarkStart w:id="1" w:name="_Toc_2_2_0000000002"/>
      <w:r>
        <w:rPr>
          <w:rFonts w:hint="eastAsia" w:ascii="楷体_GB2312" w:hAnsi="Calibri" w:eastAsia="楷体_GB2312"/>
          <w:b/>
          <w:kern w:val="2"/>
          <w:sz w:val="32"/>
          <w:szCs w:val="32"/>
          <w:lang w:bidi="ar-SA"/>
        </w:rPr>
        <w:t>（二）分项绩效目标</w:t>
      </w:r>
      <w:bookmarkEnd w:id="1"/>
    </w:p>
    <w:p>
      <w:pPr>
        <w:pStyle w:val="12"/>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ascii="Times New Roman" w:hAnsi="Times New Roman" w:eastAsia="仿宋_GB2312" w:cs="Times New Roman"/>
          <w:kern w:val="2"/>
          <w:sz w:val="32"/>
          <w:szCs w:val="32"/>
          <w:lang w:val="en-US" w:eastAsia="zh-CN" w:bidi="ar-SA"/>
        </w:rPr>
        <w:t>按照工作计划和年度项目预算，本年度在人居环境、畜禽养殖、疫病防治、大气治理、农产品安全、村街资产审核管理、农药农资监管、病虫害防治、农业结构调整等重大工作上一个新台阶。</w:t>
      </w:r>
    </w:p>
    <w:p>
      <w:pPr>
        <w:pStyle w:val="12"/>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hint="eastAsia" w:ascii="Times New Roman" w:hAnsi="Times New Roman" w:eastAsia="仿宋_GB2312" w:cs="Times New Roman"/>
          <w:kern w:val="2"/>
          <w:sz w:val="32"/>
          <w:szCs w:val="32"/>
          <w:lang w:val="en-US" w:eastAsia="zh-CN" w:bidi="ar-SA"/>
        </w:rPr>
        <w:t>一是</w:t>
      </w:r>
      <w:r>
        <w:rPr>
          <w:rFonts w:ascii="Times New Roman" w:hAnsi="Times New Roman" w:eastAsia="仿宋_GB2312" w:cs="Times New Roman"/>
          <w:kern w:val="2"/>
          <w:sz w:val="32"/>
          <w:szCs w:val="32"/>
          <w:lang w:val="en-US" w:eastAsia="zh-CN" w:bidi="ar-SA"/>
        </w:rPr>
        <w:t>按照省市人居环境文件精神，加大对农村环境的清理整治；</w:t>
      </w:r>
    </w:p>
    <w:p>
      <w:pPr>
        <w:pStyle w:val="12"/>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hint="eastAsia" w:ascii="Times New Roman" w:hAnsi="Times New Roman" w:eastAsia="仿宋_GB2312" w:cs="Times New Roman"/>
          <w:kern w:val="2"/>
          <w:sz w:val="32"/>
          <w:szCs w:val="32"/>
          <w:lang w:val="en-US" w:eastAsia="zh-CN" w:bidi="ar-SA"/>
        </w:rPr>
        <w:t>二</w:t>
      </w:r>
      <w:r>
        <w:rPr>
          <w:rFonts w:ascii="Times New Roman" w:hAnsi="Times New Roman" w:eastAsia="仿宋_GB2312" w:cs="Times New Roman"/>
          <w:kern w:val="2"/>
          <w:sz w:val="32"/>
          <w:szCs w:val="32"/>
          <w:lang w:val="en-US" w:eastAsia="zh-CN" w:bidi="ar-SA"/>
        </w:rPr>
        <w:t>是继续做好畜禽养殖规模化管理，农业现代园区规模化管理，使现有企业提档升级；</w:t>
      </w:r>
    </w:p>
    <w:p>
      <w:pPr>
        <w:pStyle w:val="12"/>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hint="eastAsia" w:ascii="Times New Roman" w:hAnsi="Times New Roman" w:eastAsia="仿宋_GB2312" w:cs="Times New Roman"/>
          <w:kern w:val="2"/>
          <w:sz w:val="32"/>
          <w:szCs w:val="32"/>
          <w:lang w:val="en-US" w:eastAsia="zh-CN" w:bidi="ar-SA"/>
        </w:rPr>
        <w:t>三</w:t>
      </w:r>
      <w:r>
        <w:rPr>
          <w:rFonts w:ascii="Times New Roman" w:hAnsi="Times New Roman" w:eastAsia="仿宋_GB2312" w:cs="Times New Roman"/>
          <w:kern w:val="2"/>
          <w:sz w:val="32"/>
          <w:szCs w:val="32"/>
          <w:lang w:val="en-US" w:eastAsia="zh-CN" w:bidi="ar-SA"/>
        </w:rPr>
        <w:t>是继续做好我区动物防疫检疫工作，达到省级文件要求的防疫比例，确保我区不发生重大动物疫情；确保市场稳定。</w:t>
      </w:r>
    </w:p>
    <w:p>
      <w:pPr>
        <w:pStyle w:val="12"/>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hint="eastAsia" w:ascii="Times New Roman" w:hAnsi="Times New Roman" w:eastAsia="仿宋_GB2312" w:cs="Times New Roman"/>
          <w:kern w:val="2"/>
          <w:sz w:val="32"/>
          <w:szCs w:val="32"/>
          <w:lang w:val="en-US" w:eastAsia="zh-CN" w:bidi="ar-SA"/>
        </w:rPr>
        <w:t>四</w:t>
      </w:r>
      <w:r>
        <w:rPr>
          <w:rFonts w:ascii="Times New Roman" w:hAnsi="Times New Roman" w:eastAsia="仿宋_GB2312" w:cs="Times New Roman"/>
          <w:kern w:val="2"/>
          <w:sz w:val="32"/>
          <w:szCs w:val="32"/>
          <w:lang w:val="en-US" w:eastAsia="zh-CN" w:bidi="ar-SA"/>
        </w:rPr>
        <w:t>是根据空气质量预警，做好大气巡查工作，广泛宣传禁止秸秆焚烧等有关工作；</w:t>
      </w:r>
    </w:p>
    <w:p>
      <w:pPr>
        <w:pStyle w:val="12"/>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hint="eastAsia" w:ascii="Times New Roman" w:hAnsi="Times New Roman" w:eastAsia="仿宋_GB2312" w:cs="Times New Roman"/>
          <w:kern w:val="2"/>
          <w:sz w:val="32"/>
          <w:szCs w:val="32"/>
          <w:lang w:val="en-US" w:eastAsia="zh-CN" w:bidi="ar-SA"/>
        </w:rPr>
        <w:t>五</w:t>
      </w:r>
      <w:r>
        <w:rPr>
          <w:rFonts w:ascii="Times New Roman" w:hAnsi="Times New Roman" w:eastAsia="仿宋_GB2312" w:cs="Times New Roman"/>
          <w:kern w:val="2"/>
          <w:sz w:val="32"/>
          <w:szCs w:val="32"/>
          <w:lang w:val="en-US" w:eastAsia="zh-CN" w:bidi="ar-SA"/>
        </w:rPr>
        <w:t>是加大对农药农资市场监管和检查力度，严厉打击假冒伪劣产品；</w:t>
      </w:r>
    </w:p>
    <w:p>
      <w:pPr>
        <w:pStyle w:val="12"/>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hint="eastAsia" w:ascii="Times New Roman" w:hAnsi="Times New Roman" w:eastAsia="仿宋_GB2312" w:cs="Times New Roman"/>
          <w:kern w:val="2"/>
          <w:sz w:val="32"/>
          <w:szCs w:val="32"/>
          <w:lang w:val="en-US" w:eastAsia="zh-CN" w:bidi="ar-SA"/>
        </w:rPr>
        <w:t>六</w:t>
      </w:r>
      <w:r>
        <w:rPr>
          <w:rFonts w:ascii="Times New Roman" w:hAnsi="Times New Roman" w:eastAsia="仿宋_GB2312" w:cs="Times New Roman"/>
          <w:kern w:val="2"/>
          <w:sz w:val="32"/>
          <w:szCs w:val="32"/>
          <w:lang w:val="en-US" w:eastAsia="zh-CN" w:bidi="ar-SA"/>
        </w:rPr>
        <w:t>是做好全年粮食种植各项资料统计，确保我区小麦、玉米产量稳步提高；</w:t>
      </w:r>
    </w:p>
    <w:p>
      <w:pPr>
        <w:pStyle w:val="12"/>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hint="eastAsia" w:ascii="Times New Roman" w:hAnsi="Times New Roman" w:eastAsia="仿宋_GB2312" w:cs="Times New Roman"/>
          <w:kern w:val="2"/>
          <w:sz w:val="32"/>
          <w:szCs w:val="32"/>
          <w:lang w:val="en-US" w:eastAsia="zh-CN" w:bidi="ar-SA"/>
        </w:rPr>
        <w:t>七</w:t>
      </w:r>
      <w:r>
        <w:rPr>
          <w:rFonts w:ascii="Times New Roman" w:hAnsi="Times New Roman" w:eastAsia="仿宋_GB2312" w:cs="Times New Roman"/>
          <w:kern w:val="2"/>
          <w:sz w:val="32"/>
          <w:szCs w:val="32"/>
          <w:lang w:val="en-US" w:eastAsia="zh-CN" w:bidi="ar-SA"/>
        </w:rPr>
        <w:t>是加强农产品检验检测工作，完善检测设备，强化检测能力，确保我区农产品不发生安全生产事故；</w:t>
      </w:r>
    </w:p>
    <w:p>
      <w:pPr>
        <w:pStyle w:val="12"/>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ascii="Times New Roman" w:hAnsi="Times New Roman" w:eastAsia="仿宋_GB2312" w:cs="Times New Roman"/>
          <w:kern w:val="2"/>
          <w:sz w:val="32"/>
          <w:szCs w:val="32"/>
          <w:lang w:val="en-US" w:eastAsia="zh-CN" w:bidi="ar-SA"/>
        </w:rPr>
        <w:t>通过开展以上年度主要工作任务，逐步提升我区农业管理能力，提升农业工作效率，提升农产品安全，确保农业生产发展工作稳步提高。</w:t>
      </w:r>
    </w:p>
    <w:p>
      <w:pPr>
        <w:keepNext w:val="0"/>
        <w:keepLines w:val="0"/>
        <w:pageBreakBefore w:val="0"/>
        <w:widowControl w:val="0"/>
        <w:kinsoku/>
        <w:wordWrap/>
        <w:overflowPunct/>
        <w:topLinePunct w:val="0"/>
        <w:bidi w:val="0"/>
        <w:adjustRightInd/>
        <w:snapToGrid/>
        <w:spacing w:line="584" w:lineRule="exact"/>
        <w:ind w:firstLine="643" w:firstLineChars="200"/>
        <w:textAlignment w:val="auto"/>
        <w:rPr>
          <w:rFonts w:ascii="楷体_GB2312" w:hAnsi="Calibri" w:eastAsia="楷体_GB2312"/>
          <w:b/>
          <w:kern w:val="2"/>
          <w:sz w:val="32"/>
          <w:szCs w:val="32"/>
          <w:lang w:eastAsia="uk-UA" w:bidi="ar-SA"/>
        </w:rPr>
      </w:pPr>
      <w:bookmarkStart w:id="2" w:name="_Toc_2_2_0000000003"/>
      <w:r>
        <w:rPr>
          <w:rFonts w:hint="eastAsia" w:ascii="楷体_GB2312" w:hAnsi="Calibri" w:eastAsia="楷体_GB2312"/>
          <w:b/>
          <w:kern w:val="2"/>
          <w:sz w:val="32"/>
          <w:szCs w:val="32"/>
          <w:lang w:bidi="ar-SA"/>
        </w:rPr>
        <w:t>（三）工作保障措施</w:t>
      </w:r>
      <w:bookmarkEnd w:id="2"/>
    </w:p>
    <w:p>
      <w:pPr>
        <w:pStyle w:val="13"/>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ascii="Times New Roman" w:hAnsi="Times New Roman" w:eastAsia="仿宋_GB2312" w:cs="Times New Roman"/>
          <w:kern w:val="2"/>
          <w:sz w:val="32"/>
          <w:szCs w:val="32"/>
          <w:lang w:val="en-US" w:eastAsia="zh-CN" w:bidi="ar-SA"/>
        </w:rPr>
        <w:t>按照财政关于绩效管理工作要求,推进绩效管理的制度化和规范化,加强绩效管理的理论研究,建立有效的绩效评估指标体系和完善的激励制度.进一步提升资金使用效能,进一步提高资金管理能力。</w:t>
      </w:r>
    </w:p>
    <w:p>
      <w:pPr>
        <w:pStyle w:val="13"/>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hint="eastAsia" w:ascii="Times New Roman" w:hAnsi="Times New Roman" w:eastAsia="仿宋_GB2312" w:cs="Times New Roman"/>
          <w:kern w:val="2"/>
          <w:sz w:val="32"/>
          <w:szCs w:val="32"/>
          <w:lang w:val="en-US" w:eastAsia="zh-CN" w:bidi="ar-SA"/>
        </w:rPr>
        <w:t>一</w:t>
      </w:r>
      <w:r>
        <w:rPr>
          <w:rFonts w:ascii="Times New Roman" w:hAnsi="Times New Roman" w:eastAsia="仿宋_GB2312" w:cs="Times New Roman"/>
          <w:kern w:val="2"/>
          <w:sz w:val="32"/>
          <w:szCs w:val="32"/>
          <w:lang w:val="en-US" w:eastAsia="zh-CN" w:bidi="ar-SA"/>
        </w:rPr>
        <w:t>是建立完整的绩效管理体系,确保绩效管理工作有效运行；</w:t>
      </w:r>
    </w:p>
    <w:p>
      <w:pPr>
        <w:pStyle w:val="13"/>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hint="eastAsia" w:ascii="Times New Roman" w:hAnsi="Times New Roman" w:eastAsia="仿宋_GB2312" w:cs="Times New Roman"/>
          <w:kern w:val="2"/>
          <w:sz w:val="32"/>
          <w:szCs w:val="32"/>
          <w:lang w:val="en-US" w:eastAsia="zh-CN" w:bidi="ar-SA"/>
        </w:rPr>
        <w:t>二</w:t>
      </w:r>
      <w:r>
        <w:rPr>
          <w:rFonts w:ascii="Times New Roman" w:hAnsi="Times New Roman" w:eastAsia="仿宋_GB2312" w:cs="Times New Roman"/>
          <w:kern w:val="2"/>
          <w:sz w:val="32"/>
          <w:szCs w:val="32"/>
          <w:lang w:val="en-US" w:eastAsia="zh-CN" w:bidi="ar-SA"/>
        </w:rPr>
        <w:t>是强调绩效管理的“绩效提升功能”；</w:t>
      </w:r>
    </w:p>
    <w:p>
      <w:pPr>
        <w:pStyle w:val="13"/>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hint="eastAsia" w:ascii="Times New Roman" w:hAnsi="Times New Roman" w:eastAsia="仿宋_GB2312" w:cs="Times New Roman"/>
          <w:kern w:val="2"/>
          <w:sz w:val="32"/>
          <w:szCs w:val="32"/>
          <w:lang w:val="en-US" w:eastAsia="zh-CN" w:bidi="ar-SA"/>
        </w:rPr>
        <w:t>三</w:t>
      </w:r>
      <w:r>
        <w:rPr>
          <w:rFonts w:ascii="Times New Roman" w:hAnsi="Times New Roman" w:eastAsia="仿宋_GB2312" w:cs="Times New Roman"/>
          <w:kern w:val="2"/>
          <w:sz w:val="32"/>
          <w:szCs w:val="32"/>
          <w:lang w:val="en-US" w:eastAsia="zh-CN" w:bidi="ar-SA"/>
        </w:rPr>
        <w:t>是科学制定绩效指标，客观制定考核标准；</w:t>
      </w:r>
    </w:p>
    <w:p>
      <w:pPr>
        <w:pStyle w:val="13"/>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w:t>
      </w:r>
      <w:r>
        <w:rPr>
          <w:rFonts w:ascii="Times New Roman" w:hAnsi="Times New Roman" w:eastAsia="仿宋_GB2312" w:cs="Times New Roman"/>
          <w:kern w:val="2"/>
          <w:sz w:val="32"/>
          <w:szCs w:val="32"/>
          <w:lang w:val="en-US" w:eastAsia="zh-CN" w:bidi="ar-SA"/>
        </w:rPr>
        <w:t>是加强绩效管理知识培训，确保绩效管理的有效实施。</w:t>
      </w:r>
    </w:p>
    <w:p>
      <w:pPr>
        <w:overflowPunct w:val="0"/>
        <w:adjustRightInd w:val="0"/>
        <w:snapToGrid w:val="0"/>
        <w:spacing w:afterLines="50" w:line="580" w:lineRule="exact"/>
        <w:ind w:firstLine="630" w:firstLineChars="196"/>
        <w:jc w:val="left"/>
        <w:rPr>
          <w:rFonts w:ascii="楷体_GB2312" w:eastAsia="楷体_GB2312"/>
          <w:b/>
          <w:sz w:val="32"/>
          <w:szCs w:val="32"/>
        </w:rPr>
      </w:pPr>
      <w:r>
        <w:rPr>
          <w:rFonts w:hint="eastAsia" w:ascii="楷体_GB2312" w:eastAsia="楷体_GB2312"/>
          <w:b/>
          <w:sz w:val="32"/>
          <w:szCs w:val="32"/>
        </w:rPr>
        <w:t>（四）部门整体支出绩效指标</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379"/>
        <w:gridCol w:w="794"/>
        <w:gridCol w:w="904"/>
        <w:gridCol w:w="2958"/>
        <w:gridCol w:w="4363"/>
        <w:gridCol w:w="959"/>
        <w:gridCol w:w="975"/>
        <w:gridCol w:w="900"/>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3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289"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329"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07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58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031"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54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37" w:type="pct"/>
            <w:vMerge w:val="continue"/>
            <w:tcBorders>
              <w:tl2br w:val="nil"/>
              <w:tr2bl w:val="nil"/>
            </w:tcBorders>
            <w:vAlign w:val="center"/>
          </w:tcPr>
          <w:p/>
        </w:tc>
        <w:tc>
          <w:tcPr>
            <w:tcW w:w="289" w:type="pct"/>
            <w:vMerge w:val="continue"/>
            <w:tcBorders>
              <w:tl2br w:val="nil"/>
              <w:tr2bl w:val="nil"/>
            </w:tcBorders>
            <w:vAlign w:val="center"/>
          </w:tcPr>
          <w:p/>
        </w:tc>
        <w:tc>
          <w:tcPr>
            <w:tcW w:w="329" w:type="pct"/>
            <w:vMerge w:val="continue"/>
            <w:tcBorders>
              <w:tl2br w:val="nil"/>
              <w:tr2bl w:val="nil"/>
            </w:tcBorders>
            <w:vAlign w:val="center"/>
          </w:tcPr>
          <w:p/>
        </w:tc>
        <w:tc>
          <w:tcPr>
            <w:tcW w:w="1076" w:type="pct"/>
            <w:vMerge w:val="continue"/>
            <w:tcBorders>
              <w:tl2br w:val="nil"/>
              <w:tr2bl w:val="nil"/>
            </w:tcBorders>
            <w:vAlign w:val="center"/>
          </w:tcPr>
          <w:p/>
        </w:tc>
        <w:tc>
          <w:tcPr>
            <w:tcW w:w="1588" w:type="pct"/>
            <w:vMerge w:val="continue"/>
            <w:tcBorders>
              <w:tl2br w:val="nil"/>
              <w:tr2bl w:val="nil"/>
            </w:tcBorders>
            <w:vAlign w:val="center"/>
          </w:tcPr>
          <w:p/>
        </w:tc>
        <w:tc>
          <w:tcPr>
            <w:tcW w:w="349"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354"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327"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547"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37" w:type="pct"/>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289"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32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lang w:eastAsia="zh-CN"/>
              </w:rPr>
              <w:t>农业</w:t>
            </w:r>
            <w:r>
              <w:rPr>
                <w:rFonts w:hint="eastAsia" w:ascii="仿宋_GB2312" w:hAnsi="仿宋_GB2312" w:eastAsia="仿宋_GB2312" w:cs="仿宋_GB2312"/>
              </w:rPr>
              <w:t>项目数量</w:t>
            </w:r>
          </w:p>
        </w:tc>
        <w:tc>
          <w:tcPr>
            <w:tcW w:w="107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达到得10分，未达到扣5分</w:t>
            </w:r>
          </w:p>
        </w:tc>
        <w:tc>
          <w:tcPr>
            <w:tcW w:w="158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反映全年开展项目数量</w:t>
            </w:r>
          </w:p>
        </w:tc>
        <w:tc>
          <w:tcPr>
            <w:tcW w:w="34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5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32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项</w:t>
            </w:r>
          </w:p>
        </w:tc>
        <w:tc>
          <w:tcPr>
            <w:tcW w:w="54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7" w:type="pct"/>
            <w:vMerge w:val="continue"/>
            <w:tcBorders>
              <w:tl2br w:val="nil"/>
              <w:tr2bl w:val="nil"/>
            </w:tcBorders>
            <w:vAlign w:val="center"/>
          </w:tcPr>
          <w:p/>
        </w:tc>
        <w:tc>
          <w:tcPr>
            <w:tcW w:w="289"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32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完成率</w:t>
            </w:r>
          </w:p>
        </w:tc>
        <w:tc>
          <w:tcPr>
            <w:tcW w:w="107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达到得10分，未达到按比例扣分</w:t>
            </w:r>
          </w:p>
        </w:tc>
        <w:tc>
          <w:tcPr>
            <w:tcW w:w="158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反映全年农业项目的完成比例</w:t>
            </w:r>
          </w:p>
        </w:tc>
        <w:tc>
          <w:tcPr>
            <w:tcW w:w="34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5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32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547" w:type="pct"/>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rPr>
              <w:t>工作</w:t>
            </w:r>
            <w:r>
              <w:rPr>
                <w:rFonts w:hint="eastAsia" w:ascii="仿宋_GB2312" w:hAnsi="仿宋_GB2312" w:eastAsia="仿宋_GB2312" w:cs="仿宋_GB2312"/>
                <w:lang w:eastAsia="zh-CN"/>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37" w:type="pct"/>
            <w:vMerge w:val="continue"/>
            <w:tcBorders>
              <w:tl2br w:val="nil"/>
              <w:tr2bl w:val="nil"/>
            </w:tcBorders>
            <w:vAlign w:val="center"/>
          </w:tcPr>
          <w:p/>
        </w:tc>
        <w:tc>
          <w:tcPr>
            <w:tcW w:w="289"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329" w:type="pct"/>
            <w:tcBorders>
              <w:tl2br w:val="nil"/>
              <w:tr2bl w:val="nil"/>
            </w:tcBorders>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rPr>
              <w:t>完成</w:t>
            </w:r>
            <w:r>
              <w:rPr>
                <w:rFonts w:hint="eastAsia" w:ascii="仿宋_GB2312" w:hAnsi="仿宋_GB2312" w:eastAsia="仿宋_GB2312" w:cs="仿宋_GB2312"/>
                <w:lang w:eastAsia="zh-CN"/>
              </w:rPr>
              <w:t>时限</w:t>
            </w:r>
          </w:p>
        </w:tc>
        <w:tc>
          <w:tcPr>
            <w:tcW w:w="107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达到得15分，未达到扣5分</w:t>
            </w:r>
          </w:p>
        </w:tc>
        <w:tc>
          <w:tcPr>
            <w:tcW w:w="158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反映全年工作任务的完成时限</w:t>
            </w:r>
          </w:p>
        </w:tc>
        <w:tc>
          <w:tcPr>
            <w:tcW w:w="34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35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32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12月</w:t>
            </w:r>
            <w:r>
              <w:rPr>
                <w:rFonts w:hint="eastAsia" w:ascii="仿宋_GB2312" w:hAnsi="仿宋_GB2312" w:eastAsia="仿宋_GB2312" w:cs="仿宋_GB2312"/>
              </w:rPr>
              <w:t>底完成</w:t>
            </w:r>
          </w:p>
        </w:tc>
        <w:tc>
          <w:tcPr>
            <w:tcW w:w="54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7" w:type="pct"/>
            <w:vMerge w:val="continue"/>
            <w:tcBorders>
              <w:tl2br w:val="nil"/>
              <w:tr2bl w:val="nil"/>
            </w:tcBorders>
            <w:vAlign w:val="center"/>
          </w:tcPr>
          <w:p/>
        </w:tc>
        <w:tc>
          <w:tcPr>
            <w:tcW w:w="289"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329" w:type="pct"/>
            <w:tcBorders>
              <w:tl2br w:val="nil"/>
              <w:tr2bl w:val="nil"/>
            </w:tcBorders>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rPr>
              <w:t>预算</w:t>
            </w:r>
            <w:r>
              <w:rPr>
                <w:rFonts w:hint="eastAsia" w:ascii="仿宋_GB2312" w:hAnsi="仿宋_GB2312" w:eastAsia="仿宋_GB2312" w:cs="仿宋_GB2312"/>
                <w:lang w:eastAsia="zh-CN"/>
              </w:rPr>
              <w:t>执行率</w:t>
            </w:r>
          </w:p>
        </w:tc>
        <w:tc>
          <w:tcPr>
            <w:tcW w:w="1076" w:type="pct"/>
            <w:tcBorders>
              <w:tl2br w:val="nil"/>
              <w:tr2bl w:val="nil"/>
            </w:tcBorders>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rPr>
              <w:t>达到得15分，未达到</w:t>
            </w:r>
            <w:r>
              <w:rPr>
                <w:rFonts w:hint="eastAsia" w:ascii="仿宋_GB2312" w:hAnsi="仿宋_GB2312" w:eastAsia="仿宋_GB2312" w:cs="仿宋_GB2312"/>
                <w:lang w:eastAsia="zh-CN"/>
              </w:rPr>
              <w:t>按比例扣分</w:t>
            </w:r>
          </w:p>
        </w:tc>
        <w:tc>
          <w:tcPr>
            <w:tcW w:w="158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反映年初预算项目执行率</w:t>
            </w:r>
          </w:p>
        </w:tc>
        <w:tc>
          <w:tcPr>
            <w:tcW w:w="34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54" w:type="pct"/>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327" w:type="pct"/>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w:t>
            </w:r>
          </w:p>
        </w:tc>
        <w:tc>
          <w:tcPr>
            <w:tcW w:w="547" w:type="pct"/>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7" w:type="pct"/>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289"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329" w:type="pct"/>
            <w:tcBorders>
              <w:tl2br w:val="nil"/>
              <w:tr2bl w:val="nil"/>
            </w:tcBorders>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rPr>
              <w:t>提</w:t>
            </w:r>
            <w:r>
              <w:rPr>
                <w:rFonts w:hint="eastAsia" w:ascii="仿宋_GB2312" w:hAnsi="仿宋_GB2312" w:eastAsia="仿宋_GB2312" w:cs="仿宋_GB2312"/>
                <w:lang w:eastAsia="zh-CN"/>
              </w:rPr>
              <w:t>升农产品质量</w:t>
            </w:r>
          </w:p>
        </w:tc>
        <w:tc>
          <w:tcPr>
            <w:tcW w:w="107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达到得1</w:t>
            </w:r>
            <w:r>
              <w:rPr>
                <w:rFonts w:hint="eastAsia" w:ascii="仿宋_GB2312" w:hAnsi="仿宋_GB2312" w:eastAsia="仿宋_GB2312" w:cs="仿宋_GB2312"/>
                <w:lang w:val="en-US" w:eastAsia="zh-CN"/>
              </w:rPr>
              <w:t>5</w:t>
            </w:r>
            <w:r>
              <w:rPr>
                <w:rFonts w:hint="eastAsia" w:ascii="仿宋_GB2312" w:hAnsi="仿宋_GB2312" w:eastAsia="仿宋_GB2312" w:cs="仿宋_GB2312"/>
              </w:rPr>
              <w:t>分，未达到扣5分</w:t>
            </w:r>
          </w:p>
        </w:tc>
        <w:tc>
          <w:tcPr>
            <w:tcW w:w="158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通过全年农业项目的开展，积极提升农民和农企积极性，提升农产品质量。</w:t>
            </w:r>
          </w:p>
        </w:tc>
        <w:tc>
          <w:tcPr>
            <w:tcW w:w="34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35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32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lang w:eastAsia="zh-CN"/>
              </w:rPr>
              <w:t>得到提升</w:t>
            </w:r>
          </w:p>
        </w:tc>
        <w:tc>
          <w:tcPr>
            <w:tcW w:w="547" w:type="pct"/>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rPr>
              <w:t>工作</w:t>
            </w:r>
            <w:r>
              <w:rPr>
                <w:rFonts w:hint="eastAsia" w:ascii="仿宋_GB2312" w:hAnsi="仿宋_GB2312" w:eastAsia="仿宋_GB2312" w:cs="仿宋_GB2312"/>
                <w:lang w:eastAsia="zh-CN"/>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37" w:type="pct"/>
            <w:vMerge w:val="continue"/>
            <w:tcBorders>
              <w:tl2br w:val="nil"/>
              <w:tr2bl w:val="nil"/>
            </w:tcBorders>
            <w:vAlign w:val="center"/>
          </w:tcPr>
          <w:p/>
        </w:tc>
        <w:tc>
          <w:tcPr>
            <w:tcW w:w="289" w:type="pc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329" w:type="pct"/>
            <w:tcBorders>
              <w:tl2br w:val="nil"/>
              <w:tr2bl w:val="nil"/>
            </w:tcBorders>
            <w:noWrap/>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满意度</w:t>
            </w:r>
          </w:p>
        </w:tc>
        <w:tc>
          <w:tcPr>
            <w:tcW w:w="1076"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达到得1</w:t>
            </w:r>
            <w:r>
              <w:rPr>
                <w:rFonts w:hint="eastAsia" w:ascii="仿宋_GB2312" w:hAnsi="仿宋_GB2312" w:eastAsia="仿宋_GB2312" w:cs="仿宋_GB2312"/>
                <w:lang w:val="en-US" w:eastAsia="zh-CN"/>
              </w:rPr>
              <w:t>5</w:t>
            </w:r>
            <w:r>
              <w:rPr>
                <w:rFonts w:hint="eastAsia" w:ascii="仿宋_GB2312" w:hAnsi="仿宋_GB2312" w:eastAsia="仿宋_GB2312" w:cs="仿宋_GB2312"/>
              </w:rPr>
              <w:t>分，未达到扣5分</w:t>
            </w:r>
          </w:p>
        </w:tc>
        <w:tc>
          <w:tcPr>
            <w:tcW w:w="1588"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通过全年农业项目的开展和监督检查力度，提质升级，稳定农产品市场</w:t>
            </w:r>
          </w:p>
        </w:tc>
        <w:tc>
          <w:tcPr>
            <w:tcW w:w="34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35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327" w:type="pct"/>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保持稳定</w:t>
            </w:r>
          </w:p>
        </w:tc>
        <w:tc>
          <w:tcPr>
            <w:tcW w:w="547" w:type="pct"/>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rPr>
              <w:t>工作</w:t>
            </w:r>
            <w:r>
              <w:rPr>
                <w:rFonts w:hint="eastAsia" w:ascii="仿宋_GB2312" w:hAnsi="仿宋_GB2312" w:eastAsia="仿宋_GB2312" w:cs="仿宋_GB2312"/>
                <w:lang w:eastAsia="zh-CN"/>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37" w:type="pct"/>
            <w:vMerge w:val="continue"/>
            <w:tcBorders>
              <w:tl2br w:val="nil"/>
              <w:tr2bl w:val="nil"/>
            </w:tcBorders>
            <w:vAlign w:val="center"/>
          </w:tcPr>
          <w:p/>
        </w:tc>
        <w:tc>
          <w:tcPr>
            <w:tcW w:w="289"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329"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满意度</w:t>
            </w:r>
          </w:p>
        </w:tc>
        <w:tc>
          <w:tcPr>
            <w:tcW w:w="1076"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达到得</w:t>
            </w:r>
            <w:r>
              <w:rPr>
                <w:rFonts w:hint="eastAsia" w:ascii="仿宋_GB2312" w:hAnsi="仿宋_GB2312" w:eastAsia="仿宋_GB2312" w:cs="仿宋_GB2312"/>
                <w:lang w:val="en-US" w:eastAsia="zh-CN"/>
              </w:rPr>
              <w:t>20</w:t>
            </w:r>
            <w:r>
              <w:rPr>
                <w:rFonts w:hint="eastAsia" w:ascii="仿宋_GB2312" w:hAnsi="仿宋_GB2312" w:eastAsia="仿宋_GB2312" w:cs="仿宋_GB2312"/>
              </w:rPr>
              <w:t>分，未达到按比例扣分</w:t>
            </w:r>
          </w:p>
        </w:tc>
        <w:tc>
          <w:tcPr>
            <w:tcW w:w="1588"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群众满意度比例</w:t>
            </w:r>
          </w:p>
        </w:tc>
        <w:tc>
          <w:tcPr>
            <w:tcW w:w="34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5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32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54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调查问卷</w:t>
            </w:r>
          </w:p>
        </w:tc>
      </w:tr>
    </w:tbl>
    <w:p>
      <w:pPr>
        <w:pStyle w:val="13"/>
        <w:spacing w:line="240" w:lineRule="auto"/>
        <w:ind w:firstLine="640" w:firstLineChars="200"/>
        <w:rPr>
          <w:rFonts w:eastAsia="仿宋_GB2312"/>
          <w:kern w:val="2"/>
          <w:sz w:val="32"/>
          <w:szCs w:val="32"/>
          <w:highlight w:val="yellow"/>
          <w:lang w:eastAsia="uk-UA" w:bidi="ar-SA"/>
        </w:rPr>
      </w:pPr>
    </w:p>
    <w:p>
      <w:pPr>
        <w:pStyle w:val="7"/>
        <w:autoSpaceDE w:val="0"/>
        <w:autoSpaceDN w:val="0"/>
        <w:spacing w:line="584" w:lineRule="exact"/>
        <w:ind w:firstLine="640" w:firstLineChars="200"/>
        <w:jc w:val="left"/>
        <w:rPr>
          <w:rFonts w:ascii="Times New Roman" w:hAnsi="Times New Roman" w:eastAsia="黑体" w:cs="Times New Roman"/>
          <w:sz w:val="32"/>
          <w:szCs w:val="32"/>
          <w:highlight w:val="yellow"/>
        </w:rPr>
      </w:pPr>
    </w:p>
    <w:p>
      <w:pPr>
        <w:pStyle w:val="7"/>
        <w:autoSpaceDE w:val="0"/>
        <w:autoSpaceDN w:val="0"/>
        <w:spacing w:line="584" w:lineRule="exact"/>
        <w:ind w:firstLine="640" w:firstLineChars="200"/>
        <w:jc w:val="center"/>
        <w:rPr>
          <w:rFonts w:ascii="Times New Roman" w:hAnsi="Times New Roman" w:eastAsia="黑体" w:cs="Times New Roman"/>
          <w:sz w:val="32"/>
          <w:szCs w:val="32"/>
          <w:highlight w:val="yellow"/>
        </w:rPr>
      </w:pPr>
    </w:p>
    <w:p>
      <w:pPr>
        <w:pStyle w:val="7"/>
        <w:autoSpaceDE w:val="0"/>
        <w:autoSpaceDN w:val="0"/>
        <w:spacing w:line="584" w:lineRule="exact"/>
        <w:ind w:firstLine="640" w:firstLineChars="200"/>
        <w:jc w:val="center"/>
        <w:rPr>
          <w:rFonts w:ascii="Times New Roman" w:hAnsi="Times New Roman" w:eastAsia="黑体" w:cs="Times New Roman"/>
          <w:sz w:val="32"/>
          <w:szCs w:val="32"/>
          <w:highlight w:val="yellow"/>
        </w:rPr>
      </w:pPr>
    </w:p>
    <w:p>
      <w:pPr>
        <w:pStyle w:val="7"/>
        <w:autoSpaceDE w:val="0"/>
        <w:autoSpaceDN w:val="0"/>
        <w:spacing w:line="240" w:lineRule="auto"/>
        <w:ind w:firstLine="640" w:firstLineChars="200"/>
        <w:jc w:val="left"/>
        <w:rPr>
          <w:rFonts w:ascii="Times New Roman" w:hAnsi="Times New Roman" w:eastAsia="黑体" w:cs="Times New Roman"/>
          <w:sz w:val="32"/>
          <w:szCs w:val="32"/>
          <w:highlight w:val="none"/>
          <w:lang w:eastAsia="uk-UA"/>
        </w:rPr>
      </w:pPr>
      <w:r>
        <w:rPr>
          <w:rFonts w:ascii="Times New Roman" w:hAnsi="Times New Roman" w:eastAsia="黑体" w:cs="Times New Roman"/>
          <w:sz w:val="32"/>
          <w:szCs w:val="32"/>
          <w:highlight w:val="none"/>
        </w:rPr>
        <w:t>第二部分 预算项目绩效目标</w:t>
      </w:r>
    </w:p>
    <w:p>
      <w:pPr>
        <w:pStyle w:val="7"/>
        <w:ind w:firstLine="560"/>
        <w:jc w:val="left"/>
        <w:outlineLvl w:val="3"/>
        <w:rPr>
          <w:rFonts w:hint="eastAsia" w:ascii="仿宋_GB2312" w:hAnsi="仿宋_GB2312" w:eastAsia="仿宋_GB2312" w:cs="仿宋_GB2312"/>
        </w:rPr>
      </w:pPr>
      <w:bookmarkStart w:id="3" w:name="_Toc_4_4_0000000004"/>
      <w:r>
        <w:rPr>
          <w:rFonts w:hint="eastAsia" w:ascii="仿宋_GB2312" w:hAnsi="仿宋_GB2312" w:eastAsia="仿宋_GB2312" w:cs="仿宋_GB2312"/>
          <w:color w:val="000000"/>
          <w:sz w:val="28"/>
        </w:rPr>
        <w:t>1.2021年度购置猪瘟和高致病性猪蓝耳病强制免疫疫苗市级补助资金绩效目标表</w:t>
      </w:r>
      <w:bookmarkEnd w:id="3"/>
    </w:p>
    <w:tbl>
      <w:tblPr>
        <w:tblStyle w:val="4"/>
        <w:tblW w:w="4997" w:type="pct"/>
        <w:jc w:val="center"/>
        <w:tblLayout w:type="autofit"/>
        <w:tblCellMar>
          <w:top w:w="0" w:type="dxa"/>
          <w:left w:w="108" w:type="dxa"/>
          <w:bottom w:w="0" w:type="dxa"/>
          <w:right w:w="108" w:type="dxa"/>
        </w:tblCellMar>
      </w:tblPr>
      <w:tblGrid>
        <w:gridCol w:w="1981"/>
        <w:gridCol w:w="11947"/>
      </w:tblGrid>
      <w:tr>
        <w:tblPrEx>
          <w:tblCellMar>
            <w:top w:w="0" w:type="dxa"/>
            <w:left w:w="108" w:type="dxa"/>
            <w:bottom w:w="0" w:type="dxa"/>
            <w:right w:w="108" w:type="dxa"/>
          </w:tblCellMar>
        </w:tblPrEx>
        <w:trPr>
          <w:trHeight w:val="528" w:hRule="atLeast"/>
          <w:jc w:val="center"/>
        </w:trPr>
        <w:tc>
          <w:tcPr>
            <w:tcW w:w="711"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8"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发挥动物防疫、监测体系作用，有效降低疫病危害，保障畜牧业健康发展。</w:t>
            </w:r>
          </w:p>
        </w:tc>
      </w:tr>
    </w:tbl>
    <w:p>
      <w:pPr>
        <w:pStyle w:val="7"/>
        <w:spacing w:line="2" w:lineRule="exact"/>
        <w:jc w:val="center"/>
        <w:rPr>
          <w:rFonts w:hint="eastAsia" w:ascii="仿宋_GB2312" w:hAnsi="仿宋_GB2312" w:eastAsia="仿宋_GB2312" w:cs="仿宋_GB2312"/>
        </w:rPr>
      </w:pPr>
    </w:p>
    <w:tbl>
      <w:tblPr>
        <w:tblStyle w:val="4"/>
        <w:tblW w:w="0" w:type="auto"/>
        <w:jc w:val="center"/>
        <w:tblLayout w:type="autofit"/>
        <w:tblCellMar>
          <w:top w:w="0" w:type="dxa"/>
          <w:left w:w="108" w:type="dxa"/>
          <w:bottom w:w="0" w:type="dxa"/>
          <w:right w:w="108" w:type="dxa"/>
        </w:tblCellMar>
      </w:tblPr>
      <w:tblGrid>
        <w:gridCol w:w="1194"/>
        <w:gridCol w:w="1962"/>
        <w:gridCol w:w="1770"/>
        <w:gridCol w:w="5629"/>
        <w:gridCol w:w="1797"/>
        <w:gridCol w:w="1584"/>
      </w:tblGrid>
      <w:tr>
        <w:tblPrEx>
          <w:tblCellMar>
            <w:top w:w="0" w:type="dxa"/>
            <w:left w:w="108" w:type="dxa"/>
            <w:bottom w:w="0" w:type="dxa"/>
            <w:right w:w="108" w:type="dxa"/>
          </w:tblCellMar>
        </w:tblPrEx>
        <w:trPr>
          <w:trHeight w:val="455" w:hRule="atLeast"/>
          <w:tblHeader/>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618"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试剂数</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反映购置猪瘟疫苗数量</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≥45000剂</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618"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试剂数</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反映购置高致病性猪蓝耳病疫苗数量。</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≥13000剂</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618"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免疫率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反映畜禽免疫数占全区畜禽数比例</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618"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抗体合格率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反映检测合格数占抽样数比例</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≥70%</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618"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lang w:eastAsia="zh-CN"/>
              </w:rPr>
              <w:t>完成</w:t>
            </w:r>
            <w:r>
              <w:rPr>
                <w:rFonts w:hint="eastAsia" w:ascii="仿宋_GB2312" w:hAnsi="仿宋_GB2312" w:eastAsia="仿宋_GB2312" w:cs="仿宋_GB2312"/>
              </w:rPr>
              <w:t>全年重大动物疫病强制免疫工作完成时间</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6月底完成</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67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预算资金</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实际使用金额占年初计划金额的比例</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3.84万元</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947"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不发生区域性疫情</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反映开展强免疫苗工作，保障畜产品安全，不发生区域性疫情。</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不发生区域性疫情</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947"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维护社会稳定</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反映开展强免疫苗工作，保障畜产品安全，维护社会稳定。</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维护社会稳定</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94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群众满意数量占总数的比例。</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3" w:type="default"/>
          <w:footerReference r:id="rId4"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4" w:name="_Toc_4_4_0000000005"/>
      <w:r>
        <w:rPr>
          <w:rFonts w:hint="eastAsia" w:ascii="仿宋_GB2312" w:hAnsi="仿宋_GB2312" w:eastAsia="仿宋_GB2312" w:cs="仿宋_GB2312"/>
          <w:color w:val="000000"/>
          <w:sz w:val="28"/>
        </w:rPr>
        <w:t>2.2021年度省级疫病防治专项资金绩效目标表</w:t>
      </w:r>
      <w:bookmarkEnd w:id="4"/>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1.做好全年重大动物疫病的防控工作，确保不发生重大动物疫情。</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补贴企业数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反映无害化处理补助企业数量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≥1家</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免疫率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畜禽免疫数占全区畜禽数比例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抗体合格率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检测合格数占抽样数比例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≥70%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处理率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反映病死动物无害化处理率占病死动物比例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完成时效</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反映这项工作完成时间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6月底完成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反映开展此项工作所需资金</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19.5万元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维护社会稳定</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反映为了开展病死猪无害化处理工作，保障畜产品安全，维护社会稳定。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维护社会稳定</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确保不发生疫情</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不发生区域性流行疫情</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不发生疫情</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群众满意数量占总数的比例。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5" w:type="default"/>
          <w:footerReference r:id="rId6"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5" w:name="_Toc_4_4_0000000006"/>
      <w:r>
        <w:rPr>
          <w:rFonts w:hint="eastAsia" w:ascii="仿宋_GB2312" w:hAnsi="仿宋_GB2312" w:eastAsia="仿宋_GB2312" w:cs="仿宋_GB2312"/>
          <w:color w:val="000000"/>
          <w:sz w:val="28"/>
        </w:rPr>
        <w:t>3.2021年度市级病死畜禽无害化处理补助资金绩效目标表</w:t>
      </w:r>
      <w:bookmarkEnd w:id="5"/>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1.做好全区养殖环节病死动物的无害化处理工作，保障畜产品安全。</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处理数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反映完成全年任务数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≥2000头</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处理率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反映病死动物无害化处理率占病死动物比例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完成病死动物无害化处理工作时间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6月底完成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预算资金</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实际使用金额占年初计划金额的比例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4.44万元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维护市场稳定</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反映为了开展病死猪无害化处理工作，保障畜产品安全，维护市场稳定。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维护市场稳定</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不发生区域性疫情</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反映为了开展病死猪无害化处理工作，保障畜产品安全，不发生区域性疫情。</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不发生区域性疫情</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群众满意数量占总数的比例。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7" w:type="default"/>
          <w:footerReference r:id="rId8"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6" w:name="_Toc_4_4_0000000007"/>
      <w:r>
        <w:rPr>
          <w:rFonts w:hint="eastAsia" w:ascii="仿宋_GB2312" w:hAnsi="仿宋_GB2312" w:eastAsia="仿宋_GB2312" w:cs="仿宋_GB2312"/>
          <w:color w:val="000000"/>
          <w:sz w:val="28"/>
        </w:rPr>
        <w:t>4.2021年度市级生猪屠宰环节无害化处理补贴资金绩效目标表</w:t>
      </w:r>
      <w:bookmarkEnd w:id="6"/>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1.通过项目的开展完成做好全区养屠宰节病死猪及三腺的无害化处理工作，保障畜产品安全。</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处理数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反映完成全年任务数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≥200头</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处理率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反映病死动物无害化处理率占病死动物比例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完成病死动物无害化处理工作时间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12月底完成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预算资金</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实际使用金额占年初计划金额的比例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9.57万元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不发生区域性疫情</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反映为了开展病死猪无害化处理工作，保障畜产品安全，维护市场稳定，不发生区域性疫情。</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不发生区域性疫情。</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维护市场稳定</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反映为了开展病死猪无害化处理工作，维护市场稳定。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市场稳定</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企业满意度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反映企业满意数量占总数的比例。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9" w:type="default"/>
          <w:footerReference r:id="rId10" w:type="even"/>
          <w:pgSz w:w="16838" w:h="11906" w:orient="landscape"/>
          <w:pgMar w:top="1304" w:right="1984" w:bottom="1304" w:left="1134" w:header="0" w:footer="720" w:gutter="0"/>
          <w:cols w:space="0" w:num="1"/>
          <w:formProt w:val="0"/>
          <w:docGrid w:linePitch="286" w:charSpace="0"/>
        </w:sectPr>
      </w:pPr>
    </w:p>
    <w:p>
      <w:pPr>
        <w:pStyle w:val="7"/>
        <w:ind w:firstLine="560"/>
        <w:jc w:val="left"/>
        <w:outlineLvl w:val="3"/>
        <w:rPr>
          <w:rFonts w:hint="eastAsia" w:ascii="仿宋_GB2312" w:hAnsi="仿宋_GB2312" w:eastAsia="仿宋_GB2312" w:cs="仿宋_GB2312"/>
        </w:rPr>
      </w:pPr>
      <w:bookmarkStart w:id="7" w:name="_Toc_4_4_0000000008"/>
      <w:r>
        <w:rPr>
          <w:rFonts w:hint="eastAsia" w:ascii="仿宋_GB2312" w:hAnsi="仿宋_GB2312" w:eastAsia="仿宋_GB2312" w:cs="仿宋_GB2312"/>
          <w:color w:val="000000"/>
          <w:sz w:val="28"/>
        </w:rPr>
        <w:t>5.2021年广阳区农村人居环境整治项目绩效目标表</w:t>
      </w:r>
      <w:bookmarkEnd w:id="7"/>
    </w:p>
    <w:tbl>
      <w:tblPr>
        <w:tblStyle w:val="4"/>
        <w:tblW w:w="4998" w:type="pct"/>
        <w:jc w:val="center"/>
        <w:tblLayout w:type="autofit"/>
        <w:tblCellMar>
          <w:top w:w="0" w:type="dxa"/>
          <w:left w:w="108" w:type="dxa"/>
          <w:bottom w:w="0" w:type="dxa"/>
          <w:right w:w="108" w:type="dxa"/>
        </w:tblCellMar>
      </w:tblPr>
      <w:tblGrid>
        <w:gridCol w:w="1987"/>
        <w:gridCol w:w="11943"/>
      </w:tblGrid>
      <w:tr>
        <w:tblPrEx>
          <w:tblCellMar>
            <w:top w:w="0" w:type="dxa"/>
            <w:left w:w="108" w:type="dxa"/>
            <w:bottom w:w="0" w:type="dxa"/>
            <w:right w:w="108" w:type="dxa"/>
          </w:tblCellMar>
        </w:tblPrEx>
        <w:trPr>
          <w:trHeight w:val="369" w:hRule="atLeast"/>
          <w:jc w:val="center"/>
        </w:trPr>
        <w:tc>
          <w:tcPr>
            <w:tcW w:w="713"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1.改善广阳区农村人居环境，提升群众出行、农村垃圾、污水处理能力，提升亮化水平。</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安装数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反映安装路灯数。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≥330盏</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维修数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反映维修维护路灯数。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≥180盏</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建设数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反映雨水管网建设数量。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≥800米</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建设数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反映毛支渠清淤数量。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≥1500米</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污水设备数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反映安排生活污水处理设备数量。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≥1座</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垃圾箱数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反映生活垃圾数量。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≥2个</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道路硬化米数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反映道路硬化数量。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≥22110米</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合格率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反映开展项目合格数占总数的比例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反映此项工作的完成时间。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12月底完成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反映开展此项工作所需成本</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29.79万元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批复</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人民生活水平和居住环境</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加快农村基础设施的改善和提升，构建和谐社会。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维护稳定</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提升周边区域的环境质量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提高周边环境质量；推动经济发展；提高居民生活质量。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提升环境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反映村民满意度比例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11" w:type="default"/>
          <w:footerReference r:id="rId12" w:type="even"/>
          <w:pgSz w:w="16838" w:h="11906" w:orient="landscape"/>
          <w:pgMar w:top="1304" w:right="1984" w:bottom="1304" w:left="1134" w:header="0" w:footer="720" w:gutter="0"/>
          <w:cols w:space="720" w:num="1"/>
          <w:formProt w:val="0"/>
          <w:docGrid w:linePitch="286" w:charSpace="49152"/>
        </w:sectPr>
      </w:pPr>
    </w:p>
    <w:p>
      <w:pPr>
        <w:pStyle w:val="7"/>
        <w:ind w:firstLine="560"/>
        <w:jc w:val="left"/>
        <w:outlineLvl w:val="3"/>
        <w:rPr>
          <w:rFonts w:hint="eastAsia" w:ascii="仿宋_GB2312" w:hAnsi="仿宋_GB2312" w:eastAsia="仿宋_GB2312" w:cs="仿宋_GB2312"/>
        </w:rPr>
      </w:pPr>
      <w:bookmarkStart w:id="8" w:name="_Toc_4_4_0000000009"/>
      <w:r>
        <w:rPr>
          <w:rFonts w:hint="eastAsia" w:ascii="仿宋_GB2312" w:hAnsi="仿宋_GB2312" w:eastAsia="仿宋_GB2312" w:cs="仿宋_GB2312"/>
          <w:color w:val="000000"/>
          <w:sz w:val="28"/>
        </w:rPr>
        <w:t>6.2021年省级农产品质量安全及疫病防治资金（农产品质量安全）绩效目标表</w:t>
      </w:r>
      <w:bookmarkEnd w:id="8"/>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按照“产出高效、产品安全、资源节约、环境友好”的现代农业发展要求，以健全农产品质量安全体系为核心，以完善农产品质量安全全程监管为重点，以提升农产品质量安全水平为目标，坚持执法监管与标准化生产两手抓，“产出来”和“管出来”两手硬，高标准的创建国家级农产品质量安全县，大幅提高我区农产品质量安全水平，确保人民群众饮食安全。</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合格证数量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反映合格证试验示范点建设数量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≥1个</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追溯试点数量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反映追溯试点建设数量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＝50个</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支付及时率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反映支付资金是否及时</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反映完成工作的时间期限</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12月底</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预算金额</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反映项目开展所需资金成本</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＝39.65万元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提升农产品安全水平</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反映通过开展农产品质量安全监管，进一步提升农产品质量。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提升监管能力</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反映通过开展农产品质量安全监管，进一步提升农产品质量监管能力。</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群众满意数量占总数的比例。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13" w:type="default"/>
          <w:footerReference r:id="rId14" w:type="even"/>
          <w:pgSz w:w="16838" w:h="11906" w:orient="landscape"/>
          <w:pgMar w:top="1304" w:right="1984" w:bottom="1304" w:left="1134" w:header="0" w:footer="720" w:gutter="0"/>
          <w:cols w:space="720" w:num="1"/>
          <w:formProt w:val="0"/>
          <w:docGrid w:linePitch="286" w:charSpace="49152"/>
        </w:sectPr>
      </w:pPr>
    </w:p>
    <w:p>
      <w:pPr>
        <w:pStyle w:val="7"/>
        <w:ind w:firstLine="560"/>
        <w:jc w:val="left"/>
        <w:outlineLvl w:val="3"/>
        <w:rPr>
          <w:rFonts w:hint="eastAsia" w:ascii="仿宋_GB2312" w:hAnsi="仿宋_GB2312" w:eastAsia="仿宋_GB2312" w:cs="仿宋_GB2312"/>
        </w:rPr>
      </w:pPr>
      <w:bookmarkStart w:id="9" w:name="_Toc_4_4_0000000010"/>
      <w:r>
        <w:rPr>
          <w:rFonts w:hint="eastAsia" w:ascii="仿宋_GB2312" w:hAnsi="仿宋_GB2312" w:eastAsia="仿宋_GB2312" w:cs="仿宋_GB2312"/>
          <w:color w:val="000000"/>
          <w:sz w:val="28"/>
        </w:rPr>
        <w:t>7.2021年省级农业生产发展资金绩效目标表</w:t>
      </w:r>
      <w:bookmarkEnd w:id="9"/>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1.完成荷斯坦牛性控冷冻精液补贴项目，完成胚胎移植项目50%的资金拨付，待2023年验收合格后，拨付50%资金。</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胚胎移植数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反映本年度开展胚胎移植枚数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386枚</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补贴企业数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反映开展补贴项目涉及企业个数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≥2家</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支付率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反映支付项目资金的支付比例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50%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移植准胎率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反映胚胎移植的准胎率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≥40%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雌性率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反映胚胎移植的雌性率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完成时间</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反映项目完成时间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2023年6月底完成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反映开展此项工作所需金额</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77.2万元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农业增效、农民增收</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通过胚胎移植和性控冷冻精液项目实施，促进农业增效、农民增收。</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农业增效、农民增收</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保持奶业稳定</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通过开展胚胎移植项目，保持奶业稳定发展。</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稳定发展</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企业满意度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反映补贴的企业满意度比例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15" w:type="default"/>
          <w:footerReference r:id="rId16"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10" w:name="_Toc_4_4_0000000011"/>
      <w:r>
        <w:rPr>
          <w:rFonts w:hint="eastAsia" w:ascii="仿宋_GB2312" w:hAnsi="仿宋_GB2312" w:eastAsia="仿宋_GB2312" w:cs="仿宋_GB2312"/>
          <w:color w:val="000000"/>
          <w:sz w:val="28"/>
        </w:rPr>
        <w:t>8.2021年中央第二批动物防疫补助资金绩效目标表</w:t>
      </w:r>
      <w:bookmarkEnd w:id="10"/>
    </w:p>
    <w:tbl>
      <w:tblPr>
        <w:tblStyle w:val="4"/>
        <w:tblW w:w="4998" w:type="pct"/>
        <w:jc w:val="center"/>
        <w:tblLayout w:type="autofit"/>
        <w:tblCellMar>
          <w:top w:w="0" w:type="dxa"/>
          <w:left w:w="108" w:type="dxa"/>
          <w:bottom w:w="0" w:type="dxa"/>
          <w:right w:w="108" w:type="dxa"/>
        </w:tblCellMar>
      </w:tblPr>
      <w:tblGrid>
        <w:gridCol w:w="1987"/>
        <w:gridCol w:w="11943"/>
      </w:tblGrid>
      <w:tr>
        <w:tblPrEx>
          <w:tblCellMar>
            <w:top w:w="0" w:type="dxa"/>
            <w:left w:w="108" w:type="dxa"/>
            <w:bottom w:w="0" w:type="dxa"/>
            <w:right w:w="108" w:type="dxa"/>
          </w:tblCellMar>
        </w:tblPrEx>
        <w:trPr>
          <w:trHeight w:val="369" w:hRule="atLeast"/>
          <w:jc w:val="center"/>
        </w:trPr>
        <w:tc>
          <w:tcPr>
            <w:tcW w:w="713"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对口蹄疫、高致病性禽流感、布病、小反刍兽疫等实行强制免疫。禽流感、口蹄疫、布病、小反刍兽疫不发生区域性流行疫情。对口蹄疫、高致病性禽流感、布病、小反刍兽疫、高致病性猪蓝耳病和猪瘟等重大动物疫病强制免疫群体免疫密度常年维持在90%以上，免疫抗体合格率全年保持在70%以上。实现全区畜禽群体免疫抗体水平始终保持在有效保护状态。</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免疫次数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每年对全区重大动物疫病强制免疫次数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≥2次</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免疫率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畜禽免疫数占全区畜禽数比例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抗体合格率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检测合格数占抽样数比例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≥70%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完成全年重大动物疫病强制免疫工作完成时间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6月底完成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反映开展此项工作所需资金</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30.07万元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维护社会稳定</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通过开展动物防疫工作维护社会稳定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维护社会稳定</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确保不发生疫情</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通过开展动物防疫工作维护社会稳定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不发生疫情</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群众满意数量占总数的比例。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17" w:type="default"/>
          <w:footerReference r:id="rId18"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11" w:name="_Toc_4_4_0000000012"/>
      <w:r>
        <w:rPr>
          <w:rFonts w:hint="eastAsia" w:ascii="仿宋_GB2312" w:hAnsi="仿宋_GB2312" w:eastAsia="仿宋_GB2312" w:cs="仿宋_GB2312"/>
          <w:color w:val="000000"/>
          <w:sz w:val="28"/>
        </w:rPr>
        <w:t>9.2021年中央动物防疫补助经费绩效目标表</w:t>
      </w:r>
      <w:bookmarkEnd w:id="11"/>
    </w:p>
    <w:tbl>
      <w:tblPr>
        <w:tblStyle w:val="4"/>
        <w:tblW w:w="4998" w:type="pct"/>
        <w:jc w:val="center"/>
        <w:tblLayout w:type="autofit"/>
        <w:tblCellMar>
          <w:top w:w="0" w:type="dxa"/>
          <w:left w:w="108" w:type="dxa"/>
          <w:bottom w:w="0" w:type="dxa"/>
          <w:right w:w="108" w:type="dxa"/>
        </w:tblCellMar>
      </w:tblPr>
      <w:tblGrid>
        <w:gridCol w:w="1987"/>
        <w:gridCol w:w="11943"/>
      </w:tblGrid>
      <w:tr>
        <w:tblPrEx>
          <w:tblCellMar>
            <w:top w:w="0" w:type="dxa"/>
            <w:left w:w="108" w:type="dxa"/>
            <w:bottom w:w="0" w:type="dxa"/>
            <w:right w:w="108" w:type="dxa"/>
          </w:tblCellMar>
        </w:tblPrEx>
        <w:trPr>
          <w:trHeight w:val="369" w:hRule="atLeast"/>
          <w:jc w:val="center"/>
        </w:trPr>
        <w:tc>
          <w:tcPr>
            <w:tcW w:w="713"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1.做好全年重大动物疫病的防控工作，确保不发生重大动物疫情。</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补贴企业数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反映无害化处理补助企业数量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≥1家</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免疫率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畜禽免疫数占全区畜禽数比例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抗体合格率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检测合格数占抽样数比例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≥70%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处理率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反映病死动物无害化处理率占病死动物比例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完成时效</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反映这项工作完成时间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6月底完成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反映开展此项工作所需资金</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30.53万元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维护社会稳定</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反映为了开展病死猪无害化处理工作，保障畜产品安全，维护社会稳定。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维护社会稳定</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确保不发生疫情</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不发生区域性流行疫情</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不发生疫情</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群众满意数量占总数的比例。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19" w:type="default"/>
          <w:footerReference r:id="rId20" w:type="even"/>
          <w:pgSz w:w="16838" w:h="11906" w:orient="landscape"/>
          <w:pgMar w:top="1304" w:right="1984" w:bottom="1304" w:left="1134" w:header="0" w:footer="720" w:gutter="0"/>
          <w:cols w:space="720" w:num="1"/>
          <w:formProt w:val="0"/>
          <w:docGrid w:linePitch="286" w:charSpace="49152"/>
        </w:sectPr>
      </w:pPr>
    </w:p>
    <w:p>
      <w:pPr>
        <w:pStyle w:val="7"/>
        <w:ind w:firstLine="560"/>
        <w:jc w:val="left"/>
        <w:outlineLvl w:val="3"/>
        <w:rPr>
          <w:rFonts w:hint="eastAsia" w:ascii="仿宋_GB2312" w:hAnsi="仿宋_GB2312" w:eastAsia="仿宋_GB2312" w:cs="仿宋_GB2312"/>
        </w:rPr>
      </w:pPr>
      <w:bookmarkStart w:id="12" w:name="_Toc_4_4_0000000013"/>
      <w:r>
        <w:rPr>
          <w:rFonts w:hint="eastAsia" w:ascii="仿宋_GB2312" w:hAnsi="仿宋_GB2312" w:eastAsia="仿宋_GB2312" w:cs="仿宋_GB2312"/>
          <w:color w:val="000000"/>
          <w:sz w:val="28"/>
        </w:rPr>
        <w:t>10.2021年中央农村“厕所革命”整村推进财政奖补资金绩效目标表</w:t>
      </w:r>
      <w:bookmarkEnd w:id="12"/>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1.完成我区农村“厕所革命”整村推进年度工作任务。</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建设粪污收集站数量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反映计划建设粪污收集站数量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≥3座</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购置抽粪车数量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反映计划购置抽粪车台数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≥4辆</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合格率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反映粪污收集站和抽粪车质量合格率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完成时间</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反映完成建设粪污收集站和购置抽粪车完成时间。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2022年底完成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反映此项目开展需要的总金额</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＝194万元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廊财农【2021】55号</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群众幸福感</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通过完善农村人居环境，让群众提升幸福感、获得感。</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农村环境改善</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通过开展项目建设，逐步完善农村人居环境，提升群众幸福感。</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得到改善</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得到改善</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企业满意度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企业满意数量占总数的比例。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21" w:type="default"/>
          <w:footerReference r:id="rId22"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13" w:name="_Toc_4_4_0000000014"/>
      <w:r>
        <w:rPr>
          <w:rFonts w:hint="eastAsia" w:ascii="仿宋_GB2312" w:hAnsi="仿宋_GB2312" w:eastAsia="仿宋_GB2312" w:cs="仿宋_GB2312"/>
          <w:color w:val="000000"/>
          <w:sz w:val="28"/>
        </w:rPr>
        <w:t>11.2021年中央农业发展资金（第二批农机购置补贴资金）绩效目标表</w:t>
      </w:r>
      <w:bookmarkEnd w:id="13"/>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1.资金登记使用率达95%以上，补贴各类农机具2（套）以上，受益农户2户以上。农作物耕种收综合机械化率达到97%，农户满意度达到100%，资金兑付率100%。</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补贴农机具数量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反映补贴农机具数量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≥2台/套</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收益农户数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反映项目直接补贴的农户数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≥2户</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bookmarkStart w:id="37" w:name="_GoBack"/>
            <w:bookmarkEnd w:id="37"/>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支付及时率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反映支付资金是否及时</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及时支付</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反映完成工作的时间期限</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6月底</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预算金额</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反映项目开展所需资金成本</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农作物耕种收综合机械化率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反映农作物耕种收综合机械化率的比例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≥97%</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提升农民积极性</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通过开展农机购置补贴，提升农民积极性。</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农户满意度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农户满意数量占总数的比例。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23" w:type="default"/>
          <w:footerReference r:id="rId24"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14" w:name="_Toc_4_4_0000000015"/>
      <w:r>
        <w:rPr>
          <w:rFonts w:hint="eastAsia" w:ascii="仿宋_GB2312" w:hAnsi="仿宋_GB2312" w:eastAsia="仿宋_GB2312" w:cs="仿宋_GB2312"/>
          <w:color w:val="000000"/>
          <w:sz w:val="28"/>
        </w:rPr>
        <w:t>12.2021省级农业生产发展资金绩效目标表</w:t>
      </w:r>
      <w:bookmarkEnd w:id="14"/>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1.提升我区冷链设施能力。</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建设冷库数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反映冷链设施建设数量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1个</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支付及时率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反映支付资金支付率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反映完成工作的时间期限</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6月底完成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预算金额</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反映项目开展所需资金成本</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280万元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提升企业积极性</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通过开展财政补贴冷链建设项目，提升企业发展壮大积极性。</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提升仓储能力</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反映通过财政资金补贴，提升养殖企业粪污资源化利用设备的提档升级；建设冷链设施一座，安装信息监测系统，提升仓储能力。</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企业满意度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企业满意数量占总数的比例。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25" w:type="default"/>
          <w:footerReference r:id="rId26"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15" w:name="_Toc_4_4_0000000016"/>
      <w:r>
        <w:rPr>
          <w:rFonts w:hint="eastAsia" w:ascii="仿宋_GB2312" w:hAnsi="仿宋_GB2312" w:eastAsia="仿宋_GB2312" w:cs="仿宋_GB2312"/>
          <w:color w:val="000000"/>
          <w:sz w:val="28"/>
        </w:rPr>
        <w:t>13.“三员”生活补贴经费绩效目标表</w:t>
      </w:r>
      <w:bookmarkEnd w:id="15"/>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1.按照文件要求，妥善解决原乡镇（公社）农机员、农技员、基层兽医员老有所养问题。</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享受补贴发放人员数量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反映实际享受补贴发放的人数数量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≥193人</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核查数据</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发放精准率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反映发放“三员”生活补贴的精准率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支付时效</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反映完成此项工作的截止时间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3月底前完成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成本控制</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反映在规定成本控制范围之内</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61.94万元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核查数据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保障“三员”补贴发放，维护社会稳定</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通过开展此项工作，保障特殊待遇，维护社会稳定。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社会稳定</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妥善解决“三员”人员老有所养问题。</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通过以生活补助方式，妥善解决特殊人群老有所养问题。</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妥善解决</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享受补贴人员满意度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反映享受补贴人员满意度占调查总数的比例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27" w:type="default"/>
          <w:footerReference r:id="rId28"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16" w:name="_Toc_4_4_0000000017"/>
      <w:r>
        <w:rPr>
          <w:rFonts w:hint="eastAsia" w:ascii="仿宋_GB2312" w:hAnsi="仿宋_GB2312" w:eastAsia="仿宋_GB2312" w:cs="仿宋_GB2312"/>
          <w:color w:val="000000"/>
          <w:sz w:val="28"/>
        </w:rPr>
        <w:t>14.财政衔接推进乡村振兴补助资金[省级]绩效目标表</w:t>
      </w:r>
      <w:bookmarkEnd w:id="16"/>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1.巩固脱贫攻坚成果期内，我区主要任务是稳定脱贫户增收，防止返贫，实施本项目能有效的保证脱贫户巩固期内的年收入，更好的巩固我区脱贫攻坚成果，进一步提高脱贫户生活质量。</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脱贫户</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反映受益脱贫户数量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≥12户</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工程质量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反映工程完成后达到质量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反映此项工作的完成时间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年底完成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项目成本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反映开展此项目预算金额</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44万元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廊财农[2021]97号</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提升巩固脱贫攻坚成果</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通过实施产业帮扶项目，促进脱贫户增收，进一步巩固脱贫攻坚成果</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保障建档立卡户权益</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通过项目开展，获得收益，保障建档立卡户权益。</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保障权益</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反映脱贫户满意度</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29" w:type="default"/>
          <w:footerReference r:id="rId30"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17" w:name="_Toc_4_4_0000000018"/>
      <w:r>
        <w:rPr>
          <w:rFonts w:hint="eastAsia" w:ascii="仿宋_GB2312" w:hAnsi="仿宋_GB2312" w:eastAsia="仿宋_GB2312" w:cs="仿宋_GB2312"/>
          <w:color w:val="000000"/>
          <w:sz w:val="28"/>
        </w:rPr>
        <w:t>15.动物防疫等补助经费资金[中央]绩效目标表</w:t>
      </w:r>
      <w:bookmarkEnd w:id="17"/>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1.做好全区病死动物无害化处理工作，加强日常防疫监管，确保我区不发生动物疫情，确保肉产品的食品安全。</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322"/>
        <w:gridCol w:w="2200"/>
        <w:gridCol w:w="2417"/>
        <w:gridCol w:w="4612"/>
        <w:gridCol w:w="1322"/>
        <w:gridCol w:w="2060"/>
      </w:tblGrid>
      <w:tr>
        <w:tblPrEx>
          <w:tblCellMar>
            <w:top w:w="0" w:type="dxa"/>
            <w:left w:w="108" w:type="dxa"/>
            <w:bottom w:w="0" w:type="dxa"/>
            <w:right w:w="108" w:type="dxa"/>
          </w:tblCellMar>
        </w:tblPrEx>
        <w:trPr>
          <w:trHeight w:val="397" w:hRule="atLeast"/>
          <w:tblHeader/>
          <w:jc w:val="center"/>
        </w:trPr>
        <w:tc>
          <w:tcPr>
            <w:tcW w:w="47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89"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867"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65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47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39"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47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867"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免疫次数</w:t>
            </w:r>
          </w:p>
        </w:tc>
        <w:tc>
          <w:tcPr>
            <w:tcW w:w="165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每年对全区重大动物疫病强制免疫次数</w:t>
            </w:r>
          </w:p>
        </w:tc>
        <w:tc>
          <w:tcPr>
            <w:tcW w:w="47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≥2次</w:t>
            </w:r>
          </w:p>
        </w:tc>
        <w:tc>
          <w:tcPr>
            <w:tcW w:w="73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47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867"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免疫率</w:t>
            </w:r>
          </w:p>
        </w:tc>
        <w:tc>
          <w:tcPr>
            <w:tcW w:w="165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畜禽免疫数占全区畜禽数比例</w:t>
            </w:r>
          </w:p>
        </w:tc>
        <w:tc>
          <w:tcPr>
            <w:tcW w:w="47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3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47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867"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处理率</w:t>
            </w:r>
          </w:p>
        </w:tc>
        <w:tc>
          <w:tcPr>
            <w:tcW w:w="165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反映病死动物无害化处理率占病死动物比例</w:t>
            </w:r>
          </w:p>
        </w:tc>
        <w:tc>
          <w:tcPr>
            <w:tcW w:w="47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3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47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867"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抗体合格率</w:t>
            </w:r>
          </w:p>
        </w:tc>
        <w:tc>
          <w:tcPr>
            <w:tcW w:w="165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检测合格数占抽样数比例</w:t>
            </w:r>
          </w:p>
        </w:tc>
        <w:tc>
          <w:tcPr>
            <w:tcW w:w="47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≥70%</w:t>
            </w:r>
          </w:p>
        </w:tc>
        <w:tc>
          <w:tcPr>
            <w:tcW w:w="73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47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867"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65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完成全年重大动物疫病强制免疫工作完成时间</w:t>
            </w:r>
          </w:p>
        </w:tc>
        <w:tc>
          <w:tcPr>
            <w:tcW w:w="47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年底完成</w:t>
            </w:r>
          </w:p>
        </w:tc>
        <w:tc>
          <w:tcPr>
            <w:tcW w:w="73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47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867"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165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反映开展此项工作所需资金</w:t>
            </w:r>
          </w:p>
        </w:tc>
        <w:tc>
          <w:tcPr>
            <w:tcW w:w="47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42.86万元</w:t>
            </w:r>
          </w:p>
        </w:tc>
        <w:tc>
          <w:tcPr>
            <w:tcW w:w="73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廊财农【2021】80号</w:t>
            </w:r>
          </w:p>
        </w:tc>
      </w:tr>
      <w:tr>
        <w:tblPrEx>
          <w:tblCellMar>
            <w:top w:w="0" w:type="dxa"/>
            <w:left w:w="108" w:type="dxa"/>
            <w:bottom w:w="0" w:type="dxa"/>
            <w:right w:w="108" w:type="dxa"/>
          </w:tblCellMar>
        </w:tblPrEx>
        <w:trPr>
          <w:trHeight w:val="369" w:hRule="atLeast"/>
          <w:jc w:val="center"/>
        </w:trPr>
        <w:tc>
          <w:tcPr>
            <w:tcW w:w="47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67"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保障畜牧业稳定发展</w:t>
            </w:r>
          </w:p>
        </w:tc>
        <w:tc>
          <w:tcPr>
            <w:tcW w:w="165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sz w:val="18"/>
                <w:szCs w:val="18"/>
              </w:rPr>
              <w:t>通过开展动物疫病防疫工作，保障畜牧业稳定发展。</w:t>
            </w:r>
          </w:p>
        </w:tc>
        <w:tc>
          <w:tcPr>
            <w:tcW w:w="47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稳定发展</w:t>
            </w:r>
          </w:p>
        </w:tc>
        <w:tc>
          <w:tcPr>
            <w:tcW w:w="73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47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867"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保障不发生区域性疫情</w:t>
            </w:r>
          </w:p>
        </w:tc>
        <w:tc>
          <w:tcPr>
            <w:tcW w:w="165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确保不发生区域性流行疫情。</w:t>
            </w:r>
          </w:p>
        </w:tc>
        <w:tc>
          <w:tcPr>
            <w:tcW w:w="47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不发生疫情</w:t>
            </w:r>
          </w:p>
        </w:tc>
        <w:tc>
          <w:tcPr>
            <w:tcW w:w="73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47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67"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企业满意度</w:t>
            </w:r>
          </w:p>
        </w:tc>
        <w:tc>
          <w:tcPr>
            <w:tcW w:w="165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企业满意数量占总数的比例。</w:t>
            </w:r>
          </w:p>
        </w:tc>
        <w:tc>
          <w:tcPr>
            <w:tcW w:w="47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3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31" w:type="default"/>
          <w:footerReference r:id="rId32"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18" w:name="_Toc_4_4_0000000019"/>
      <w:r>
        <w:rPr>
          <w:rFonts w:hint="eastAsia" w:ascii="仿宋_GB2312" w:hAnsi="仿宋_GB2312" w:eastAsia="仿宋_GB2312" w:cs="仿宋_GB2312"/>
          <w:color w:val="000000"/>
          <w:sz w:val="28"/>
        </w:rPr>
        <w:t>16.动物防疫服务采购项目资金绩效目标表</w:t>
      </w:r>
      <w:bookmarkEnd w:id="18"/>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1.通过委托社会化服务，对口蹄疫、高致病性禽流感、布病、小反刍兽疫、猪瘟、高致病性猪蓝耳病等实行强制免疫。禽流感、口蹄疫、布病、小反刍兽疫不发生区域性流行疫情。</w:t>
            </w:r>
          </w:p>
        </w:tc>
      </w:tr>
    </w:tbl>
    <w:p>
      <w:pPr>
        <w:pStyle w:val="7"/>
        <w:spacing w:line="2" w:lineRule="exact"/>
        <w:jc w:val="center"/>
        <w:rPr>
          <w:rFonts w:hint="eastAsia" w:ascii="仿宋_GB2312" w:hAnsi="仿宋_GB2312" w:eastAsia="仿宋_GB2312" w:cs="仿宋_GB2312"/>
        </w:rPr>
      </w:pPr>
    </w:p>
    <w:tbl>
      <w:tblPr>
        <w:tblStyle w:val="4"/>
        <w:tblW w:w="0" w:type="auto"/>
        <w:jc w:val="center"/>
        <w:tblLayout w:type="autofit"/>
        <w:tblCellMar>
          <w:top w:w="0" w:type="dxa"/>
          <w:left w:w="108" w:type="dxa"/>
          <w:bottom w:w="0" w:type="dxa"/>
          <w:right w:w="108" w:type="dxa"/>
        </w:tblCellMar>
      </w:tblPr>
      <w:tblGrid>
        <w:gridCol w:w="1076"/>
        <w:gridCol w:w="1726"/>
        <w:gridCol w:w="2748"/>
        <w:gridCol w:w="4210"/>
        <w:gridCol w:w="2771"/>
        <w:gridCol w:w="1405"/>
      </w:tblGrid>
      <w:tr>
        <w:tblPrEx>
          <w:tblCellMar>
            <w:top w:w="0" w:type="dxa"/>
            <w:left w:w="108" w:type="dxa"/>
            <w:bottom w:w="0" w:type="dxa"/>
            <w:right w:w="108" w:type="dxa"/>
          </w:tblCellMar>
        </w:tblPrEx>
        <w:trPr>
          <w:trHeight w:val="397" w:hRule="atLeast"/>
          <w:tblHeader/>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免疫次数</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反映开展全年免疫工作次数</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≥2次</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免疫率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反映畜禽免疫数占全区畜禽数比例</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抗体合格率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反映检测合格数占抽样数比例</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≥70%</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完成时间</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完成全年重大动物疫病强制免疫工作时间</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年底完成</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反映开展此项工作所需经费的预算金额</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＝27.18万元</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年初预算</w:t>
            </w:r>
          </w:p>
        </w:tc>
      </w:tr>
      <w:tr>
        <w:tblPrEx>
          <w:tblCellMar>
            <w:top w:w="0" w:type="dxa"/>
            <w:left w:w="108" w:type="dxa"/>
            <w:bottom w:w="0" w:type="dxa"/>
            <w:right w:w="108" w:type="dxa"/>
          </w:tblCellMar>
        </w:tblPrEx>
        <w:trPr>
          <w:trHeight w:val="369"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确保我区不发生区域性流行疫情。</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反映开展动物防疫，确保我区不发生区域性流行疫情。</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确保我区不发生区域性流行疫情。</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确保畜产品安全</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通过开展动物防疫工作，确保畜产品安全。</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确保安全</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企业满意度</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反映企业满意度占调查总数的比例</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33" w:type="default"/>
          <w:footerReference r:id="rId34"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19" w:name="_Toc_4_4_0000000020"/>
      <w:r>
        <w:rPr>
          <w:rFonts w:hint="eastAsia" w:ascii="仿宋_GB2312" w:hAnsi="仿宋_GB2312" w:eastAsia="仿宋_GB2312" w:cs="仿宋_GB2312"/>
          <w:color w:val="000000"/>
          <w:sz w:val="28"/>
        </w:rPr>
        <w:t>17.动物防疫经费绩效目标表</w:t>
      </w:r>
      <w:bookmarkEnd w:id="19"/>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1.按照中央、省、市文件要求，为切实做好重大动物疫病防疫、检疫方面，动物养殖、屠宰环节无害化处理方面等工作。</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药品数量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反映购买消毒药品总数量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≥7.7吨</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合格率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反映购买的消毒药品质量的合格率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完成时间</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反映项目完成时间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9月完成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反映开展项目所需经费</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＝15万元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预算批复</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确保不发生区域性疫情</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通过保障各防疫站正常运转，确保我区不发生区域性流行疫情。</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确保不发生区域性疫情.</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保障食品安全</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通过开展此项工作，保障畜产品安全，维护市场稳定。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保障食品安全</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反映群众满意度占调查总数的比例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35" w:type="default"/>
          <w:footerReference r:id="rId36"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20" w:name="_Toc_4_4_0000000021"/>
      <w:r>
        <w:rPr>
          <w:rFonts w:hint="eastAsia" w:ascii="仿宋_GB2312" w:hAnsi="仿宋_GB2312" w:eastAsia="仿宋_GB2312" w:cs="仿宋_GB2312"/>
          <w:color w:val="000000"/>
          <w:sz w:val="28"/>
        </w:rPr>
        <w:t>18.广阳区产业帮扶项目资金[区级]绩效目标表</w:t>
      </w:r>
      <w:bookmarkEnd w:id="20"/>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1.巩固脱贫攻坚成果期内，我区主要任务是稳定脱贫户增收，防止返贫，实施本项目能有效的保证脱贫户巩固期内的年收入，更好的巩固我区脱贫攻坚成果，进一步提高脱贫户生活质量。</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脱贫户</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反映受益脱贫户数量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≥12户</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工程质量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反映工程完成后达到质量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反映此项工作的完成时间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年底完成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项目成本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反映开展此项目预算金额</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80万元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年初预算</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提升巩固脱贫攻坚成果</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通过实施产业帮扶项目，促进脱贫户增收，进一步巩固脱贫攻坚成果</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保障建档立卡户权益</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通过项目开展，获得收益，保障建档立卡户权益。</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保障权益</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反映脱贫户满意度</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37" w:type="default"/>
          <w:footerReference r:id="rId38" w:type="even"/>
          <w:pgSz w:w="16838" w:h="11906" w:orient="landscape"/>
          <w:pgMar w:top="1304" w:right="1984" w:bottom="1304" w:left="1134" w:header="0" w:footer="720" w:gutter="0"/>
          <w:cols w:space="720" w:num="1"/>
          <w:formProt w:val="0"/>
          <w:docGrid w:linePitch="286" w:charSpace="49152"/>
        </w:sectPr>
      </w:pPr>
    </w:p>
    <w:p>
      <w:pPr>
        <w:pStyle w:val="7"/>
        <w:ind w:firstLine="560"/>
        <w:jc w:val="left"/>
        <w:outlineLvl w:val="3"/>
        <w:rPr>
          <w:rFonts w:hint="eastAsia" w:ascii="仿宋_GB2312" w:hAnsi="仿宋_GB2312" w:eastAsia="仿宋_GB2312" w:cs="仿宋_GB2312"/>
        </w:rPr>
      </w:pPr>
      <w:bookmarkStart w:id="21" w:name="_Toc_4_4_0000000022"/>
      <w:r>
        <w:rPr>
          <w:rFonts w:hint="eastAsia" w:ascii="仿宋_GB2312" w:hAnsi="仿宋_GB2312" w:eastAsia="仿宋_GB2312" w:cs="仿宋_GB2312"/>
          <w:color w:val="000000"/>
          <w:sz w:val="28"/>
        </w:rPr>
        <w:t>19.美丽乡村建设项目经费绩效目标表</w:t>
      </w:r>
      <w:bookmarkEnd w:id="21"/>
    </w:p>
    <w:tbl>
      <w:tblPr>
        <w:tblStyle w:val="4"/>
        <w:tblW w:w="4998" w:type="pct"/>
        <w:jc w:val="center"/>
        <w:tblLayout w:type="autofit"/>
        <w:tblCellMar>
          <w:top w:w="0" w:type="dxa"/>
          <w:left w:w="108" w:type="dxa"/>
          <w:bottom w:w="0" w:type="dxa"/>
          <w:right w:w="108" w:type="dxa"/>
        </w:tblCellMar>
      </w:tblPr>
      <w:tblGrid>
        <w:gridCol w:w="1987"/>
        <w:gridCol w:w="11943"/>
      </w:tblGrid>
      <w:tr>
        <w:tblPrEx>
          <w:tblCellMar>
            <w:top w:w="0" w:type="dxa"/>
            <w:left w:w="108" w:type="dxa"/>
            <w:bottom w:w="0" w:type="dxa"/>
            <w:right w:w="108" w:type="dxa"/>
          </w:tblCellMar>
        </w:tblPrEx>
        <w:trPr>
          <w:trHeight w:val="369" w:hRule="atLeast"/>
          <w:jc w:val="center"/>
        </w:trPr>
        <w:tc>
          <w:tcPr>
            <w:tcW w:w="713"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sz w:val="18"/>
                <w:szCs w:val="18"/>
              </w:rPr>
              <w:t>1.改善部分村庄道路破损严重、路灯不亮、布设混乱、基本无现状绿化等问题。提升广阳区美丽乡村建设水平，改善广阳区农村人居环境，提升群众出行、农村垃圾、污水处理能力，彻底改善村街环境状况，让人民群众过上生态良好、幸福感倍增的美好生活。</w:t>
            </w:r>
          </w:p>
        </w:tc>
      </w:tr>
    </w:tbl>
    <w:p>
      <w:pPr>
        <w:pStyle w:val="7"/>
        <w:spacing w:line="2" w:lineRule="exact"/>
        <w:jc w:val="center"/>
        <w:rPr>
          <w:rFonts w:hint="eastAsia" w:ascii="仿宋_GB2312" w:hAnsi="仿宋_GB2312" w:eastAsia="仿宋_GB2312" w:cs="仿宋_GB2312"/>
        </w:rPr>
      </w:pPr>
    </w:p>
    <w:tbl>
      <w:tblPr>
        <w:tblStyle w:val="4"/>
        <w:tblW w:w="0" w:type="auto"/>
        <w:jc w:val="center"/>
        <w:tblLayout w:type="autofit"/>
        <w:tblCellMar>
          <w:top w:w="0" w:type="dxa"/>
          <w:left w:w="108" w:type="dxa"/>
          <w:bottom w:w="0" w:type="dxa"/>
          <w:right w:w="108" w:type="dxa"/>
        </w:tblCellMar>
      </w:tblPr>
      <w:tblGrid>
        <w:gridCol w:w="1254"/>
        <w:gridCol w:w="2082"/>
        <w:gridCol w:w="1806"/>
        <w:gridCol w:w="5495"/>
        <w:gridCol w:w="1623"/>
        <w:gridCol w:w="1676"/>
      </w:tblGrid>
      <w:tr>
        <w:tblPrEx>
          <w:tblCellMar>
            <w:top w:w="0" w:type="dxa"/>
            <w:left w:w="108" w:type="dxa"/>
            <w:bottom w:w="0" w:type="dxa"/>
            <w:right w:w="108" w:type="dxa"/>
          </w:tblCellMar>
        </w:tblPrEx>
        <w:trPr>
          <w:trHeight w:val="381" w:hRule="atLeast"/>
          <w:tblHeader/>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sz w:val="18"/>
                <w:szCs w:val="18"/>
              </w:rPr>
              <w:t>指标值确定依据</w:t>
            </w:r>
          </w:p>
        </w:tc>
      </w:tr>
      <w:tr>
        <w:tblPrEx>
          <w:tblCellMar>
            <w:top w:w="0" w:type="dxa"/>
            <w:left w:w="108" w:type="dxa"/>
            <w:bottom w:w="0" w:type="dxa"/>
            <w:right w:w="108" w:type="dxa"/>
          </w:tblCellMar>
        </w:tblPrEx>
        <w:trPr>
          <w:trHeight w:val="369"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村街数</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反映受益村街数量</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≥4个</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维修数</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反映维修墙体数量</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≥8000平米</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建设数</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反映道路硬化数量</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≥30496平米</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栽植数</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反映绿化苗木数量</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≥17750株</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建设数</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小游园建设数量</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≥1处</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安装数</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反映安装太阳能路灯数量</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≥50盏</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工程质量</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反映工程完成后达到质量</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反映此项工作的完成时间</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年底完成</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项目成本</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反映开展此项目预算金额</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381万元</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提升群众性福感</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通过开展美丽乡村建设，让群众提升幸福感、获得感。</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农村环境改善</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通过开展美丽乡村建设，逐步完善农村人居环境，提升群众幸福感。</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得到改善</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反映群众满意度比例</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39" w:type="default"/>
          <w:footerReference r:id="rId40"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22" w:name="_Toc_4_4_0000000023"/>
      <w:r>
        <w:rPr>
          <w:rFonts w:hint="eastAsia" w:ascii="仿宋_GB2312" w:hAnsi="仿宋_GB2312" w:eastAsia="仿宋_GB2312" w:cs="仿宋_GB2312"/>
          <w:color w:val="000000"/>
          <w:sz w:val="28"/>
        </w:rPr>
        <w:t>20.农村户厕问题整改及公厕建设项目经费绩效目标表</w:t>
      </w:r>
      <w:bookmarkEnd w:id="22"/>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坚持以人民为中心的发展思想，牢固树立“小厕所、大民生”理念，坚持实事求是、问题导向，全面摸排农村户厕问题，边排查、边整改，立行立改、远近结合、标本兼治，进一步建立健全工作推进机制，分类有序推进农村厕所革命，不断提升农民群众获得感幸福感。建设无害化公厕，进一步解决农村厕所问题。</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整改厕所数量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反映整改问题厕所数量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＝2266座</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建设公厕数量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反映建设公厕数量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＝10座</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验收合格率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反映工程验收合格率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反映此项工作的完成时间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11月底完成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项目成本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反映开展此项目预算金额</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＝197万元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批复</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提升群众获得感、幸福感</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反映通过开展此项工作提升群众获得感和幸福感</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提升和完善环境</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反映通过开展此项工作改善环境</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得到提升和改善</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反映群众满意度比例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41" w:type="default"/>
          <w:footerReference r:id="rId42"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23" w:name="_Toc_4_4_0000000024"/>
      <w:r>
        <w:rPr>
          <w:rFonts w:hint="eastAsia" w:ascii="仿宋_GB2312" w:hAnsi="仿宋_GB2312" w:eastAsia="仿宋_GB2312" w:cs="仿宋_GB2312"/>
          <w:color w:val="000000"/>
          <w:sz w:val="28"/>
        </w:rPr>
        <w:t>21.农村人居环境整治提升项目经费绩效目标表</w:t>
      </w:r>
      <w:bookmarkEnd w:id="23"/>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1.通过项目的实施，有效改善村庄道路破损严重、路灯不亮，村民出行不便的问题。提升群众出行的安全感和舒适感，彻底改善村街环境状况，让人民群众过上生态良好、幸福感倍增的美好生活。</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受益数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反映受益村街数量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≥8个</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建设数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反映道路硬化数量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≥19300平米</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安装数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反映安装太阳能路灯数量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≥130盏</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工程质量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反映工程验收合格率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反映此项工作的完成时间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年底完成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项目成本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反映开展此项目预算金额</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＝312万元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人民生活水平和居住环境</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加快农村基础设施的改善和提升，构建和谐社会。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维护稳定</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提升周边区域的环境质量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提高周边环境质量；推动经济发展；提高居民生活质量。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提升环境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反映群众满意度比例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43" w:type="default"/>
          <w:footerReference r:id="rId44"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24" w:name="_Toc_4_4_0000000025"/>
      <w:r>
        <w:rPr>
          <w:rFonts w:hint="eastAsia" w:ascii="仿宋_GB2312" w:hAnsi="仿宋_GB2312" w:eastAsia="仿宋_GB2312" w:cs="仿宋_GB2312"/>
          <w:color w:val="000000"/>
          <w:sz w:val="28"/>
        </w:rPr>
        <w:t>22.农业生产发展资金[省级]绩效目标表</w:t>
      </w:r>
      <w:bookmarkEnd w:id="24"/>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1.全面贯彻落实中央、省、市文件精神，完成胚胎移植项目。</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胚胎移植数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反映本年度开展胚胎移植数量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450枚</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移植准胎率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反映胚胎移植准胎的比例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≥40%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项目期限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反映项目完成年限</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2年</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反映开展此项工作所需金额</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45万元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廊财农[2021]103号</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提高农业增效、农民增收</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通过胚胎移植项目实施，促进农业增效、农民增收。</w:t>
            </w:r>
          </w:p>
          <w:p>
            <w:pPr>
              <w:pStyle w:val="16"/>
              <w:widowControl/>
              <w:rPr>
                <w:rFonts w:hint="eastAsia" w:ascii="仿宋_GB2312" w:hAnsi="仿宋_GB2312" w:eastAsia="仿宋_GB2312" w:cs="仿宋_GB2312"/>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农业增效、农民增收</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提升奶业振兴</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通过开展胚胎移植项目进一步提升奶业振兴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企业满意度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反映企业满意度占调查总数的比例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45" w:type="default"/>
          <w:footerReference r:id="rId46"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25" w:name="_Toc_4_4_0000000026"/>
      <w:r>
        <w:rPr>
          <w:rFonts w:hint="eastAsia" w:ascii="仿宋_GB2312" w:hAnsi="仿宋_GB2312" w:eastAsia="仿宋_GB2312" w:cs="仿宋_GB2312"/>
          <w:color w:val="000000"/>
          <w:sz w:val="28"/>
        </w:rPr>
        <w:t>23.农业生产发展资金[中央]绩效目标表</w:t>
      </w:r>
      <w:bookmarkEnd w:id="25"/>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1.资金登记使用率达95%以上，补贴各类农机具37（套）以上，受益农户25户以上。农作物耕种收综合机械化率达到97%，农户满意度达到100%，资金兑付率100%。</w:t>
            </w:r>
          </w:p>
        </w:tc>
      </w:tr>
    </w:tbl>
    <w:p>
      <w:pPr>
        <w:pStyle w:val="7"/>
        <w:spacing w:line="2" w:lineRule="exact"/>
        <w:jc w:val="center"/>
        <w:rPr>
          <w:rFonts w:hint="eastAsia" w:ascii="仿宋_GB2312" w:hAnsi="仿宋_GB2312" w:eastAsia="仿宋_GB2312" w:cs="仿宋_GB2312"/>
        </w:rPr>
      </w:pPr>
    </w:p>
    <w:tbl>
      <w:tblPr>
        <w:tblStyle w:val="4"/>
        <w:tblW w:w="4998" w:type="pct"/>
        <w:jc w:val="center"/>
        <w:tblLayout w:type="autofit"/>
        <w:tblCellMar>
          <w:top w:w="0" w:type="dxa"/>
          <w:left w:w="108" w:type="dxa"/>
          <w:bottom w:w="0" w:type="dxa"/>
          <w:right w:w="108" w:type="dxa"/>
        </w:tblCellMar>
      </w:tblPr>
      <w:tblGrid>
        <w:gridCol w:w="1990"/>
        <w:gridCol w:w="1988"/>
        <w:gridCol w:w="1990"/>
        <w:gridCol w:w="3983"/>
        <w:gridCol w:w="1988"/>
        <w:gridCol w:w="1991"/>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9"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补贴机具数</w:t>
            </w:r>
          </w:p>
        </w:tc>
        <w:tc>
          <w:tcPr>
            <w:tcW w:w="142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反映补贴机具数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≥37台</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受益农户数</w:t>
            </w:r>
          </w:p>
        </w:tc>
        <w:tc>
          <w:tcPr>
            <w:tcW w:w="142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反映农机补贴受益农户数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≥25户</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资金登记率</w:t>
            </w:r>
          </w:p>
        </w:tc>
        <w:tc>
          <w:tcPr>
            <w:tcW w:w="142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反映农机补贴年度资金登记率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反映完成工作的时间期限</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11月底</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预算金额</w:t>
            </w:r>
          </w:p>
        </w:tc>
        <w:tc>
          <w:tcPr>
            <w:tcW w:w="142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反映项目开展所需资金成本</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＝75万元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廊财农【2021】79号</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提升农作物耕种收综合机械化率</w:t>
            </w:r>
          </w:p>
        </w:tc>
        <w:tc>
          <w:tcPr>
            <w:tcW w:w="142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反映通过补贴项目开展，提升农作物耕种收综合机械化率的比例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≥97%</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提升农作物耕种收农活效率</w:t>
            </w:r>
          </w:p>
        </w:tc>
        <w:tc>
          <w:tcPr>
            <w:tcW w:w="142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反映通过补贴项目开展，提升农作物耕种收农活效率。</w:t>
            </w:r>
          </w:p>
          <w:p>
            <w:pPr>
              <w:pStyle w:val="16"/>
              <w:widowControl/>
              <w:rPr>
                <w:rFonts w:hint="eastAsia" w:ascii="仿宋_GB2312" w:hAnsi="仿宋_GB2312" w:eastAsia="仿宋_GB2312" w:cs="仿宋_GB2312"/>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提升效率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农户满意度</w:t>
            </w:r>
          </w:p>
        </w:tc>
        <w:tc>
          <w:tcPr>
            <w:tcW w:w="142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农户满意数量占总数的比例。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47" w:type="default"/>
          <w:footerReference r:id="rId48" w:type="even"/>
          <w:pgSz w:w="16838" w:h="11906" w:orient="landscape"/>
          <w:pgMar w:top="1304" w:right="1984" w:bottom="1304" w:left="1134" w:header="0" w:footer="720" w:gutter="0"/>
          <w:cols w:space="720" w:num="1"/>
          <w:formProt w:val="0"/>
          <w:docGrid w:linePitch="286" w:charSpace="49152"/>
        </w:sectPr>
      </w:pPr>
    </w:p>
    <w:p>
      <w:pPr>
        <w:pStyle w:val="7"/>
        <w:ind w:firstLine="560"/>
        <w:jc w:val="left"/>
        <w:outlineLvl w:val="3"/>
        <w:rPr>
          <w:rFonts w:hint="eastAsia" w:ascii="仿宋_GB2312" w:hAnsi="仿宋_GB2312" w:eastAsia="仿宋_GB2312" w:cs="仿宋_GB2312"/>
        </w:rPr>
      </w:pPr>
      <w:bookmarkStart w:id="26" w:name="_Toc_4_4_0000000027"/>
      <w:r>
        <w:rPr>
          <w:rFonts w:hint="eastAsia" w:ascii="仿宋_GB2312" w:hAnsi="仿宋_GB2312" w:eastAsia="仿宋_GB2312" w:cs="仿宋_GB2312"/>
          <w:color w:val="000000"/>
          <w:sz w:val="28"/>
        </w:rPr>
        <w:t>24.强制免疫疫苗经费[区级]绩效目标表</w:t>
      </w:r>
      <w:bookmarkEnd w:id="26"/>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1.发挥动物防疫、监测体系作用，有效降低疫病危害，保障畜牧业健康发展。</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免疫次数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反映开展全年猪瘟和蓝耳病强制免疫工作次数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≥2次</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免疫率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反映猪瘟和蓝耳病强制免疫数占全区畜禽数比例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抗体合格率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反映检测合格数占抽样数比例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≥70%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完成时间</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完成全年猪瘟和蓝耳病强制免疫工作时间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6月底前完成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反映开展此项工作所需经费的预算金额</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＝3.4万元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预算批复</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确保我区不发生区域性流行疫情。</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反映开展猪瘟和蓝耳病强制，确保我区不发生区域性流行疫情。</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确保我区不发生区域性流行疫情。</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保障食品安全</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通过开展此项工作，保障畜产品安全，维护市场稳定。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保障食品安全</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反映群众满意度占调查总数的比例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49" w:type="default"/>
          <w:footerReference r:id="rId50" w:type="even"/>
          <w:pgSz w:w="16838" w:h="11906" w:orient="landscape"/>
          <w:pgMar w:top="1304" w:right="1984" w:bottom="1304" w:left="1134" w:header="0" w:footer="720" w:gutter="0"/>
          <w:cols w:space="720" w:num="1"/>
          <w:formProt w:val="0"/>
          <w:docGrid w:linePitch="286" w:charSpace="49152"/>
        </w:sectPr>
      </w:pPr>
    </w:p>
    <w:p>
      <w:pPr>
        <w:pStyle w:val="7"/>
        <w:ind w:firstLine="560"/>
        <w:jc w:val="left"/>
        <w:outlineLvl w:val="3"/>
        <w:rPr>
          <w:rFonts w:hint="eastAsia" w:ascii="仿宋_GB2312" w:hAnsi="仿宋_GB2312" w:eastAsia="仿宋_GB2312" w:cs="仿宋_GB2312"/>
        </w:rPr>
      </w:pPr>
      <w:bookmarkStart w:id="27" w:name="_Toc_4_4_0000000028"/>
      <w:r>
        <w:rPr>
          <w:rFonts w:hint="eastAsia" w:ascii="仿宋_GB2312" w:hAnsi="仿宋_GB2312" w:eastAsia="仿宋_GB2312" w:cs="仿宋_GB2312"/>
          <w:color w:val="000000"/>
          <w:sz w:val="28"/>
        </w:rPr>
        <w:t>25.人居环境整治项目经费绩效目标表</w:t>
      </w:r>
      <w:bookmarkEnd w:id="27"/>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1.改善广阳区农村人居环境，提升群众出行、农村垃圾、污水处理能力，提升亮化水平。</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安装数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反映安装路灯数。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≥330盏</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维修数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反映维修维护路灯数。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≥180盏</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建设数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反映雨水管网建设数量。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≥800米</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建设数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反映毛支渠清淤数量。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≥1500米</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污水设备数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反映安排生活污水处理设备数量。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≥1座</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垃圾箱数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反映生活垃圾数量。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≥2个</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道路硬化米数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反映道路硬化数量。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≥22110米</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合格率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反映开展项目合格数占总数的比例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反映此项工作的完成时间。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12月底完成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反映开展此项工作所需成本</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53.55万元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批复</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人民生活水平和居住环境</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加快农村基础设施的改善和提升，构建和谐社会。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维护稳定</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提升周边区域的环境质量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提高周边环境质量；推动经济发展；提高居民生活质量。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提升环境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反映村民满意度比例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51" w:type="default"/>
          <w:footerReference r:id="rId52"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28" w:name="_Toc_4_4_0000000029"/>
      <w:r>
        <w:rPr>
          <w:rFonts w:hint="eastAsia" w:ascii="仿宋_GB2312" w:hAnsi="仿宋_GB2312" w:eastAsia="仿宋_GB2312" w:cs="仿宋_GB2312"/>
          <w:color w:val="000000"/>
          <w:sz w:val="28"/>
        </w:rPr>
        <w:t>26.土地指标跨省域调剂收入安排的</w:t>
      </w:r>
      <w:bookmarkEnd w:id="28"/>
      <w:bookmarkStart w:id="29" w:name="_Toc_4_4_0000000030"/>
      <w:r>
        <w:rPr>
          <w:rFonts w:hint="eastAsia" w:ascii="仿宋_GB2312" w:hAnsi="仿宋_GB2312" w:eastAsia="仿宋_GB2312" w:cs="仿宋_GB2312"/>
          <w:color w:val="000000"/>
          <w:sz w:val="28"/>
        </w:rPr>
        <w:t>支出资金[中央]绩效目标表</w:t>
      </w:r>
      <w:bookmarkEnd w:id="29"/>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坚持以人民为中心的发展思想，牢固树立“小厕所、大民生”理念，坚持实事求是、问题导向，全面摸排农村户厕问题，边排查、边整改，立行立改、远近结合、标本兼治，进一步建立健全工作推进机制，分类有序推进农村厕所革命，不断提升农民群众获得感幸福感。</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364"/>
        <w:gridCol w:w="2616"/>
        <w:gridCol w:w="4295"/>
        <w:gridCol w:w="1676"/>
        <w:gridCol w:w="1991"/>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489"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93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540"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01"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4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93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粪污收集点数量</w:t>
            </w:r>
          </w:p>
        </w:tc>
        <w:tc>
          <w:tcPr>
            <w:tcW w:w="1540"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反映建设粪污收集点数量</w:t>
            </w:r>
          </w:p>
        </w:tc>
        <w:tc>
          <w:tcPr>
            <w:tcW w:w="601"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≥15个</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4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93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农村改厕数据库</w:t>
            </w:r>
          </w:p>
        </w:tc>
        <w:tc>
          <w:tcPr>
            <w:tcW w:w="1540"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农村改厕数据库</w:t>
            </w:r>
          </w:p>
        </w:tc>
        <w:tc>
          <w:tcPr>
            <w:tcW w:w="601"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基本建成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4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93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资金执行率</w:t>
            </w:r>
          </w:p>
        </w:tc>
        <w:tc>
          <w:tcPr>
            <w:tcW w:w="1540"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截至 2022 年底，年度土地指标跨省域调剂收入安排的支出（支持农村厕所革命整村推进财政奖补）资金执行率</w:t>
            </w:r>
          </w:p>
        </w:tc>
        <w:tc>
          <w:tcPr>
            <w:tcW w:w="601"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4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93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项目成本</w:t>
            </w:r>
          </w:p>
        </w:tc>
        <w:tc>
          <w:tcPr>
            <w:tcW w:w="1540"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反映开展此项目预算金额</w:t>
            </w:r>
          </w:p>
        </w:tc>
        <w:tc>
          <w:tcPr>
            <w:tcW w:w="601"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＝110万元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廊财农【2021】82号</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4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93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奖补资金使用重大违规违纪问题</w:t>
            </w:r>
          </w:p>
        </w:tc>
        <w:tc>
          <w:tcPr>
            <w:tcW w:w="1540"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反映奖补资金使用有无重大违规违纪问题</w:t>
            </w:r>
          </w:p>
        </w:tc>
        <w:tc>
          <w:tcPr>
            <w:tcW w:w="601"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无</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4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93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当年完成农村厕所革命整村推进行政村的厕所粪污无害化处理率</w:t>
            </w:r>
          </w:p>
        </w:tc>
        <w:tc>
          <w:tcPr>
            <w:tcW w:w="1540"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通过开展项目建设，逐步完善农村人居环境，提升群众幸福感。</w:t>
            </w:r>
          </w:p>
        </w:tc>
        <w:tc>
          <w:tcPr>
            <w:tcW w:w="601"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≥85%</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4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93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当年完成农村厕所革命整村推进行政村的长效管护机制</w:t>
            </w:r>
          </w:p>
        </w:tc>
        <w:tc>
          <w:tcPr>
            <w:tcW w:w="1540"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反映当年完成农村厕所革命整村推进行政村的长效管护机制</w:t>
            </w:r>
          </w:p>
        </w:tc>
        <w:tc>
          <w:tcPr>
            <w:tcW w:w="601"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初步建立</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4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93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540"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反映村民满意度</w:t>
            </w:r>
          </w:p>
        </w:tc>
        <w:tc>
          <w:tcPr>
            <w:tcW w:w="601"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53" w:type="default"/>
          <w:footerReference r:id="rId54" w:type="even"/>
          <w:pgSz w:w="16838" w:h="11906" w:orient="landscape"/>
          <w:pgMar w:top="1304" w:right="1984" w:bottom="1304" w:left="1134" w:header="0" w:footer="720" w:gutter="0"/>
          <w:cols w:space="720" w:num="1"/>
          <w:formProt w:val="0"/>
          <w:docGrid w:linePitch="286" w:charSpace="49152"/>
        </w:sectPr>
      </w:pPr>
    </w:p>
    <w:p>
      <w:pPr>
        <w:pStyle w:val="7"/>
        <w:ind w:firstLine="560"/>
        <w:jc w:val="left"/>
        <w:outlineLvl w:val="3"/>
        <w:rPr>
          <w:rFonts w:hint="eastAsia" w:ascii="仿宋_GB2312" w:hAnsi="仿宋_GB2312" w:eastAsia="仿宋_GB2312" w:cs="仿宋_GB2312"/>
        </w:rPr>
      </w:pPr>
      <w:bookmarkStart w:id="30" w:name="_Toc_4_4_0000000031"/>
      <w:r>
        <w:rPr>
          <w:rFonts w:hint="eastAsia" w:ascii="仿宋_GB2312" w:hAnsi="仿宋_GB2312" w:eastAsia="仿宋_GB2312" w:cs="仿宋_GB2312"/>
          <w:color w:val="000000"/>
          <w:sz w:val="28"/>
        </w:rPr>
        <w:t>27.无害化处理补助经费[区级]绩效目标表</w:t>
      </w:r>
      <w:bookmarkEnd w:id="30"/>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1.做好全区养殖环节和屠宰环节病死动物无害化处理工作，加强日常防疫监管，确保我区不发生动物疫情，确保肉产品的食品安全。</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反映完成无害化处理数量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≥2000头</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处理率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反映动物无害化处理率占病死动物比例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反映发现并快速处理养殖环节和屠宰环节的及时性</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年底完成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反映支付养殖环节和屠宰环节病死猪无害化处理补贴的总金额。</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＝25万元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预算批复</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维护市场稳定</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反映为了开展养殖环节和屠宰环节病死猪无害化处理工作，不发生区域性疫情。</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不发生区域性疫情</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保障食品安全</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通过开展此项工作，保障畜产品安全，维护市场稳定。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保障食品安全</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企业满意度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企业满意数量占总数的比例。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55" w:type="default"/>
          <w:footerReference r:id="rId56" w:type="even"/>
          <w:pgSz w:w="16838" w:h="11906" w:orient="landscape"/>
          <w:pgMar w:top="1304" w:right="1984" w:bottom="1304" w:left="1134" w:header="0" w:footer="720" w:gutter="0"/>
          <w:cols w:space="720" w:num="1"/>
          <w:formProt w:val="0"/>
          <w:docGrid w:linePitch="286" w:charSpace="49152"/>
        </w:sectPr>
      </w:pPr>
    </w:p>
    <w:p>
      <w:pPr>
        <w:pStyle w:val="7"/>
        <w:ind w:firstLine="560"/>
        <w:jc w:val="left"/>
        <w:outlineLvl w:val="3"/>
        <w:rPr>
          <w:rFonts w:hint="eastAsia" w:ascii="仿宋_GB2312" w:hAnsi="仿宋_GB2312" w:eastAsia="仿宋_GB2312" w:cs="仿宋_GB2312"/>
        </w:rPr>
      </w:pPr>
      <w:bookmarkStart w:id="31" w:name="_Toc_4_4_0000000032"/>
      <w:r>
        <w:rPr>
          <w:rFonts w:hint="eastAsia" w:ascii="仿宋_GB2312" w:hAnsi="仿宋_GB2312" w:eastAsia="仿宋_GB2312" w:cs="仿宋_GB2312"/>
          <w:color w:val="000000"/>
          <w:sz w:val="28"/>
        </w:rPr>
        <w:t>28.乡村振兴（农村人居环境整治）专项资金[省级]绩效目标表</w:t>
      </w:r>
      <w:bookmarkEnd w:id="31"/>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1.提升广阳区美丽乡村建设水平，改善广阳区农村人居环境，提升群众出行、农村垃圾、污水处理能力，彻底改善村街环境状况，让人民群众过上生态良好、幸福感倍增的美好生活。</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村街数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反映受益村街数量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≥1个</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健身广场</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反映健身广场完善数量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≥1个</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太阳能路灯</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反映安装太阳能路灯数量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≥20盏</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工程质量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反映工程完成后达到质量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反映此项工作的完成时间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12月底完成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项目成本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反映开展此项目预算金额</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＝70万元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廊财农【2021】104号</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提升群众幸福感</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通过开展美丽乡村建设，让群众提升幸福感、获得感。</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改善农村环境</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通过开展美丽乡村建设，逐步完善农村人居环境，提升群众幸福感。</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得到改善</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反映村民满意度</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57" w:type="default"/>
          <w:footerReference r:id="rId58" w:type="even"/>
          <w:pgSz w:w="16838" w:h="11906" w:orient="landscape"/>
          <w:pgMar w:top="1304" w:right="1984" w:bottom="1304" w:left="1134" w:header="0" w:footer="720" w:gutter="0"/>
          <w:cols w:space="720" w:num="1"/>
          <w:formProt w:val="0"/>
          <w:docGrid w:linePitch="286" w:charSpace="49152"/>
        </w:sectPr>
      </w:pPr>
    </w:p>
    <w:p>
      <w:pPr>
        <w:pStyle w:val="7"/>
        <w:ind w:firstLine="560"/>
        <w:jc w:val="left"/>
        <w:outlineLvl w:val="3"/>
        <w:rPr>
          <w:rFonts w:hint="eastAsia" w:ascii="仿宋_GB2312" w:hAnsi="仿宋_GB2312" w:eastAsia="仿宋_GB2312" w:cs="仿宋_GB2312"/>
        </w:rPr>
      </w:pPr>
      <w:bookmarkStart w:id="32" w:name="_Toc_4_4_0000000033"/>
      <w:r>
        <w:rPr>
          <w:rFonts w:hint="eastAsia" w:ascii="仿宋_GB2312" w:hAnsi="仿宋_GB2312" w:eastAsia="仿宋_GB2312" w:cs="仿宋_GB2312"/>
          <w:color w:val="000000"/>
          <w:sz w:val="28"/>
        </w:rPr>
        <w:t>29.乡村振兴（农村人居环境整治）专项资金[省级]绩效目标表</w:t>
      </w:r>
      <w:bookmarkEnd w:id="32"/>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1.按照省、市“厕所革命”文件精神及广阳区农村“厕所革命”工作安排，统筹省级与本级资金完成10座无害化公厕建设。</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收益镇数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反映受益镇数量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≥3个</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公厕数量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反映实际完成公厕个数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≥10座</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工程质量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反映工程完成后达到质量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反映完成此项工作的截止时间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年底完成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项目成本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反映开展此项目预算金额</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＝41万元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廊财农【2021】102号</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提升群众幸福感</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让群众提升幸福感、获得感。</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改善农村环境</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通过开展项目建设，逐步完善农村人居环境，提升群众幸福感。</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得到改善</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反映村民满意度</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59" w:type="default"/>
          <w:footerReference r:id="rId60"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33" w:name="_Toc_4_4_0000000034"/>
      <w:r>
        <w:rPr>
          <w:rFonts w:hint="eastAsia" w:ascii="仿宋_GB2312" w:hAnsi="仿宋_GB2312" w:eastAsia="仿宋_GB2312" w:cs="仿宋_GB2312"/>
          <w:color w:val="000000"/>
          <w:sz w:val="28"/>
        </w:rPr>
        <w:t>30.原畜牧局自收自支人员经费绩效目标表</w:t>
      </w:r>
      <w:bookmarkEnd w:id="33"/>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1.主要用于发放自收自支人员工资和社会保险，保障自收自支人员福利待遇。</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发放人数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反映自收自支人员数量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16人</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实际人数</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发放次数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反映全年发放工资和缴纳社保次数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＝12次</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及时率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反映支付工资及时率。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反映此项工作的完成时间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年底完成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预算金额</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反映开展此项工作预算总金额</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＝60万元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预算批复</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保障工资福利发放，维护社会稳定</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反映开展此项工作对社会的影响力</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维持稳定</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妥善解决自收自支人员工资福利问题。</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通过开展此项工作妥善解决自收自支人员工资福利问题。</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妥善解决</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自收自支满意度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反映自收自支人员满意度占调查总数的比例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pStyle w:val="6"/>
        <w:ind w:firstLine="560" w:firstLineChars="200"/>
        <w:jc w:val="left"/>
        <w:outlineLvl w:val="3"/>
        <w:rPr>
          <w:rFonts w:ascii="方正仿宋_GBK" w:hAnsi="方正仿宋_GBK" w:eastAsia="方正仿宋_GBK"/>
          <w:b/>
          <w:sz w:val="28"/>
        </w:rPr>
      </w:pPr>
    </w:p>
    <w:p>
      <w:pPr>
        <w:pStyle w:val="6"/>
        <w:autoSpaceDE w:val="0"/>
        <w:autoSpaceDN w:val="0"/>
        <w:spacing w:line="584" w:lineRule="exact"/>
        <w:ind w:firstLine="640" w:firstLineChars="200"/>
        <w:jc w:val="left"/>
        <w:rPr>
          <w:rFonts w:eastAsia="黑体"/>
          <w:sz w:val="32"/>
          <w:szCs w:val="32"/>
        </w:rPr>
      </w:pPr>
    </w:p>
    <w:p>
      <w:pPr>
        <w:pStyle w:val="6"/>
        <w:autoSpaceDE w:val="0"/>
        <w:autoSpaceDN w:val="0"/>
        <w:spacing w:line="584" w:lineRule="exact"/>
        <w:ind w:firstLine="640" w:firstLineChars="200"/>
        <w:jc w:val="left"/>
        <w:rPr>
          <w:rFonts w:eastAsia="黑体"/>
          <w:sz w:val="32"/>
          <w:szCs w:val="32"/>
        </w:rPr>
      </w:pPr>
    </w:p>
    <w:p>
      <w:pPr>
        <w:pStyle w:val="6"/>
        <w:autoSpaceDE w:val="0"/>
        <w:autoSpaceDN w:val="0"/>
        <w:spacing w:line="584" w:lineRule="exact"/>
        <w:ind w:firstLine="640" w:firstLineChars="200"/>
        <w:jc w:val="left"/>
        <w:rPr>
          <w:rFonts w:eastAsia="黑体"/>
          <w:sz w:val="32"/>
          <w:szCs w:val="32"/>
        </w:rPr>
      </w:pPr>
    </w:p>
    <w:p>
      <w:pPr>
        <w:pStyle w:val="6"/>
        <w:autoSpaceDE w:val="0"/>
        <w:autoSpaceDN w:val="0"/>
        <w:spacing w:line="584" w:lineRule="exact"/>
        <w:ind w:firstLine="640" w:firstLineChars="200"/>
        <w:jc w:val="left"/>
        <w:rPr>
          <w:rFonts w:eastAsia="黑体"/>
          <w:sz w:val="32"/>
          <w:szCs w:val="32"/>
        </w:rPr>
      </w:pPr>
    </w:p>
    <w:p>
      <w:pPr>
        <w:pStyle w:val="6"/>
        <w:autoSpaceDE w:val="0"/>
        <w:autoSpaceDN w:val="0"/>
        <w:spacing w:line="584" w:lineRule="exact"/>
        <w:ind w:firstLine="640" w:firstLineChars="200"/>
        <w:jc w:val="left"/>
        <w:rPr>
          <w:rFonts w:eastAsia="黑体"/>
          <w:sz w:val="32"/>
          <w:szCs w:val="32"/>
        </w:rPr>
      </w:pPr>
    </w:p>
    <w:p>
      <w:pPr>
        <w:pStyle w:val="6"/>
        <w:autoSpaceDE w:val="0"/>
        <w:autoSpaceDN w:val="0"/>
        <w:spacing w:line="584" w:lineRule="exact"/>
        <w:ind w:firstLine="640" w:firstLineChars="200"/>
        <w:jc w:val="left"/>
        <w:rPr>
          <w:rFonts w:eastAsia="黑体"/>
          <w:sz w:val="32"/>
          <w:szCs w:val="32"/>
        </w:rPr>
      </w:pPr>
      <w:r>
        <w:rPr>
          <w:rFonts w:eastAsia="黑体"/>
          <w:sz w:val="32"/>
          <w:szCs w:val="32"/>
        </w:rPr>
        <w:t>六、政府采购预算情况</w:t>
      </w:r>
    </w:p>
    <w:p>
      <w:pPr>
        <w:pStyle w:val="6"/>
        <w:spacing w:line="584" w:lineRule="exact"/>
        <w:ind w:firstLine="640" w:firstLineChars="200"/>
        <w:outlineLvl w:val="0"/>
        <w:rPr>
          <w:rFonts w:eastAsia="仿宋_GB2312"/>
          <w:sz w:val="32"/>
          <w:szCs w:val="24"/>
        </w:rPr>
      </w:pPr>
      <w:r>
        <w:rPr>
          <w:rFonts w:eastAsia="仿宋_GB2312"/>
          <w:sz w:val="32"/>
          <w:szCs w:val="24"/>
        </w:rPr>
        <w:t>2022年，我部门安排政府采购预算1156万元。具体内容见下表。</w:t>
      </w:r>
      <w:bookmarkStart w:id="34" w:name="_Toc4713984681"/>
      <w:bookmarkEnd w:id="34"/>
    </w:p>
    <w:p>
      <w:pPr>
        <w:pStyle w:val="6"/>
        <w:spacing w:line="584" w:lineRule="exact"/>
        <w:jc w:val="center"/>
        <w:outlineLvl w:val="0"/>
        <w:rPr>
          <w:rFonts w:eastAsia="仿宋_GB2312"/>
          <w:sz w:val="32"/>
        </w:rPr>
      </w:pPr>
      <w:bookmarkStart w:id="35" w:name="_Toc5044891531"/>
      <w:r>
        <w:rPr>
          <w:rFonts w:eastAsia="仿宋_GB2312"/>
          <w:sz w:val="32"/>
        </w:rPr>
        <w:t>部门政府采购预算</w:t>
      </w:r>
      <w:bookmarkEnd w:id="35"/>
    </w:p>
    <w:tbl>
      <w:tblPr>
        <w:tblStyle w:val="4"/>
        <w:tblW w:w="0" w:type="auto"/>
        <w:jc w:val="center"/>
        <w:tblLayout w:type="autofit"/>
        <w:tblCellMar>
          <w:top w:w="0" w:type="dxa"/>
          <w:left w:w="108" w:type="dxa"/>
          <w:bottom w:w="0" w:type="dxa"/>
          <w:right w:w="108" w:type="dxa"/>
        </w:tblCellMar>
      </w:tblPr>
      <w:tblGrid>
        <w:gridCol w:w="3259"/>
        <w:gridCol w:w="694"/>
        <w:gridCol w:w="900"/>
        <w:gridCol w:w="1099"/>
        <w:gridCol w:w="761"/>
        <w:gridCol w:w="532"/>
        <w:gridCol w:w="575"/>
        <w:gridCol w:w="620"/>
        <w:gridCol w:w="1263"/>
        <w:gridCol w:w="1034"/>
        <w:gridCol w:w="1219"/>
        <w:gridCol w:w="990"/>
        <w:gridCol w:w="990"/>
      </w:tblGrid>
      <w:tr>
        <w:tblPrEx>
          <w:tblCellMar>
            <w:top w:w="0" w:type="dxa"/>
            <w:left w:w="108" w:type="dxa"/>
            <w:bottom w:w="0" w:type="dxa"/>
            <w:right w:w="108" w:type="dxa"/>
          </w:tblCellMar>
        </w:tblPrEx>
        <w:trPr>
          <w:tblHeader/>
          <w:jc w:val="center"/>
        </w:trPr>
        <w:tc>
          <w:tcPr>
            <w:tcW w:w="0" w:type="auto"/>
            <w:gridSpan w:val="7"/>
            <w:tcBorders>
              <w:top w:val="single" w:color="FFFFFF" w:sz="6" w:space="0"/>
              <w:left w:val="single" w:color="FFFFFF" w:sz="6" w:space="0"/>
              <w:bottom w:val="single" w:color="000000" w:sz="6" w:space="0"/>
              <w:right w:val="single" w:color="FFFFFF" w:sz="6" w:space="0"/>
            </w:tcBorders>
            <w:shd w:val="clear" w:color="auto" w:fill="auto"/>
            <w:vAlign w:val="center"/>
          </w:tcPr>
          <w:p>
            <w:pPr>
              <w:pStyle w:val="6"/>
              <w:spacing w:line="584" w:lineRule="exact"/>
              <w:jc w:val="left"/>
              <w:rPr>
                <w:rFonts w:ascii="仿宋" w:hAnsi="仿宋" w:eastAsia="仿宋"/>
                <w:sz w:val="24"/>
              </w:rPr>
            </w:pPr>
            <w:r>
              <w:rPr>
                <w:rFonts w:ascii="仿宋" w:hAnsi="仿宋" w:eastAsia="仿宋"/>
                <w:sz w:val="24"/>
              </w:rPr>
              <w:t>655002廊坊市广阳区农业农村局</w:t>
            </w:r>
          </w:p>
        </w:tc>
        <w:tc>
          <w:tcPr>
            <w:tcW w:w="0" w:type="auto"/>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pStyle w:val="6"/>
              <w:spacing w:line="584" w:lineRule="exact"/>
              <w:jc w:val="right"/>
              <w:rPr>
                <w:rFonts w:ascii="仿宋" w:hAnsi="仿宋" w:eastAsia="仿宋"/>
                <w:sz w:val="24"/>
              </w:rPr>
            </w:pPr>
            <w:r>
              <w:rPr>
                <w:rFonts w:ascii="仿宋" w:hAnsi="仿宋" w:eastAsia="仿宋"/>
                <w:sz w:val="24"/>
              </w:rPr>
              <w:t>单位：万元</w:t>
            </w:r>
          </w:p>
        </w:tc>
      </w:tr>
      <w:tr>
        <w:tblPrEx>
          <w:tblCellMar>
            <w:top w:w="0" w:type="dxa"/>
            <w:left w:w="108" w:type="dxa"/>
            <w:bottom w:w="0" w:type="dxa"/>
            <w:right w:w="108" w:type="dxa"/>
          </w:tblCellMar>
        </w:tblPrEx>
        <w:trPr>
          <w:tblHeader/>
          <w:jc w:val="center"/>
        </w:trPr>
        <w:tc>
          <w:tcPr>
            <w:tcW w:w="395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r>
              <w:rPr>
                <w:rFonts w:hint="eastAsia" w:ascii="宋体" w:hAnsi="宋体" w:cs="宋体"/>
                <w:b/>
              </w:rPr>
              <w:t>政府采购项目来源</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center"/>
              <w:rPr>
                <w:rFonts w:ascii="宋体" w:hAnsi="宋体" w:cs="宋体"/>
                <w:b/>
              </w:rPr>
            </w:pPr>
            <w:r>
              <w:rPr>
                <w:rFonts w:hint="eastAsia" w:ascii="宋体" w:hAnsi="宋体" w:cs="宋体"/>
                <w:b/>
              </w:rPr>
              <w:t>采购物品名称</w:t>
            </w:r>
          </w:p>
        </w:tc>
        <w:tc>
          <w:tcPr>
            <w:tcW w:w="109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center"/>
              <w:rPr>
                <w:rFonts w:ascii="宋体" w:hAnsi="宋体" w:cs="宋体"/>
                <w:b/>
              </w:rPr>
            </w:pPr>
            <w:r>
              <w:rPr>
                <w:rFonts w:hint="eastAsia" w:ascii="宋体" w:hAnsi="宋体" w:cs="宋体"/>
                <w:b/>
              </w:rPr>
              <w:t>政府采购目录序号</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center"/>
              <w:rPr>
                <w:rFonts w:ascii="宋体" w:hAnsi="宋体" w:cs="宋体"/>
                <w:b/>
              </w:rPr>
            </w:pPr>
            <w:r>
              <w:rPr>
                <w:rFonts w:hint="eastAsia" w:ascii="宋体" w:hAnsi="宋体" w:cs="宋体"/>
                <w:b/>
              </w:rPr>
              <w:t>计量单位</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center"/>
              <w:rPr>
                <w:rFonts w:ascii="宋体" w:hAnsi="宋体" w:cs="宋体"/>
                <w:b/>
              </w:rPr>
            </w:pPr>
            <w:r>
              <w:rPr>
                <w:rFonts w:hint="eastAsia" w:ascii="宋体" w:hAnsi="宋体" w:cs="宋体"/>
                <w:b/>
              </w:rPr>
              <w:t>数量</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center"/>
              <w:rPr>
                <w:rFonts w:ascii="宋体" w:hAnsi="宋体" w:cs="宋体"/>
                <w:b/>
              </w:rPr>
            </w:pPr>
            <w:r>
              <w:rPr>
                <w:rFonts w:hint="eastAsia" w:ascii="宋体" w:hAnsi="宋体" w:cs="宋体"/>
                <w:b/>
              </w:rPr>
              <w:t>单价</w:t>
            </w:r>
          </w:p>
        </w:tc>
        <w:tc>
          <w:tcPr>
            <w:tcW w:w="0" w:type="auto"/>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center"/>
              <w:rPr>
                <w:rFonts w:ascii="宋体" w:hAnsi="宋体" w:cs="宋体"/>
                <w:b/>
              </w:rPr>
            </w:pPr>
            <w:r>
              <w:rPr>
                <w:rFonts w:hint="eastAsia" w:ascii="宋体" w:hAnsi="宋体" w:cs="宋体"/>
                <w:b/>
              </w:rPr>
              <w:t>政府采购金额（当年部门预算安排资金）</w:t>
            </w:r>
          </w:p>
        </w:tc>
      </w:tr>
      <w:tr>
        <w:tblPrEx>
          <w:tblCellMar>
            <w:top w:w="0" w:type="dxa"/>
            <w:left w:w="108" w:type="dxa"/>
            <w:bottom w:w="0" w:type="dxa"/>
            <w:right w:w="108" w:type="dxa"/>
          </w:tblCellMar>
        </w:tblPrEx>
        <w:trPr>
          <w:tblHeader/>
          <w:jc w:val="center"/>
        </w:trPr>
        <w:tc>
          <w:tcPr>
            <w:tcW w:w="32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outlineLvl w:val="0"/>
              <w:rPr>
                <w:rFonts w:ascii="宋体" w:hAnsi="宋体" w:cs="宋体"/>
                <w:b/>
              </w:rPr>
            </w:pPr>
            <w:r>
              <w:rPr>
                <w:rFonts w:hint="eastAsia" w:ascii="宋体" w:hAnsi="宋体" w:cs="宋体"/>
                <w:b/>
              </w:rPr>
              <w:t>项目名称</w:t>
            </w:r>
          </w:p>
        </w:tc>
        <w:tc>
          <w:tcPr>
            <w:tcW w:w="6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0" w:lineRule="exact"/>
              <w:jc w:val="left"/>
              <w:rPr>
                <w:rFonts w:ascii="宋体" w:hAnsi="宋体" w:cs="宋体"/>
                <w:b/>
              </w:rPr>
            </w:pPr>
            <w:r>
              <w:rPr>
                <w:rFonts w:hint="eastAsia" w:ascii="宋体" w:hAnsi="宋体" w:cs="宋体"/>
                <w:b/>
              </w:rPr>
              <w:t>预算</w:t>
            </w:r>
          </w:p>
          <w:p>
            <w:pPr>
              <w:pStyle w:val="6"/>
              <w:spacing w:line="584" w:lineRule="exact"/>
              <w:jc w:val="left"/>
              <w:outlineLvl w:val="0"/>
              <w:rPr>
                <w:rFonts w:ascii="宋体" w:hAnsi="宋体" w:cs="宋体"/>
                <w:b/>
              </w:rPr>
            </w:pPr>
            <w:r>
              <w:rPr>
                <w:rFonts w:hint="eastAsia" w:ascii="宋体" w:hAnsi="宋体" w:cs="宋体"/>
                <w:b/>
              </w:rPr>
              <w:t>资金</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left"/>
              <w:outlineLvl w:val="0"/>
              <w:rPr>
                <w:rFonts w:ascii="宋体" w:hAnsi="宋体" w:cs="宋体"/>
              </w:rPr>
            </w:pPr>
          </w:p>
        </w:tc>
        <w:tc>
          <w:tcPr>
            <w:tcW w:w="109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left"/>
              <w:outlineLvl w:val="0"/>
              <w:rPr>
                <w:rFonts w:ascii="宋体" w:hAnsi="宋体" w:cs="宋体"/>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left"/>
              <w:outlineLvl w:val="0"/>
              <w:rPr>
                <w:rFonts w:ascii="宋体" w:hAnsi="宋体" w:cs="宋体"/>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left"/>
              <w:outlineLvl w:val="0"/>
              <w:rPr>
                <w:rFonts w:ascii="宋体" w:hAnsi="宋体" w:cs="宋体"/>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left"/>
              <w:outlineLvl w:val="0"/>
              <w:rPr>
                <w:rFonts w:ascii="宋体" w:hAnsi="宋体" w:cs="宋体"/>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center"/>
              <w:rPr>
                <w:rFonts w:ascii="宋体" w:hAnsi="宋体" w:cs="宋体"/>
                <w:b/>
              </w:rPr>
            </w:pPr>
            <w:r>
              <w:rPr>
                <w:rFonts w:hint="eastAsia" w:ascii="宋体" w:hAnsi="宋体" w:cs="宋体"/>
                <w:b/>
              </w:rPr>
              <w:t>合计</w:t>
            </w:r>
          </w:p>
        </w:tc>
        <w:tc>
          <w:tcPr>
            <w:tcW w:w="0" w:type="auto"/>
            <w:tcBorders>
              <w:left w:val="single" w:color="000000" w:sz="6" w:space="0"/>
              <w:bottom w:val="single" w:color="000000" w:sz="6" w:space="0"/>
              <w:right w:val="single" w:color="000000" w:sz="6" w:space="0"/>
            </w:tcBorders>
            <w:shd w:val="clear" w:color="auto" w:fill="auto"/>
            <w:vAlign w:val="center"/>
          </w:tcPr>
          <w:p>
            <w:pPr>
              <w:pStyle w:val="6"/>
              <w:spacing w:line="304" w:lineRule="exact"/>
              <w:jc w:val="center"/>
              <w:rPr>
                <w:rFonts w:ascii="宋体" w:hAnsi="宋体" w:cs="宋体"/>
                <w:b/>
              </w:rPr>
            </w:pPr>
            <w:r>
              <w:rPr>
                <w:rFonts w:hint="eastAsia" w:ascii="宋体" w:hAnsi="宋体" w:cs="宋体"/>
                <w:b/>
              </w:rPr>
              <w:t>一般公共预算拨款</w:t>
            </w:r>
          </w:p>
        </w:tc>
        <w:tc>
          <w:tcPr>
            <w:tcW w:w="0" w:type="auto"/>
            <w:tcBorders>
              <w:left w:val="single" w:color="000000" w:sz="6" w:space="0"/>
              <w:bottom w:val="single" w:color="000000" w:sz="6" w:space="0"/>
              <w:right w:val="single" w:color="000000" w:sz="4" w:space="0"/>
            </w:tcBorders>
            <w:shd w:val="clear" w:color="auto" w:fill="auto"/>
            <w:vAlign w:val="center"/>
          </w:tcPr>
          <w:p>
            <w:pPr>
              <w:pStyle w:val="6"/>
              <w:spacing w:line="304" w:lineRule="exact"/>
              <w:jc w:val="center"/>
              <w:rPr>
                <w:rFonts w:ascii="宋体" w:hAnsi="宋体" w:cs="宋体"/>
                <w:b/>
              </w:rPr>
            </w:pPr>
            <w:r>
              <w:rPr>
                <w:rFonts w:hint="eastAsia" w:ascii="宋体" w:hAnsi="宋体" w:cs="宋体"/>
                <w:b/>
              </w:rPr>
              <w:t>基金预算拨款</w:t>
            </w:r>
          </w:p>
        </w:tc>
        <w:tc>
          <w:tcPr>
            <w:tcW w:w="1219" w:type="dxa"/>
            <w:tcBorders>
              <w:left w:val="single" w:color="000000" w:sz="4" w:space="0"/>
              <w:bottom w:val="single" w:color="000000" w:sz="6" w:space="0"/>
              <w:right w:val="single" w:color="000000" w:sz="4" w:space="0"/>
            </w:tcBorders>
            <w:shd w:val="clear" w:color="auto" w:fill="auto"/>
            <w:vAlign w:val="center"/>
          </w:tcPr>
          <w:p>
            <w:pPr>
              <w:pStyle w:val="6"/>
              <w:spacing w:line="304" w:lineRule="exact"/>
              <w:jc w:val="center"/>
              <w:rPr>
                <w:rFonts w:ascii="宋体" w:hAnsi="宋体" w:cs="宋体"/>
                <w:b/>
              </w:rPr>
            </w:pPr>
            <w:r>
              <w:rPr>
                <w:rFonts w:hint="eastAsia" w:ascii="宋体" w:hAnsi="宋体" w:cs="宋体"/>
                <w:b/>
              </w:rPr>
              <w:t>国有资本经营预算</w:t>
            </w:r>
          </w:p>
        </w:tc>
        <w:tc>
          <w:tcPr>
            <w:tcW w:w="990" w:type="dxa"/>
            <w:tcBorders>
              <w:left w:val="single" w:color="000000" w:sz="4" w:space="0"/>
              <w:bottom w:val="single" w:color="000000" w:sz="6" w:space="0"/>
              <w:right w:val="single" w:color="000000" w:sz="6" w:space="0"/>
            </w:tcBorders>
            <w:shd w:val="clear" w:color="auto" w:fill="auto"/>
            <w:vAlign w:val="center"/>
          </w:tcPr>
          <w:p>
            <w:pPr>
              <w:pStyle w:val="6"/>
              <w:spacing w:line="304" w:lineRule="exact"/>
              <w:jc w:val="center"/>
              <w:rPr>
                <w:rFonts w:ascii="宋体" w:hAnsi="宋体" w:cs="宋体"/>
                <w:b/>
              </w:rPr>
            </w:pPr>
            <w:r>
              <w:rPr>
                <w:rFonts w:hint="eastAsia" w:ascii="宋体" w:hAnsi="宋体" w:cs="宋体"/>
                <w:b/>
              </w:rPr>
              <w:t>财政专户核拨</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left"/>
              <w:outlineLvl w:val="0"/>
              <w:rPr>
                <w:rFonts w:ascii="宋体" w:hAnsi="宋体" w:cs="宋体"/>
              </w:rPr>
            </w:pPr>
            <w:r>
              <w:rPr>
                <w:rFonts w:hint="eastAsia" w:ascii="宋体" w:hAnsi="宋体" w:cs="宋体"/>
                <w:b/>
              </w:rPr>
              <w:t>其他来源收入</w:t>
            </w:r>
          </w:p>
        </w:tc>
      </w:tr>
      <w:tr>
        <w:tblPrEx>
          <w:tblCellMar>
            <w:top w:w="0" w:type="dxa"/>
            <w:left w:w="108" w:type="dxa"/>
            <w:bottom w:w="0" w:type="dxa"/>
            <w:right w:w="108" w:type="dxa"/>
          </w:tblCellMar>
        </w:tblPrEx>
        <w:trPr>
          <w:jc w:val="center"/>
        </w:trPr>
        <w:tc>
          <w:tcPr>
            <w:tcW w:w="32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r>
              <w:rPr>
                <w:rFonts w:hint="eastAsia" w:ascii="宋体" w:hAnsi="宋体" w:cs="宋体"/>
                <w:b/>
              </w:rPr>
              <w:t>合　计</w:t>
            </w:r>
          </w:p>
        </w:tc>
        <w:tc>
          <w:tcPr>
            <w:tcW w:w="6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r>
              <w:rPr>
                <w:rFonts w:hint="eastAsia" w:ascii="宋体" w:hAnsi="宋体" w:cs="宋体"/>
                <w:b/>
              </w:rPr>
              <w:t>1156</w:t>
            </w: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left"/>
              <w:rPr>
                <w:rFonts w:ascii="宋体" w:hAnsi="宋体" w:cs="宋体"/>
                <w:b/>
              </w:rPr>
            </w:pPr>
          </w:p>
        </w:tc>
        <w:tc>
          <w:tcPr>
            <w:tcW w:w="109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left"/>
              <w:rPr>
                <w:rFonts w:ascii="宋体" w:hAnsi="宋体" w:cs="宋体"/>
                <w:b/>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left"/>
              <w:rPr>
                <w:rFonts w:ascii="宋体" w:hAnsi="宋体" w:cs="宋体"/>
                <w:b/>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b/>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hint="default" w:ascii="宋体" w:hAnsi="宋体" w:eastAsia="宋体" w:cs="宋体"/>
                <w:b/>
                <w:lang w:val="en-US" w:eastAsia="zh-CN"/>
              </w:rPr>
            </w:pPr>
            <w:r>
              <w:rPr>
                <w:rFonts w:hint="eastAsia" w:ascii="宋体" w:hAnsi="宋体" w:cs="宋体"/>
                <w:b/>
                <w:lang w:val="en-US" w:eastAsia="zh-CN"/>
              </w:rPr>
              <w:t>1086</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hint="default" w:ascii="宋体" w:hAnsi="宋体" w:eastAsia="宋体" w:cs="宋体"/>
                <w:b/>
                <w:lang w:val="en-US" w:eastAsia="zh-CN"/>
              </w:rPr>
            </w:pPr>
            <w:r>
              <w:rPr>
                <w:rFonts w:hint="eastAsia" w:ascii="宋体" w:hAnsi="宋体" w:cs="宋体"/>
                <w:b/>
                <w:lang w:val="en-US" w:eastAsia="zh-CN"/>
              </w:rPr>
              <w:t>196</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r>
              <w:rPr>
                <w:rFonts w:hint="eastAsia" w:ascii="宋体" w:hAnsi="宋体" w:cs="宋体"/>
                <w:b/>
              </w:rPr>
              <w:t>890</w:t>
            </w:r>
          </w:p>
        </w:tc>
        <w:tc>
          <w:tcPr>
            <w:tcW w:w="121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b/>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b/>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b/>
              </w:rPr>
            </w:pPr>
          </w:p>
        </w:tc>
      </w:tr>
      <w:tr>
        <w:tblPrEx>
          <w:tblCellMar>
            <w:top w:w="0" w:type="dxa"/>
            <w:left w:w="108" w:type="dxa"/>
            <w:bottom w:w="0" w:type="dxa"/>
            <w:right w:w="108" w:type="dxa"/>
          </w:tblCellMar>
        </w:tblPrEx>
        <w:trPr>
          <w:jc w:val="center"/>
        </w:trPr>
        <w:tc>
          <w:tcPr>
            <w:tcW w:w="32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r>
              <w:rPr>
                <w:rFonts w:hint="eastAsia" w:ascii="宋体" w:hAnsi="宋体" w:cs="宋体"/>
                <w:b/>
              </w:rPr>
              <w:t>美丽乡村建设经费</w:t>
            </w:r>
          </w:p>
        </w:tc>
        <w:tc>
          <w:tcPr>
            <w:tcW w:w="6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r>
              <w:rPr>
                <w:rFonts w:hint="eastAsia" w:ascii="宋体" w:hAnsi="宋体" w:cs="宋体"/>
                <w:b/>
              </w:rPr>
              <w:t>381</w:t>
            </w: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r>
              <w:rPr>
                <w:rFonts w:hint="eastAsia" w:ascii="宋体" w:hAnsi="宋体" w:cs="宋体"/>
                <w:b/>
              </w:rPr>
              <w:t>工程</w:t>
            </w:r>
          </w:p>
        </w:tc>
        <w:tc>
          <w:tcPr>
            <w:tcW w:w="109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584" w:lineRule="exact"/>
              <w:jc w:val="center"/>
              <w:rPr>
                <w:rFonts w:ascii="宋体" w:hAnsi="宋体" w:cs="宋体"/>
                <w:b/>
              </w:rPr>
            </w:pPr>
            <w:r>
              <w:rPr>
                <w:rFonts w:hint="eastAsia" w:ascii="宋体" w:hAnsi="宋体" w:cs="宋体"/>
                <w:b/>
              </w:rPr>
              <w:t>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r>
              <w:rPr>
                <w:rFonts w:hint="eastAsia" w:ascii="宋体" w:hAnsi="宋体" w:cs="宋体"/>
                <w:b/>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r>
              <w:rPr>
                <w:rFonts w:hint="eastAsia" w:ascii="宋体" w:hAnsi="宋体" w:cs="宋体"/>
                <w:b/>
              </w:rPr>
              <w:t>381</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r>
              <w:rPr>
                <w:rFonts w:hint="eastAsia" w:ascii="宋体" w:hAnsi="宋体" w:cs="宋体"/>
                <w:b/>
              </w:rPr>
              <w:t>381</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r>
              <w:rPr>
                <w:rFonts w:hint="eastAsia" w:ascii="宋体" w:hAnsi="宋体" w:cs="宋体"/>
                <w:b/>
              </w:rPr>
              <w:t>381</w:t>
            </w:r>
          </w:p>
        </w:tc>
        <w:tc>
          <w:tcPr>
            <w:tcW w:w="121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b/>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b/>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b/>
              </w:rPr>
            </w:pPr>
          </w:p>
        </w:tc>
      </w:tr>
      <w:tr>
        <w:tblPrEx>
          <w:tblCellMar>
            <w:top w:w="0" w:type="dxa"/>
            <w:left w:w="108" w:type="dxa"/>
            <w:bottom w:w="0" w:type="dxa"/>
            <w:right w:w="108" w:type="dxa"/>
          </w:tblCellMar>
        </w:tblPrEx>
        <w:trPr>
          <w:jc w:val="center"/>
        </w:trPr>
        <w:tc>
          <w:tcPr>
            <w:tcW w:w="32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0" w:lineRule="exact"/>
              <w:jc w:val="left"/>
              <w:rPr>
                <w:rFonts w:ascii="宋体" w:hAnsi="宋体" w:cs="宋体"/>
              </w:rPr>
            </w:pPr>
            <w:r>
              <w:rPr>
                <w:rFonts w:hint="eastAsia" w:ascii="宋体" w:hAnsi="宋体" w:cs="宋体"/>
              </w:rPr>
              <w:t>农村户厕问题整改及公厕建设项目经费</w:t>
            </w:r>
          </w:p>
        </w:tc>
        <w:tc>
          <w:tcPr>
            <w:tcW w:w="6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197</w:t>
            </w: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工程</w:t>
            </w:r>
          </w:p>
        </w:tc>
        <w:tc>
          <w:tcPr>
            <w:tcW w:w="109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584" w:lineRule="exact"/>
              <w:jc w:val="center"/>
              <w:rPr>
                <w:rFonts w:ascii="宋体" w:hAnsi="宋体" w:cs="宋体"/>
              </w:rPr>
            </w:pPr>
            <w:r>
              <w:rPr>
                <w:rFonts w:hint="eastAsia" w:ascii="宋体" w:hAnsi="宋体" w:cs="宋体"/>
                <w:b/>
              </w:rPr>
              <w:t>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197</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197</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197</w:t>
            </w:r>
          </w:p>
        </w:tc>
        <w:tc>
          <w:tcPr>
            <w:tcW w:w="121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r>
      <w:tr>
        <w:tblPrEx>
          <w:tblCellMar>
            <w:top w:w="0" w:type="dxa"/>
            <w:left w:w="108" w:type="dxa"/>
            <w:bottom w:w="0" w:type="dxa"/>
            <w:right w:w="108" w:type="dxa"/>
          </w:tblCellMar>
        </w:tblPrEx>
        <w:trPr>
          <w:trHeight w:val="475" w:hRule="atLeast"/>
          <w:jc w:val="center"/>
        </w:trPr>
        <w:tc>
          <w:tcPr>
            <w:tcW w:w="32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left"/>
              <w:rPr>
                <w:rFonts w:ascii="宋体" w:hAnsi="宋体" w:cs="宋体"/>
              </w:rPr>
            </w:pPr>
            <w:r>
              <w:rPr>
                <w:rFonts w:hint="eastAsia" w:ascii="宋体" w:hAnsi="宋体" w:cs="宋体"/>
              </w:rPr>
              <w:t>农村人居环境整治提升项目经费</w:t>
            </w:r>
          </w:p>
        </w:tc>
        <w:tc>
          <w:tcPr>
            <w:tcW w:w="6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312</w:t>
            </w: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工程</w:t>
            </w:r>
          </w:p>
        </w:tc>
        <w:tc>
          <w:tcPr>
            <w:tcW w:w="109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584" w:lineRule="exact"/>
              <w:jc w:val="center"/>
              <w:rPr>
                <w:rFonts w:ascii="宋体" w:hAnsi="宋体" w:cs="宋体"/>
              </w:rPr>
            </w:pPr>
            <w:r>
              <w:rPr>
                <w:rFonts w:hint="eastAsia" w:ascii="宋体" w:hAnsi="宋体" w:cs="宋体"/>
                <w:b/>
              </w:rPr>
              <w:t>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312</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312</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312</w:t>
            </w:r>
          </w:p>
        </w:tc>
        <w:tc>
          <w:tcPr>
            <w:tcW w:w="121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r>
      <w:tr>
        <w:tblPrEx>
          <w:tblCellMar>
            <w:top w:w="0" w:type="dxa"/>
            <w:left w:w="108" w:type="dxa"/>
            <w:bottom w:w="0" w:type="dxa"/>
            <w:right w:w="108" w:type="dxa"/>
          </w:tblCellMar>
        </w:tblPrEx>
        <w:trPr>
          <w:jc w:val="center"/>
        </w:trPr>
        <w:tc>
          <w:tcPr>
            <w:tcW w:w="3259" w:type="dxa"/>
            <w:tcBorders>
              <w:left w:val="single" w:color="000000" w:sz="6" w:space="0"/>
              <w:bottom w:val="single" w:color="000000" w:sz="6" w:space="0"/>
              <w:right w:val="single" w:color="000000" w:sz="6" w:space="0"/>
            </w:tcBorders>
            <w:shd w:val="clear" w:color="auto" w:fill="auto"/>
            <w:vAlign w:val="center"/>
          </w:tcPr>
          <w:p>
            <w:pPr>
              <w:pStyle w:val="6"/>
              <w:spacing w:line="584" w:lineRule="exact"/>
              <w:jc w:val="left"/>
              <w:rPr>
                <w:rFonts w:ascii="宋体" w:hAnsi="宋体" w:cs="宋体"/>
              </w:rPr>
            </w:pPr>
            <w:r>
              <w:rPr>
                <w:rFonts w:hint="eastAsia" w:ascii="宋体" w:hAnsi="宋体" w:cs="宋体"/>
              </w:rPr>
              <w:t>农业生产发展资金（省级）</w:t>
            </w:r>
          </w:p>
        </w:tc>
        <w:tc>
          <w:tcPr>
            <w:tcW w:w="694" w:type="dxa"/>
            <w:tcBorders>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45</w:t>
            </w:r>
          </w:p>
        </w:tc>
        <w:tc>
          <w:tcPr>
            <w:tcW w:w="900" w:type="dxa"/>
            <w:tcBorders>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服务</w:t>
            </w:r>
          </w:p>
        </w:tc>
        <w:tc>
          <w:tcPr>
            <w:tcW w:w="1099" w:type="dxa"/>
            <w:tcBorders>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p>
        </w:tc>
        <w:tc>
          <w:tcPr>
            <w:tcW w:w="0" w:type="auto"/>
            <w:tcBorders>
              <w:left w:val="single" w:color="000000" w:sz="6" w:space="0"/>
              <w:bottom w:val="single" w:color="000000" w:sz="6" w:space="0"/>
              <w:right w:val="single" w:color="000000" w:sz="6" w:space="0"/>
            </w:tcBorders>
            <w:shd w:val="clear" w:color="auto" w:fill="auto"/>
            <w:vAlign w:val="center"/>
          </w:tcPr>
          <w:p>
            <w:pPr>
              <w:spacing w:line="584" w:lineRule="exact"/>
              <w:jc w:val="center"/>
              <w:rPr>
                <w:rFonts w:ascii="宋体" w:hAnsi="宋体" w:cs="宋体"/>
              </w:rPr>
            </w:pPr>
            <w:r>
              <w:rPr>
                <w:rFonts w:hint="eastAsia" w:ascii="宋体" w:hAnsi="宋体" w:cs="宋体"/>
                <w:b/>
              </w:rPr>
              <w:t>项</w:t>
            </w:r>
          </w:p>
        </w:tc>
        <w:tc>
          <w:tcPr>
            <w:tcW w:w="0" w:type="auto"/>
            <w:tcBorders>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w:t>
            </w:r>
          </w:p>
        </w:tc>
        <w:tc>
          <w:tcPr>
            <w:tcW w:w="0" w:type="auto"/>
            <w:tcBorders>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45</w:t>
            </w:r>
          </w:p>
        </w:tc>
        <w:tc>
          <w:tcPr>
            <w:tcW w:w="0" w:type="auto"/>
            <w:tcBorders>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45</w:t>
            </w:r>
          </w:p>
        </w:tc>
        <w:tc>
          <w:tcPr>
            <w:tcW w:w="0" w:type="auto"/>
            <w:tcBorders>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45</w:t>
            </w:r>
          </w:p>
        </w:tc>
        <w:tc>
          <w:tcPr>
            <w:tcW w:w="0" w:type="auto"/>
            <w:tcBorders>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p>
        </w:tc>
        <w:tc>
          <w:tcPr>
            <w:tcW w:w="1219" w:type="dxa"/>
            <w:tcBorders>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c>
          <w:tcPr>
            <w:tcW w:w="990" w:type="dxa"/>
            <w:tcBorders>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c>
          <w:tcPr>
            <w:tcW w:w="0" w:type="auto"/>
            <w:tcBorders>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r>
      <w:tr>
        <w:tblPrEx>
          <w:tblCellMar>
            <w:top w:w="0" w:type="dxa"/>
            <w:left w:w="108" w:type="dxa"/>
            <w:bottom w:w="0" w:type="dxa"/>
            <w:right w:w="108" w:type="dxa"/>
          </w:tblCellMar>
        </w:tblPrEx>
        <w:trPr>
          <w:jc w:val="center"/>
        </w:trPr>
        <w:tc>
          <w:tcPr>
            <w:tcW w:w="32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0" w:lineRule="exact"/>
              <w:jc w:val="left"/>
              <w:rPr>
                <w:rFonts w:ascii="宋体" w:hAnsi="宋体" w:cs="宋体"/>
              </w:rPr>
            </w:pPr>
            <w:r>
              <w:rPr>
                <w:rFonts w:hint="eastAsia" w:ascii="宋体" w:hAnsi="宋体" w:cs="宋体"/>
              </w:rPr>
              <w:t>土地指标跨省域调剂收入安排的支出资金（中央）</w:t>
            </w:r>
          </w:p>
        </w:tc>
        <w:tc>
          <w:tcPr>
            <w:tcW w:w="6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110</w:t>
            </w: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工程</w:t>
            </w:r>
          </w:p>
        </w:tc>
        <w:tc>
          <w:tcPr>
            <w:tcW w:w="109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b/>
              </w:rPr>
              <w:t>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110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110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110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p>
        </w:tc>
        <w:tc>
          <w:tcPr>
            <w:tcW w:w="121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r>
      <w:tr>
        <w:tblPrEx>
          <w:tblCellMar>
            <w:top w:w="0" w:type="dxa"/>
            <w:left w:w="108" w:type="dxa"/>
            <w:bottom w:w="0" w:type="dxa"/>
            <w:right w:w="108" w:type="dxa"/>
          </w:tblCellMar>
        </w:tblPrEx>
        <w:trPr>
          <w:jc w:val="center"/>
        </w:trPr>
        <w:tc>
          <w:tcPr>
            <w:tcW w:w="3259" w:type="dxa"/>
            <w:tcBorders>
              <w:left w:val="single" w:color="000000" w:sz="6" w:space="0"/>
              <w:right w:val="single" w:color="000000" w:sz="6" w:space="0"/>
            </w:tcBorders>
            <w:shd w:val="clear" w:color="auto" w:fill="auto"/>
            <w:vAlign w:val="center"/>
          </w:tcPr>
          <w:p>
            <w:pPr>
              <w:pStyle w:val="6"/>
              <w:spacing w:line="300" w:lineRule="exact"/>
              <w:jc w:val="left"/>
              <w:rPr>
                <w:rFonts w:ascii="宋体" w:hAnsi="宋体" w:cs="宋体"/>
              </w:rPr>
            </w:pPr>
            <w:r>
              <w:rPr>
                <w:rFonts w:hint="eastAsia" w:ascii="宋体" w:hAnsi="宋体" w:cs="宋体"/>
              </w:rPr>
              <w:t>乡村振兴（农村人居环境整治）专项资金（省级）</w:t>
            </w:r>
          </w:p>
        </w:tc>
        <w:tc>
          <w:tcPr>
            <w:tcW w:w="694" w:type="dxa"/>
            <w:tcBorders>
              <w:left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41</w:t>
            </w:r>
          </w:p>
        </w:tc>
        <w:tc>
          <w:tcPr>
            <w:tcW w:w="900" w:type="dxa"/>
            <w:tcBorders>
              <w:left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工程</w:t>
            </w:r>
          </w:p>
        </w:tc>
        <w:tc>
          <w:tcPr>
            <w:tcW w:w="1099" w:type="dxa"/>
            <w:tcBorders>
              <w:left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p>
        </w:tc>
        <w:tc>
          <w:tcPr>
            <w:tcW w:w="0" w:type="auto"/>
            <w:tcBorders>
              <w:left w:val="single" w:color="000000" w:sz="6" w:space="0"/>
              <w:right w:val="single" w:color="000000" w:sz="6" w:space="0"/>
            </w:tcBorders>
            <w:shd w:val="clear" w:color="auto" w:fill="auto"/>
            <w:vAlign w:val="center"/>
          </w:tcPr>
          <w:p>
            <w:pPr>
              <w:spacing w:line="584" w:lineRule="exact"/>
              <w:jc w:val="center"/>
              <w:rPr>
                <w:rFonts w:ascii="宋体" w:hAnsi="宋体" w:cs="宋体"/>
              </w:rPr>
            </w:pPr>
            <w:r>
              <w:rPr>
                <w:rFonts w:hint="eastAsia" w:ascii="宋体" w:hAnsi="宋体" w:cs="宋体"/>
                <w:b/>
              </w:rPr>
              <w:t>项</w:t>
            </w:r>
          </w:p>
        </w:tc>
        <w:tc>
          <w:tcPr>
            <w:tcW w:w="0" w:type="auto"/>
            <w:tcBorders>
              <w:left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w:t>
            </w:r>
          </w:p>
        </w:tc>
        <w:tc>
          <w:tcPr>
            <w:tcW w:w="0" w:type="auto"/>
            <w:tcBorders>
              <w:left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41</w:t>
            </w:r>
          </w:p>
        </w:tc>
        <w:tc>
          <w:tcPr>
            <w:tcW w:w="0" w:type="auto"/>
            <w:tcBorders>
              <w:left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41</w:t>
            </w:r>
          </w:p>
        </w:tc>
        <w:tc>
          <w:tcPr>
            <w:tcW w:w="0" w:type="auto"/>
            <w:tcBorders>
              <w:left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41</w:t>
            </w:r>
          </w:p>
        </w:tc>
        <w:tc>
          <w:tcPr>
            <w:tcW w:w="0" w:type="auto"/>
            <w:tcBorders>
              <w:left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p>
        </w:tc>
        <w:tc>
          <w:tcPr>
            <w:tcW w:w="1219" w:type="dxa"/>
            <w:tcBorders>
              <w:left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c>
          <w:tcPr>
            <w:tcW w:w="990" w:type="dxa"/>
            <w:tcBorders>
              <w:left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c>
          <w:tcPr>
            <w:tcW w:w="0" w:type="auto"/>
            <w:tcBorders>
              <w:left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r>
    </w:tbl>
    <w:p>
      <w:pPr>
        <w:sectPr>
          <w:footerReference r:id="rId61" w:type="default"/>
          <w:footerReference r:id="rId62" w:type="even"/>
          <w:pgSz w:w="16838" w:h="11906" w:orient="landscape"/>
          <w:pgMar w:top="1304" w:right="1984" w:bottom="1304" w:left="1134" w:header="0" w:footer="0" w:gutter="0"/>
          <w:cols w:space="720" w:num="1"/>
          <w:formProt w:val="0"/>
          <w:docGrid w:type="lines" w:linePitch="312" w:charSpace="91954"/>
        </w:sectPr>
      </w:pPr>
    </w:p>
    <w:p>
      <w:pPr>
        <w:pStyle w:val="6"/>
        <w:autoSpaceDE w:val="0"/>
        <w:autoSpaceDN w:val="0"/>
        <w:spacing w:line="584" w:lineRule="exact"/>
        <w:ind w:firstLine="640" w:firstLineChars="200"/>
        <w:jc w:val="left"/>
        <w:rPr>
          <w:rFonts w:eastAsia="黑体"/>
          <w:sz w:val="32"/>
          <w:szCs w:val="32"/>
        </w:rPr>
      </w:pPr>
      <w:r>
        <w:rPr>
          <w:rFonts w:eastAsia="黑体"/>
          <w:sz w:val="32"/>
          <w:szCs w:val="32"/>
        </w:rPr>
        <w:t>七、国有资产信息</w:t>
      </w:r>
    </w:p>
    <w:p>
      <w:pPr>
        <w:pStyle w:val="6"/>
        <w:spacing w:line="584" w:lineRule="exact"/>
        <w:ind w:firstLine="640"/>
        <w:rPr>
          <w:rFonts w:eastAsia="仿宋_GB2312"/>
          <w:sz w:val="32"/>
          <w:szCs w:val="32"/>
        </w:rPr>
      </w:pPr>
      <w:r>
        <w:rPr>
          <w:rFonts w:eastAsia="仿宋_GB2312"/>
          <w:sz w:val="32"/>
          <w:szCs w:val="32"/>
        </w:rPr>
        <w:t>廊坊市广阳区农业农村局（含所属单位）上年末固定资产金额为279.83</w:t>
      </w:r>
      <w:bookmarkStart w:id="36" w:name="_GoBack11"/>
      <w:bookmarkEnd w:id="36"/>
      <w:r>
        <w:rPr>
          <w:rFonts w:eastAsia="仿宋_GB2312"/>
          <w:sz w:val="32"/>
          <w:szCs w:val="32"/>
        </w:rPr>
        <w:t>万元（详见下表），本年度我部门拟购置固定资产总额为6万元，包括10台台式机、5台打印机。</w:t>
      </w:r>
    </w:p>
    <w:tbl>
      <w:tblPr>
        <w:tblStyle w:val="4"/>
        <w:tblW w:w="5000" w:type="pct"/>
        <w:tblInd w:w="0" w:type="dxa"/>
        <w:tblLayout w:type="autofit"/>
        <w:tblCellMar>
          <w:top w:w="0" w:type="dxa"/>
          <w:left w:w="108" w:type="dxa"/>
          <w:bottom w:w="0" w:type="dxa"/>
          <w:right w:w="108" w:type="dxa"/>
        </w:tblCellMar>
      </w:tblPr>
      <w:tblGrid>
        <w:gridCol w:w="4694"/>
        <w:gridCol w:w="4483"/>
        <w:gridCol w:w="5445"/>
      </w:tblGrid>
      <w:tr>
        <w:tblPrEx>
          <w:tblCellMar>
            <w:top w:w="0" w:type="dxa"/>
            <w:left w:w="108" w:type="dxa"/>
            <w:bottom w:w="0" w:type="dxa"/>
            <w:right w:w="108" w:type="dxa"/>
          </w:tblCellMar>
        </w:tblPrEx>
        <w:trPr>
          <w:trHeight w:val="705" w:hRule="atLeast"/>
        </w:trPr>
        <w:tc>
          <w:tcPr>
            <w:tcW w:w="5000" w:type="pct"/>
            <w:gridSpan w:val="3"/>
            <w:shd w:val="clear" w:color="auto" w:fill="auto"/>
            <w:vAlign w:val="center"/>
          </w:tcPr>
          <w:p>
            <w:pPr>
              <w:pStyle w:val="6"/>
              <w:spacing w:line="584" w:lineRule="exact"/>
              <w:jc w:val="center"/>
              <w:rPr>
                <w:rFonts w:ascii="仿宋" w:hAnsi="仿宋" w:eastAsia="仿宋"/>
                <w:b/>
                <w:bCs/>
                <w:sz w:val="32"/>
                <w:szCs w:val="32"/>
              </w:rPr>
            </w:pPr>
            <w:r>
              <w:rPr>
                <w:rFonts w:ascii="仿宋" w:hAnsi="仿宋" w:eastAsia="仿宋"/>
                <w:b/>
                <w:bCs/>
                <w:sz w:val="32"/>
                <w:szCs w:val="32"/>
              </w:rPr>
              <w:t>廊坊市广阳区区直部门固定资产占用情况表</w:t>
            </w:r>
          </w:p>
        </w:tc>
      </w:tr>
      <w:tr>
        <w:tblPrEx>
          <w:tblCellMar>
            <w:top w:w="0" w:type="dxa"/>
            <w:left w:w="108" w:type="dxa"/>
            <w:bottom w:w="0" w:type="dxa"/>
            <w:right w:w="108" w:type="dxa"/>
          </w:tblCellMar>
        </w:tblPrEx>
        <w:trPr>
          <w:trHeight w:val="510" w:hRule="atLeast"/>
        </w:trPr>
        <w:tc>
          <w:tcPr>
            <w:tcW w:w="5000" w:type="pct"/>
            <w:gridSpan w:val="3"/>
            <w:shd w:val="clear" w:color="auto" w:fill="auto"/>
            <w:vAlign w:val="center"/>
          </w:tcPr>
          <w:p>
            <w:pPr>
              <w:pStyle w:val="6"/>
              <w:spacing w:line="584" w:lineRule="exact"/>
              <w:jc w:val="left"/>
              <w:rPr>
                <w:rFonts w:ascii="仿宋" w:hAnsi="仿宋" w:eastAsia="仿宋"/>
                <w:sz w:val="22"/>
              </w:rPr>
            </w:pPr>
            <w:r>
              <w:rPr>
                <w:rFonts w:ascii="仿宋" w:hAnsi="仿宋" w:eastAsia="仿宋"/>
                <w:sz w:val="22"/>
              </w:rPr>
              <w:t>编制部门：廊坊市广阳区农业农村局截止时间：2021年12月31日</w:t>
            </w:r>
          </w:p>
        </w:tc>
      </w:tr>
      <w:tr>
        <w:tblPrEx>
          <w:tblCellMar>
            <w:top w:w="0" w:type="dxa"/>
            <w:left w:w="108" w:type="dxa"/>
            <w:bottom w:w="0" w:type="dxa"/>
            <w:right w:w="108" w:type="dxa"/>
          </w:tblCellMar>
        </w:tblPrEx>
        <w:trPr>
          <w:trHeight w:val="567" w:hRule="exact"/>
        </w:trPr>
        <w:tc>
          <w:tcPr>
            <w:tcW w:w="160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b/>
                <w:bCs/>
                <w:sz w:val="22"/>
              </w:rPr>
            </w:pPr>
            <w:r>
              <w:rPr>
                <w:rFonts w:ascii="仿宋" w:hAnsi="仿宋" w:eastAsia="仿宋"/>
                <w:b/>
                <w:bCs/>
                <w:sz w:val="22"/>
              </w:rPr>
              <w:t>项目</w:t>
            </w:r>
          </w:p>
        </w:tc>
        <w:tc>
          <w:tcPr>
            <w:tcW w:w="1533" w:type="pct"/>
            <w:tcBorders>
              <w:top w:val="single" w:color="000000" w:sz="4" w:space="0"/>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b/>
                <w:bCs/>
                <w:sz w:val="22"/>
              </w:rPr>
            </w:pPr>
            <w:r>
              <w:rPr>
                <w:rFonts w:ascii="仿宋" w:hAnsi="仿宋" w:eastAsia="仿宋"/>
                <w:b/>
                <w:bCs/>
                <w:sz w:val="22"/>
              </w:rPr>
              <w:t>数量</w:t>
            </w:r>
          </w:p>
        </w:tc>
        <w:tc>
          <w:tcPr>
            <w:tcW w:w="1860" w:type="pct"/>
            <w:tcBorders>
              <w:top w:val="single" w:color="000000" w:sz="4" w:space="0"/>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b/>
                <w:bCs/>
                <w:sz w:val="22"/>
              </w:rPr>
            </w:pPr>
            <w:r>
              <w:rPr>
                <w:rFonts w:ascii="仿宋" w:hAnsi="仿宋" w:eastAsia="仿宋"/>
                <w:b/>
                <w:bCs/>
                <w:sz w:val="22"/>
              </w:rPr>
              <w:t>价值（金额单位：万元）</w:t>
            </w:r>
          </w:p>
        </w:tc>
      </w:tr>
      <w:tr>
        <w:tblPrEx>
          <w:tblCellMar>
            <w:top w:w="0" w:type="dxa"/>
            <w:left w:w="108" w:type="dxa"/>
            <w:bottom w:w="0" w:type="dxa"/>
            <w:right w:w="108" w:type="dxa"/>
          </w:tblCellMar>
        </w:tblPrEx>
        <w:trPr>
          <w:trHeight w:val="567" w:hRule="exact"/>
        </w:trPr>
        <w:tc>
          <w:tcPr>
            <w:tcW w:w="1605" w:type="pct"/>
            <w:tcBorders>
              <w:left w:val="single" w:color="000000" w:sz="4" w:space="0"/>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22"/>
              </w:rPr>
            </w:pPr>
            <w:r>
              <w:rPr>
                <w:rFonts w:ascii="仿宋" w:hAnsi="仿宋" w:eastAsia="仿宋"/>
                <w:sz w:val="22"/>
              </w:rPr>
              <w:t>资产总额</w:t>
            </w:r>
          </w:p>
        </w:tc>
        <w:tc>
          <w:tcPr>
            <w:tcW w:w="1533" w:type="pct"/>
            <w:tcBorders>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22"/>
              </w:rPr>
            </w:pPr>
            <w:r>
              <w:rPr>
                <w:rFonts w:ascii="仿宋" w:hAnsi="仿宋" w:eastAsia="仿宋"/>
                <w:sz w:val="22"/>
              </w:rPr>
              <w:t>——</w:t>
            </w:r>
          </w:p>
        </w:tc>
        <w:tc>
          <w:tcPr>
            <w:tcW w:w="1860" w:type="pct"/>
            <w:tcBorders>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32"/>
              </w:rPr>
            </w:pPr>
            <w:r>
              <w:rPr>
                <w:rFonts w:ascii="仿宋" w:hAnsi="仿宋" w:eastAsia="仿宋"/>
                <w:sz w:val="32"/>
                <w:szCs w:val="32"/>
              </w:rPr>
              <w:t>279.83</w:t>
            </w:r>
          </w:p>
        </w:tc>
      </w:tr>
      <w:tr>
        <w:tblPrEx>
          <w:tblCellMar>
            <w:top w:w="0" w:type="dxa"/>
            <w:left w:w="108" w:type="dxa"/>
            <w:bottom w:w="0" w:type="dxa"/>
            <w:right w:w="108" w:type="dxa"/>
          </w:tblCellMar>
        </w:tblPrEx>
        <w:trPr>
          <w:trHeight w:val="567" w:hRule="exact"/>
        </w:trPr>
        <w:tc>
          <w:tcPr>
            <w:tcW w:w="1605" w:type="pct"/>
            <w:tcBorders>
              <w:left w:val="single" w:color="000000" w:sz="4" w:space="0"/>
              <w:bottom w:val="single" w:color="000000" w:sz="4" w:space="0"/>
              <w:right w:val="single" w:color="000000" w:sz="4" w:space="0"/>
            </w:tcBorders>
            <w:shd w:val="clear" w:color="auto" w:fill="auto"/>
            <w:vAlign w:val="center"/>
          </w:tcPr>
          <w:p>
            <w:pPr>
              <w:pStyle w:val="6"/>
              <w:spacing w:line="584" w:lineRule="exact"/>
              <w:jc w:val="left"/>
              <w:rPr>
                <w:rFonts w:ascii="仿宋" w:hAnsi="仿宋" w:eastAsia="仿宋"/>
                <w:sz w:val="22"/>
              </w:rPr>
            </w:pPr>
            <w:r>
              <w:rPr>
                <w:rFonts w:ascii="仿宋" w:hAnsi="仿宋" w:eastAsia="仿宋"/>
                <w:sz w:val="22"/>
              </w:rPr>
              <w:t>1、房屋（平方米）</w:t>
            </w:r>
          </w:p>
        </w:tc>
        <w:tc>
          <w:tcPr>
            <w:tcW w:w="1533" w:type="pct"/>
            <w:tcBorders>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22"/>
              </w:rPr>
            </w:pPr>
            <w:r>
              <w:rPr>
                <w:rFonts w:ascii="仿宋" w:hAnsi="仿宋" w:eastAsia="仿宋"/>
                <w:sz w:val="22"/>
              </w:rPr>
              <w:t>3420.78平方米</w:t>
            </w:r>
          </w:p>
        </w:tc>
        <w:tc>
          <w:tcPr>
            <w:tcW w:w="1860" w:type="pct"/>
            <w:tcBorders>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22"/>
              </w:rPr>
            </w:pPr>
            <w:r>
              <w:rPr>
                <w:rFonts w:ascii="仿宋" w:hAnsi="仿宋" w:eastAsia="仿宋"/>
                <w:sz w:val="22"/>
              </w:rPr>
              <w:t>54.98</w:t>
            </w:r>
          </w:p>
        </w:tc>
      </w:tr>
      <w:tr>
        <w:tblPrEx>
          <w:tblCellMar>
            <w:top w:w="0" w:type="dxa"/>
            <w:left w:w="108" w:type="dxa"/>
            <w:bottom w:w="0" w:type="dxa"/>
            <w:right w:w="108" w:type="dxa"/>
          </w:tblCellMar>
        </w:tblPrEx>
        <w:trPr>
          <w:trHeight w:val="567" w:hRule="exact"/>
        </w:trPr>
        <w:tc>
          <w:tcPr>
            <w:tcW w:w="1605" w:type="pct"/>
            <w:tcBorders>
              <w:left w:val="single" w:color="000000" w:sz="4" w:space="0"/>
              <w:bottom w:val="single" w:color="000000" w:sz="4" w:space="0"/>
              <w:right w:val="single" w:color="000000" w:sz="4" w:space="0"/>
            </w:tcBorders>
            <w:shd w:val="clear" w:color="auto" w:fill="auto"/>
            <w:vAlign w:val="center"/>
          </w:tcPr>
          <w:p>
            <w:pPr>
              <w:pStyle w:val="6"/>
              <w:spacing w:line="584" w:lineRule="exact"/>
              <w:jc w:val="left"/>
              <w:rPr>
                <w:rFonts w:ascii="仿宋" w:hAnsi="仿宋" w:eastAsia="仿宋"/>
                <w:sz w:val="22"/>
              </w:rPr>
            </w:pPr>
            <w:r>
              <w:rPr>
                <w:rFonts w:ascii="仿宋" w:hAnsi="仿宋" w:eastAsia="仿宋"/>
                <w:sz w:val="22"/>
              </w:rPr>
              <w:t>其中：办公用房（平方米）</w:t>
            </w:r>
          </w:p>
        </w:tc>
        <w:tc>
          <w:tcPr>
            <w:tcW w:w="1533" w:type="pct"/>
            <w:tcBorders>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22"/>
              </w:rPr>
            </w:pPr>
            <w:r>
              <w:rPr>
                <w:rFonts w:ascii="仿宋" w:hAnsi="仿宋" w:eastAsia="仿宋"/>
                <w:sz w:val="22"/>
              </w:rPr>
              <w:t>3420.78平方米</w:t>
            </w:r>
          </w:p>
        </w:tc>
        <w:tc>
          <w:tcPr>
            <w:tcW w:w="1860" w:type="pct"/>
            <w:tcBorders>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22"/>
              </w:rPr>
            </w:pPr>
            <w:r>
              <w:rPr>
                <w:rFonts w:ascii="仿宋" w:hAnsi="仿宋" w:eastAsia="仿宋"/>
                <w:sz w:val="22"/>
              </w:rPr>
              <w:t>54.98</w:t>
            </w:r>
          </w:p>
        </w:tc>
      </w:tr>
      <w:tr>
        <w:tblPrEx>
          <w:tblCellMar>
            <w:top w:w="0" w:type="dxa"/>
            <w:left w:w="108" w:type="dxa"/>
            <w:bottom w:w="0" w:type="dxa"/>
            <w:right w:w="108" w:type="dxa"/>
          </w:tblCellMar>
        </w:tblPrEx>
        <w:trPr>
          <w:trHeight w:val="567" w:hRule="exact"/>
        </w:trPr>
        <w:tc>
          <w:tcPr>
            <w:tcW w:w="1605" w:type="pct"/>
            <w:tcBorders>
              <w:left w:val="single" w:color="000000" w:sz="4" w:space="0"/>
              <w:bottom w:val="single" w:color="000000" w:sz="4" w:space="0"/>
              <w:right w:val="single" w:color="000000" w:sz="4" w:space="0"/>
            </w:tcBorders>
            <w:shd w:val="clear" w:color="auto" w:fill="auto"/>
            <w:vAlign w:val="center"/>
          </w:tcPr>
          <w:p>
            <w:pPr>
              <w:pStyle w:val="6"/>
              <w:spacing w:line="584" w:lineRule="exact"/>
              <w:jc w:val="left"/>
              <w:rPr>
                <w:rFonts w:ascii="仿宋" w:hAnsi="仿宋" w:eastAsia="仿宋"/>
                <w:sz w:val="22"/>
              </w:rPr>
            </w:pPr>
            <w:r>
              <w:rPr>
                <w:rFonts w:ascii="仿宋" w:hAnsi="仿宋" w:eastAsia="仿宋"/>
                <w:sz w:val="22"/>
              </w:rPr>
              <w:t>2、车辆（台、辆）</w:t>
            </w:r>
          </w:p>
        </w:tc>
        <w:tc>
          <w:tcPr>
            <w:tcW w:w="1533" w:type="pct"/>
            <w:tcBorders>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22"/>
              </w:rPr>
            </w:pPr>
            <w:r>
              <w:rPr>
                <w:rFonts w:ascii="仿宋" w:hAnsi="仿宋" w:eastAsia="仿宋"/>
                <w:sz w:val="22"/>
              </w:rPr>
              <w:t>17</w:t>
            </w:r>
          </w:p>
        </w:tc>
        <w:tc>
          <w:tcPr>
            <w:tcW w:w="1860" w:type="pct"/>
            <w:tcBorders>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22"/>
              </w:rPr>
            </w:pPr>
            <w:r>
              <w:rPr>
                <w:rFonts w:ascii="仿宋" w:hAnsi="仿宋" w:eastAsia="仿宋"/>
                <w:sz w:val="22"/>
              </w:rPr>
              <w:t>21.31</w:t>
            </w:r>
          </w:p>
        </w:tc>
      </w:tr>
      <w:tr>
        <w:tblPrEx>
          <w:tblCellMar>
            <w:top w:w="0" w:type="dxa"/>
            <w:left w:w="108" w:type="dxa"/>
            <w:bottom w:w="0" w:type="dxa"/>
            <w:right w:w="108" w:type="dxa"/>
          </w:tblCellMar>
        </w:tblPrEx>
        <w:trPr>
          <w:trHeight w:val="567" w:hRule="exact"/>
        </w:trPr>
        <w:tc>
          <w:tcPr>
            <w:tcW w:w="1605" w:type="pct"/>
            <w:tcBorders>
              <w:left w:val="single" w:color="000000" w:sz="4" w:space="0"/>
              <w:bottom w:val="single" w:color="000000" w:sz="4" w:space="0"/>
              <w:right w:val="single" w:color="000000" w:sz="4" w:space="0"/>
            </w:tcBorders>
            <w:shd w:val="clear" w:color="auto" w:fill="auto"/>
            <w:vAlign w:val="center"/>
          </w:tcPr>
          <w:p>
            <w:pPr>
              <w:pStyle w:val="6"/>
              <w:spacing w:line="584" w:lineRule="exact"/>
              <w:jc w:val="left"/>
              <w:rPr>
                <w:rFonts w:ascii="仿宋" w:hAnsi="仿宋" w:eastAsia="仿宋"/>
                <w:sz w:val="22"/>
              </w:rPr>
            </w:pPr>
            <w:r>
              <w:rPr>
                <w:rFonts w:ascii="仿宋" w:hAnsi="仿宋" w:eastAsia="仿宋"/>
                <w:sz w:val="22"/>
              </w:rPr>
              <w:t>3、单价在20万元以上的设备</w:t>
            </w:r>
          </w:p>
        </w:tc>
        <w:tc>
          <w:tcPr>
            <w:tcW w:w="1533" w:type="pct"/>
            <w:tcBorders>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22"/>
              </w:rPr>
            </w:pPr>
            <w:r>
              <w:rPr>
                <w:rFonts w:ascii="仿宋" w:hAnsi="仿宋" w:eastAsia="仿宋"/>
                <w:sz w:val="22"/>
              </w:rPr>
              <w:t>0</w:t>
            </w:r>
          </w:p>
        </w:tc>
        <w:tc>
          <w:tcPr>
            <w:tcW w:w="1860" w:type="pct"/>
            <w:tcBorders>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22"/>
              </w:rPr>
            </w:pPr>
            <w:r>
              <w:rPr>
                <w:rFonts w:ascii="仿宋" w:hAnsi="仿宋" w:eastAsia="仿宋"/>
                <w:sz w:val="22"/>
              </w:rPr>
              <w:t>0</w:t>
            </w:r>
          </w:p>
        </w:tc>
      </w:tr>
      <w:tr>
        <w:tblPrEx>
          <w:tblCellMar>
            <w:top w:w="0" w:type="dxa"/>
            <w:left w:w="108" w:type="dxa"/>
            <w:bottom w:w="0" w:type="dxa"/>
            <w:right w:w="108" w:type="dxa"/>
          </w:tblCellMar>
        </w:tblPrEx>
        <w:trPr>
          <w:trHeight w:val="567" w:hRule="exact"/>
        </w:trPr>
        <w:tc>
          <w:tcPr>
            <w:tcW w:w="1605" w:type="pct"/>
            <w:tcBorders>
              <w:left w:val="single" w:color="000000" w:sz="4" w:space="0"/>
              <w:bottom w:val="single" w:color="000000" w:sz="4" w:space="0"/>
              <w:right w:val="single" w:color="000000" w:sz="4" w:space="0"/>
            </w:tcBorders>
            <w:shd w:val="clear" w:color="auto" w:fill="auto"/>
            <w:vAlign w:val="center"/>
          </w:tcPr>
          <w:p>
            <w:pPr>
              <w:pStyle w:val="6"/>
              <w:spacing w:line="584" w:lineRule="exact"/>
              <w:jc w:val="left"/>
              <w:rPr>
                <w:rFonts w:ascii="仿宋" w:hAnsi="仿宋" w:eastAsia="仿宋"/>
                <w:sz w:val="22"/>
              </w:rPr>
            </w:pPr>
            <w:r>
              <w:rPr>
                <w:rFonts w:ascii="仿宋" w:hAnsi="仿宋" w:eastAsia="仿宋"/>
                <w:sz w:val="22"/>
              </w:rPr>
              <w:t>4、其他固定资产</w:t>
            </w:r>
          </w:p>
        </w:tc>
        <w:tc>
          <w:tcPr>
            <w:tcW w:w="1533" w:type="pct"/>
            <w:tcBorders>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22"/>
              </w:rPr>
            </w:pPr>
            <w:r>
              <w:rPr>
                <w:rFonts w:ascii="仿宋" w:hAnsi="仿宋" w:eastAsia="仿宋"/>
                <w:sz w:val="22"/>
              </w:rPr>
              <w:t>1599</w:t>
            </w:r>
          </w:p>
        </w:tc>
        <w:tc>
          <w:tcPr>
            <w:tcW w:w="1860" w:type="pct"/>
            <w:tcBorders>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22"/>
              </w:rPr>
            </w:pPr>
            <w:r>
              <w:rPr>
                <w:rFonts w:ascii="仿宋" w:hAnsi="仿宋" w:eastAsia="仿宋"/>
                <w:sz w:val="22"/>
              </w:rPr>
              <w:t>203.54</w:t>
            </w:r>
          </w:p>
        </w:tc>
      </w:tr>
    </w:tbl>
    <w:p>
      <w:pPr>
        <w:pStyle w:val="7"/>
        <w:autoSpaceDE w:val="0"/>
        <w:autoSpaceDN w:val="0"/>
        <w:spacing w:line="584" w:lineRule="exact"/>
        <w:ind w:firstLine="640" w:firstLineChars="200"/>
        <w:jc w:val="left"/>
        <w:rPr>
          <w:rFonts w:ascii="Times New Roman" w:hAnsi="Times New Roman" w:eastAsia="黑体" w:cs="Times New Roman"/>
          <w:sz w:val="32"/>
          <w:szCs w:val="32"/>
        </w:rPr>
      </w:pPr>
    </w:p>
    <w:p>
      <w:pPr>
        <w:pStyle w:val="7"/>
        <w:autoSpaceDE w:val="0"/>
        <w:autoSpaceDN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pStyle w:val="7"/>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pStyle w:val="7"/>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pStyle w:val="7"/>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pStyle w:val="7"/>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pStyle w:val="7"/>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pStyle w:val="7"/>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pStyle w:val="7"/>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pStyle w:val="7"/>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7"/>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pStyle w:val="7"/>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pStyle w:val="7"/>
        <w:autoSpaceDE w:val="0"/>
        <w:autoSpaceDN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pStyle w:val="6"/>
        <w:autoSpaceDE w:val="0"/>
        <w:autoSpaceDN w:val="0"/>
        <w:spacing w:line="584" w:lineRule="exact"/>
        <w:ind w:firstLine="640" w:firstLineChars="200"/>
        <w:jc w:val="left"/>
        <w:rPr>
          <w:rFonts w:eastAsia="黑体"/>
          <w:sz w:val="32"/>
          <w:szCs w:val="32"/>
        </w:rPr>
      </w:pPr>
      <w:r>
        <w:rPr>
          <w:rFonts w:eastAsia="仿宋_GB2312"/>
          <w:sz w:val="32"/>
          <w:szCs w:val="32"/>
        </w:rPr>
        <w:t>我部门无其他需要说明的事项。</w:t>
      </w:r>
    </w:p>
    <w:sectPr>
      <w:footerReference r:id="rId65" w:type="first"/>
      <w:footerReference r:id="rId63" w:type="default"/>
      <w:footerReference r:id="rId64" w:type="even"/>
      <w:pgSz w:w="16838" w:h="11906" w:orient="landscape"/>
      <w:pgMar w:top="1800" w:right="1440" w:bottom="2248" w:left="992" w:header="0" w:footer="1800" w:gutter="0"/>
      <w:cols w:space="720" w:num="1"/>
      <w:formProt w:val="0"/>
      <w:titlePg/>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ngal">
    <w:panose1 w:val="02040503050203030202"/>
    <w:charset w:val="01"/>
    <w:family w:val="roman"/>
    <w:pitch w:val="default"/>
    <w:sig w:usb0="00008003" w:usb1="00000000" w:usb2="00000000" w:usb3="00000000" w:csb0="00000001" w:csb1="00000000"/>
  </w:font>
  <w:font w:name="方正仿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s+A5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ehoXX2o&#10;ugeYQ8vCTj9YHtNEqbxdHwOkTYpHgTpV0Kl4wCSmnvVbE0f9z3OKevy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mEs+A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H8a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QH8aY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p>
    <w:pPr>
      <w:pStyle w:val="6"/>
    </w:pPr>
  </w:p>
  <w:p>
    <w:pPr>
      <w:pStyle w:val="6"/>
    </w:pPr>
    <w: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Ueg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J0Ueg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27779727"/>
                          </w:sdtPr>
                          <w:sdtContent>
                            <w:p>
                              <w:pPr>
                                <w:pStyle w:val="10"/>
                                <w:jc w:val="center"/>
                              </w:pPr>
                              <w:r>
                                <w:t>-</w:t>
                              </w:r>
                              <w:r>
                                <w:rPr>
                                  <w:lang w:val="zh-CN"/>
                                </w:rPr>
                                <w:fldChar w:fldCharType="begin"/>
                              </w:r>
                              <w:r>
                                <w:rPr>
                                  <w:lang w:val="zh-CN"/>
                                </w:rPr>
                                <w:instrText xml:space="preserve">PAGE</w:instrText>
                              </w:r>
                              <w:r>
                                <w:rPr>
                                  <w:lang w:val="zh-CN"/>
                                </w:rPr>
                                <w:fldChar w:fldCharType="separate"/>
                              </w:r>
                              <w:r>
                                <w:rPr>
                                  <w:lang w:val="zh-CN"/>
                                </w:rPr>
                                <w:t>44</w:t>
                              </w:r>
                              <w:r>
                                <w:rPr>
                                  <w:lang w:val="zh-CN"/>
                                </w:rPr>
                                <w:fldChar w:fldCharType="end"/>
                              </w:r>
                              <w:r>
                                <w:t>-</w:t>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GG605AgAAc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PGG605AgAAcQQAAA4AAAAAAAAAAQAgAAAAHwEAAGRycy9lMm9Eb2Mu&#10;eG1sUEsFBgAAAAAGAAYAWQEAAMoFAAAAAA==&#10;">
              <v:fill on="f" focussize="0,0"/>
              <v:stroke on="f" weight="0.5pt"/>
              <v:imagedata o:title=""/>
              <o:lock v:ext="edit" aspectratio="f"/>
              <v:textbox inset="0mm,0mm,0mm,0mm" style="mso-fit-shape-to-text:t;">
                <w:txbxContent>
                  <w:sdt>
                    <w:sdtPr>
                      <w:id w:val="2127779727"/>
                    </w:sdtPr>
                    <w:sdtContent>
                      <w:p>
                        <w:pPr>
                          <w:pStyle w:val="10"/>
                          <w:jc w:val="center"/>
                        </w:pPr>
                        <w:r>
                          <w:t>-</w:t>
                        </w:r>
                        <w:r>
                          <w:rPr>
                            <w:lang w:val="zh-CN"/>
                          </w:rPr>
                          <w:fldChar w:fldCharType="begin"/>
                        </w:r>
                        <w:r>
                          <w:rPr>
                            <w:lang w:val="zh-CN"/>
                          </w:rPr>
                          <w:instrText xml:space="preserve">PAGE</w:instrText>
                        </w:r>
                        <w:r>
                          <w:rPr>
                            <w:lang w:val="zh-CN"/>
                          </w:rPr>
                          <w:fldChar w:fldCharType="separate"/>
                        </w:r>
                        <w:r>
                          <w:rPr>
                            <w:lang w:val="zh-CN"/>
                          </w:rPr>
                          <w:t>44</w:t>
                        </w:r>
                        <w:r>
                          <w:rPr>
                            <w:lang w:val="zh-CN"/>
                          </w:rPr>
                          <w:fldChar w:fldCharType="end"/>
                        </w:r>
                        <w:r>
                          <w:t>-</w:t>
                        </w:r>
                      </w:p>
                    </w:sdtContent>
                  </w:sdt>
                  <w:p/>
                </w:txbxContent>
              </v:textbox>
            </v:shape>
          </w:pict>
        </mc:Fallback>
      </mc:AlternateContent>
    </w:r>
  </w:p>
  <w:p>
    <w:pPr>
      <w:pStyle w:val="10"/>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6139634"/>
    </w:sdtPr>
    <w:sdtContent>
      <w:p>
        <w:pPr>
          <w:pStyle w:val="10"/>
          <w:jc w:val="center"/>
        </w:pPr>
        <w:r>
          <w:t>-</w:t>
        </w:r>
        <w:r>
          <w:rPr>
            <w:lang w:val="zh-CN"/>
          </w:rPr>
          <w:fldChar w:fldCharType="begin"/>
        </w:r>
        <w:r>
          <w:rPr>
            <w:lang w:val="zh-CN"/>
          </w:rPr>
          <w:instrText xml:space="preserve">PAGE</w:instrText>
        </w:r>
        <w:r>
          <w:rPr>
            <w:lang w:val="zh-CN"/>
          </w:rPr>
          <w:fldChar w:fldCharType="separate"/>
        </w:r>
        <w:r>
          <w:rPr>
            <w:lang w:val="zh-CN"/>
          </w:rPr>
          <w:t>42</w:t>
        </w:r>
        <w:r>
          <w:rPr>
            <w:lang w:val="zh-CN"/>
          </w:rPr>
          <w:fldChar w:fldCharType="end"/>
        </w:r>
        <w:r>
          <w:t>-</w:t>
        </w:r>
      </w:p>
    </w:sdtContent>
  </w:sdt>
  <w:p>
    <w:pPr>
      <w:pStyle w:val="10"/>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jc w:val="center"/>
                          </w:pPr>
                          <w:r>
                            <w:fldChar w:fldCharType="begin"/>
                          </w:r>
                          <w:r>
                            <w:instrText xml:space="preserve">PAGE</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fill on="f" focussize="0,0"/>
              <v:stroke on="f" weight="0.5pt"/>
              <v:imagedata o:title=""/>
              <o:lock v:ext="edit" aspectratio="f"/>
              <v:textbox inset="0mm,0mm,0mm,0mm" style="mso-fit-shape-to-text:t;">
                <w:txbxContent>
                  <w:p>
                    <w:pPr>
                      <w:pStyle w:val="10"/>
                      <w:jc w:val="center"/>
                    </w:pPr>
                    <w:r>
                      <w:fldChar w:fldCharType="begin"/>
                    </w:r>
                    <w:r>
                      <w:instrText xml:space="preserve">PAGE</w:instrText>
                    </w:r>
                    <w:r>
                      <w:fldChar w:fldCharType="separate"/>
                    </w:r>
                    <w:r>
                      <w:t>42</w:t>
                    </w:r>
                    <w:r>
                      <w:fldChar w:fldCharType="end"/>
                    </w:r>
                  </w:p>
                </w:txbxContent>
              </v:textbox>
            </v:shape>
          </w:pict>
        </mc:Fallback>
      </mc:AlternateContent>
    </w:r>
  </w:p>
  <w:sdt>
    <w:sdtPr>
      <w:id w:val="602184842"/>
    </w:sdtPr>
    <w:sdtContent>
      <w:p>
        <w:pPr>
          <w:pStyle w:val="10"/>
          <w:jc w:val="center"/>
        </w:pPr>
      </w:p>
      <w:p>
        <w:pPr>
          <w:pStyle w:val="10"/>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hdrShapeDefaults>
    <o:shapelayout v:ext="edit">
      <o:idmap v:ext="edit" data="1"/>
    </o:shapelayout>
  </w:hdrShapeDefault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F1B"/>
    <w:rsid w:val="00A00F1B"/>
    <w:rsid w:val="00A8657C"/>
    <w:rsid w:val="00BD75FE"/>
    <w:rsid w:val="02DB7707"/>
    <w:rsid w:val="03B81C13"/>
    <w:rsid w:val="04945711"/>
    <w:rsid w:val="096B2B7A"/>
    <w:rsid w:val="0AF50C63"/>
    <w:rsid w:val="0D0B1BD1"/>
    <w:rsid w:val="15A94E71"/>
    <w:rsid w:val="160A01D1"/>
    <w:rsid w:val="17BB71C1"/>
    <w:rsid w:val="1B13565A"/>
    <w:rsid w:val="1CB35A62"/>
    <w:rsid w:val="202154EF"/>
    <w:rsid w:val="23530EEC"/>
    <w:rsid w:val="23DC1FAD"/>
    <w:rsid w:val="24450F17"/>
    <w:rsid w:val="24656CCF"/>
    <w:rsid w:val="2C9254B0"/>
    <w:rsid w:val="2DA13BF0"/>
    <w:rsid w:val="2F567DF5"/>
    <w:rsid w:val="3135748D"/>
    <w:rsid w:val="31F245B8"/>
    <w:rsid w:val="345C61D5"/>
    <w:rsid w:val="35EC67B4"/>
    <w:rsid w:val="3D60394D"/>
    <w:rsid w:val="3F0B6299"/>
    <w:rsid w:val="417E465E"/>
    <w:rsid w:val="42255D7C"/>
    <w:rsid w:val="432C283E"/>
    <w:rsid w:val="470A2F29"/>
    <w:rsid w:val="562543F0"/>
    <w:rsid w:val="56D56514"/>
    <w:rsid w:val="6389793D"/>
    <w:rsid w:val="6C8D354D"/>
    <w:rsid w:val="701E5219"/>
    <w:rsid w:val="70B337D5"/>
    <w:rsid w:val="72564B99"/>
    <w:rsid w:val="75683325"/>
  </w:rsids>
  <m:mathPr>
    <m:mathFont m:val="Cambria Math"/>
    <m:brkBin m:val="before"/>
    <m:brkBinSub m:val="--"/>
    <m:smallFrac m:val="1"/>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hi-IN"/>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19"/>
    <w:qFormat/>
    <w:uiPriority w:val="0"/>
    <w:pPr>
      <w:pBdr>
        <w:bottom w:val="single" w:color="auto" w:sz="6" w:space="1"/>
      </w:pBdr>
      <w:tabs>
        <w:tab w:val="center" w:pos="4153"/>
        <w:tab w:val="right" w:pos="8306"/>
      </w:tabs>
      <w:snapToGrid w:val="0"/>
      <w:jc w:val="center"/>
    </w:pPr>
    <w:rPr>
      <w:rFonts w:cs="Mangal"/>
      <w:sz w:val="18"/>
      <w:szCs w:val="16"/>
    </w:rPr>
  </w:style>
  <w:style w:type="paragraph" w:customStyle="1" w:styleId="6">
    <w:name w:val="正文11"/>
    <w:qFormat/>
    <w:uiPriority w:val="0"/>
    <w:pPr>
      <w:widowControl w:val="0"/>
      <w:jc w:val="both"/>
    </w:pPr>
    <w:rPr>
      <w:rFonts w:ascii="Times New Roman" w:hAnsi="Times New Roman" w:eastAsia="宋体" w:cs="Times New Roman"/>
      <w:lang w:val="en-US" w:eastAsia="zh-CN" w:bidi="hi-IN"/>
    </w:rPr>
  </w:style>
  <w:style w:type="paragraph" w:customStyle="1" w:styleId="7">
    <w:name w:val="正文1"/>
    <w:qFormat/>
    <w:uiPriority w:val="0"/>
    <w:pPr>
      <w:widowControl w:val="0"/>
      <w:jc w:val="both"/>
    </w:pPr>
    <w:rPr>
      <w:rFonts w:ascii="Calibri" w:hAnsi="Calibri" w:eastAsia="宋体" w:cs="Arial"/>
      <w:kern w:val="2"/>
      <w:sz w:val="21"/>
      <w:szCs w:val="22"/>
      <w:lang w:val="en-US" w:eastAsia="zh-CN" w:bidi="ar-SA"/>
    </w:rPr>
  </w:style>
  <w:style w:type="paragraph" w:customStyle="1" w:styleId="8">
    <w:name w:val="页脚1"/>
    <w:basedOn w:val="7"/>
    <w:qFormat/>
    <w:uiPriority w:val="0"/>
    <w:pPr>
      <w:tabs>
        <w:tab w:val="center" w:pos="4153"/>
        <w:tab w:val="right" w:pos="8306"/>
      </w:tabs>
      <w:snapToGrid w:val="0"/>
      <w:jc w:val="left"/>
    </w:pPr>
    <w:rPr>
      <w:rFonts w:ascii="Times New Roman" w:hAnsi="Times New Roman" w:cs="Times New Roman"/>
      <w:sz w:val="18"/>
      <w:szCs w:val="18"/>
    </w:rPr>
  </w:style>
  <w:style w:type="paragraph" w:customStyle="1" w:styleId="9">
    <w:name w:val="页眉与页脚"/>
    <w:basedOn w:val="6"/>
    <w:qFormat/>
    <w:uiPriority w:val="0"/>
  </w:style>
  <w:style w:type="paragraph" w:customStyle="1" w:styleId="10">
    <w:name w:val="页脚2"/>
    <w:basedOn w:val="9"/>
    <w:qFormat/>
    <w:uiPriority w:val="0"/>
  </w:style>
  <w:style w:type="paragraph" w:customStyle="1" w:styleId="11">
    <w:name w:val="插入文本样式-插入总体目标文件"/>
    <w:basedOn w:val="6"/>
    <w:qFormat/>
    <w:uiPriority w:val="0"/>
    <w:pPr>
      <w:spacing w:line="500" w:lineRule="exact"/>
      <w:ind w:firstLine="560"/>
      <w:jc w:val="left"/>
    </w:pPr>
    <w:rPr>
      <w:rFonts w:eastAsia="方正仿宋_GBK"/>
      <w:sz w:val="28"/>
    </w:rPr>
  </w:style>
  <w:style w:type="paragraph" w:customStyle="1" w:styleId="12">
    <w:name w:val="插入文本样式-插入职责分类绩效目标文件"/>
    <w:basedOn w:val="6"/>
    <w:qFormat/>
    <w:uiPriority w:val="0"/>
    <w:pPr>
      <w:spacing w:line="500" w:lineRule="exact"/>
      <w:ind w:firstLine="560"/>
      <w:jc w:val="left"/>
    </w:pPr>
    <w:rPr>
      <w:rFonts w:eastAsia="方正仿宋_GBK"/>
      <w:sz w:val="28"/>
    </w:rPr>
  </w:style>
  <w:style w:type="paragraph" w:customStyle="1" w:styleId="13">
    <w:name w:val="插入文本样式-插入实现年度发展规划目标的保障措施文件"/>
    <w:basedOn w:val="6"/>
    <w:qFormat/>
    <w:uiPriority w:val="0"/>
    <w:pPr>
      <w:spacing w:line="500" w:lineRule="exact"/>
      <w:ind w:firstLine="560"/>
      <w:jc w:val="left"/>
    </w:pPr>
    <w:rPr>
      <w:rFonts w:eastAsia="方正仿宋_GBK"/>
      <w:sz w:val="28"/>
    </w:rPr>
  </w:style>
  <w:style w:type="paragraph" w:customStyle="1" w:styleId="14">
    <w:name w:val="单元格样式4"/>
    <w:basedOn w:val="6"/>
    <w:qFormat/>
    <w:uiPriority w:val="0"/>
    <w:pPr>
      <w:jc w:val="right"/>
    </w:pPr>
    <w:rPr>
      <w:rFonts w:ascii="方正书宋_GBK" w:hAnsi="方正书宋_GBK" w:eastAsia="方正书宋_GBK" w:cs="方正书宋_GBK"/>
      <w:sz w:val="21"/>
    </w:rPr>
  </w:style>
  <w:style w:type="paragraph" w:customStyle="1" w:styleId="15">
    <w:name w:val="单元格样式1"/>
    <w:basedOn w:val="6"/>
    <w:qFormat/>
    <w:uiPriority w:val="0"/>
    <w:pPr>
      <w:jc w:val="center"/>
    </w:pPr>
    <w:rPr>
      <w:rFonts w:ascii="方正书宋_GBK" w:hAnsi="方正书宋_GBK" w:eastAsia="方正书宋_GBK" w:cs="方正书宋_GBK"/>
      <w:b/>
      <w:sz w:val="21"/>
    </w:rPr>
  </w:style>
  <w:style w:type="paragraph" w:customStyle="1" w:styleId="16">
    <w:name w:val="单元格样式2"/>
    <w:basedOn w:val="6"/>
    <w:qFormat/>
    <w:uiPriority w:val="0"/>
    <w:pPr>
      <w:jc w:val="left"/>
    </w:pPr>
    <w:rPr>
      <w:rFonts w:ascii="方正书宋_GBK" w:hAnsi="方正书宋_GBK" w:eastAsia="方正书宋_GBK" w:cs="方正书宋_GBK"/>
      <w:sz w:val="21"/>
    </w:rPr>
  </w:style>
  <w:style w:type="paragraph" w:customStyle="1" w:styleId="17">
    <w:name w:val="单元格样式3"/>
    <w:basedOn w:val="6"/>
    <w:qFormat/>
    <w:uiPriority w:val="0"/>
    <w:pPr>
      <w:jc w:val="center"/>
    </w:pPr>
    <w:rPr>
      <w:rFonts w:ascii="方正书宋_GBK" w:hAnsi="方正书宋_GBK" w:eastAsia="方正书宋_GBK" w:cs="方正书宋_GBK"/>
      <w:sz w:val="21"/>
    </w:rPr>
  </w:style>
  <w:style w:type="paragraph" w:customStyle="1" w:styleId="18">
    <w:name w:val="单元格样式5"/>
    <w:basedOn w:val="7"/>
    <w:qFormat/>
    <w:uiPriority w:val="0"/>
    <w:pPr>
      <w:jc w:val="left"/>
    </w:pPr>
    <w:rPr>
      <w:rFonts w:ascii="方正书宋_GBK" w:hAnsi="方正书宋_GBK" w:eastAsia="方正书宋_GBK" w:cs="方正书宋_GBK"/>
      <w:b/>
    </w:rPr>
  </w:style>
  <w:style w:type="character" w:customStyle="1" w:styleId="19">
    <w:name w:val="页眉 Char"/>
    <w:basedOn w:val="5"/>
    <w:link w:val="3"/>
    <w:qFormat/>
    <w:uiPriority w:val="0"/>
    <w:rPr>
      <w:rFonts w:cs="Mangal"/>
      <w:sz w:val="18"/>
      <w:szCs w:val="16"/>
      <w:lang w:bidi="hi-I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8" Type="http://schemas.openxmlformats.org/officeDocument/2006/relationships/fontTable" Target="fontTable.xml"/><Relationship Id="rId67" Type="http://schemas.openxmlformats.org/officeDocument/2006/relationships/customXml" Target="../customXml/item1.xml"/><Relationship Id="rId66" Type="http://schemas.openxmlformats.org/officeDocument/2006/relationships/theme" Target="theme/theme1.xml"/><Relationship Id="rId65" Type="http://schemas.openxmlformats.org/officeDocument/2006/relationships/footer" Target="footer63.xml"/><Relationship Id="rId64" Type="http://schemas.openxmlformats.org/officeDocument/2006/relationships/footer" Target="footer62.xml"/><Relationship Id="rId63" Type="http://schemas.openxmlformats.org/officeDocument/2006/relationships/footer" Target="footer61.xml"/><Relationship Id="rId62" Type="http://schemas.openxmlformats.org/officeDocument/2006/relationships/footer" Target="footer60.xml"/><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20248</Words>
  <Characters>5778</Characters>
  <Lines>48</Lines>
  <Paragraphs>51</Paragraphs>
  <TotalTime>0</TotalTime>
  <ScaleCrop>false</ScaleCrop>
  <LinksUpToDate>false</LinksUpToDate>
  <CharactersWithSpaces>25975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2022-03-14T00:32:00Z</dcterms:created>
  <dc:creator>guest</dc:creator>
  <cp:lastModifiedBy>111</cp:lastModifiedBy>
  <cp:lastPrinted>2018-01-30T06:12:00Z</cp:lastPrinted>
  <dcterms:modified xsi:type="dcterms:W3CDTF">2024-12-12T06:46:01Z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699DB90E54FE4B679E9D72D21D43B71F</vt:lpwstr>
  </property>
  <property fmtid="{D5CDD505-2E9C-101B-9397-08002B2CF9AE}" pid="3" name="KSOProductBuildVer">
    <vt:lpwstr>2052-11.8.2.10972</vt:lpwstr>
  </property>
</Properties>
</file>