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3" w:name="_GoBack"/>
      <w:bookmarkEnd w:id="3"/>
    </w:p>
    <w:p>
      <w:pPr>
        <w:spacing w:line="584" w:lineRule="exact"/>
        <w:ind w:firstLine="880" w:firstLineChars="2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中国共产党廊坊市广阳区委员会老干部局</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按照《中华人民共和国预算法》、《中华人民共和国预算法实施条例》、《地方预决算公开操作规程》和《河北省省级预算公开办法》规定，现将中国共产党廊坊市广阳区委员会老干部局20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6"/>
        <w:rPr>
          <w:rFonts w:ascii="仿宋_GB2312" w:eastAsia="仿宋_GB2312"/>
          <w:sz w:val="32"/>
          <w:szCs w:val="32"/>
        </w:rPr>
      </w:pPr>
      <w:r>
        <w:rPr>
          <w:rFonts w:hint="eastAsia" w:ascii="仿宋_GB2312" w:eastAsia="仿宋_GB2312"/>
          <w:sz w:val="32"/>
          <w:szCs w:val="32"/>
        </w:rPr>
        <w:t>（一）全面贯彻加强党对离退休干部工作集中统一领导要求。负责宣传贯彻落实</w:t>
      </w:r>
      <w:r>
        <w:rPr>
          <w:rFonts w:hint="eastAsia" w:ascii="仿宋_GB2312" w:eastAsia="仿宋_GB2312"/>
          <w:sz w:val="32"/>
          <w:szCs w:val="32"/>
          <w:lang w:eastAsia="zh-CN"/>
        </w:rPr>
        <w:t>党中央、国务院</w:t>
      </w:r>
      <w:r>
        <w:rPr>
          <w:rFonts w:hint="eastAsia" w:ascii="仿宋_GB2312" w:eastAsia="仿宋_GB2312"/>
          <w:sz w:val="32"/>
          <w:szCs w:val="32"/>
        </w:rPr>
        <w:t>、省委省政府、市委市政府和区委区政府关于离退休干部工作的方针政策；拟定或参与拟订全区离退休干部工作有关具体规定和办法；总结宣传全区离退休干部工作和先进典型。</w:t>
      </w:r>
    </w:p>
    <w:p>
      <w:pPr>
        <w:spacing w:line="584" w:lineRule="exact"/>
        <w:ind w:firstLine="646"/>
        <w:rPr>
          <w:rFonts w:ascii="仿宋_GB2312" w:eastAsia="仿宋_GB2312"/>
          <w:sz w:val="32"/>
          <w:szCs w:val="32"/>
        </w:rPr>
      </w:pPr>
      <w:r>
        <w:rPr>
          <w:rFonts w:hint="eastAsia" w:ascii="仿宋_GB2312" w:eastAsia="仿宋_GB2312"/>
          <w:sz w:val="32"/>
          <w:szCs w:val="32"/>
        </w:rPr>
        <w:t>（二）负责指导、督促、检查全区各部门离退休干部工作；组织和协调有关部门做好离退休干部工作。</w:t>
      </w:r>
    </w:p>
    <w:p>
      <w:pPr>
        <w:spacing w:line="584" w:lineRule="exact"/>
        <w:ind w:firstLine="646"/>
        <w:rPr>
          <w:rFonts w:ascii="仿宋_GB2312" w:eastAsia="仿宋_GB2312"/>
          <w:sz w:val="32"/>
          <w:szCs w:val="32"/>
        </w:rPr>
      </w:pPr>
      <w:r>
        <w:rPr>
          <w:rFonts w:hint="eastAsia" w:ascii="仿宋_GB2312" w:eastAsia="仿宋_GB2312"/>
          <w:sz w:val="32"/>
          <w:szCs w:val="32"/>
        </w:rPr>
        <w:t>（三）负责督促检查全区各部门落实离退休干部的政治和生活待遇，做好走访慰问工作。抓好离休干部“两费”（离休费、医药费）的落实；调查研究离退休干部政治和生活待遇中存在的问题，协调有关部门提出解决办法。</w:t>
      </w:r>
    </w:p>
    <w:p>
      <w:pPr>
        <w:spacing w:line="584" w:lineRule="exact"/>
        <w:ind w:firstLine="646"/>
        <w:rPr>
          <w:rFonts w:ascii="仿宋_GB2312" w:eastAsia="仿宋_GB2312"/>
          <w:sz w:val="32"/>
          <w:szCs w:val="32"/>
        </w:rPr>
      </w:pPr>
      <w:r>
        <w:rPr>
          <w:rFonts w:hint="eastAsia" w:ascii="仿宋_GB2312" w:eastAsia="仿宋_GB2312"/>
          <w:sz w:val="32"/>
          <w:szCs w:val="32"/>
        </w:rPr>
        <w:t>（四）加强对全区离退休干部的政治引领和教育管理。组织拟订和研究制定加强新形势下离退休干部党组织建设、做好离退休干部思想政治工作的制度办法和措施；指导加强对离退休干部党组织书记的教育培训工作。</w:t>
      </w:r>
    </w:p>
    <w:p>
      <w:pPr>
        <w:spacing w:line="584" w:lineRule="exact"/>
        <w:ind w:firstLine="646"/>
        <w:rPr>
          <w:rFonts w:ascii="仿宋_GB2312" w:eastAsia="仿宋_GB2312"/>
          <w:sz w:val="32"/>
          <w:szCs w:val="32"/>
        </w:rPr>
      </w:pPr>
      <w:r>
        <w:rPr>
          <w:rFonts w:hint="eastAsia" w:ascii="仿宋_GB2312" w:eastAsia="仿宋_GB2312"/>
          <w:sz w:val="32"/>
          <w:szCs w:val="32"/>
        </w:rPr>
        <w:t>（五）指导老干部活动中心等学习活动阵地建设与管理。</w:t>
      </w:r>
    </w:p>
    <w:p>
      <w:pPr>
        <w:spacing w:line="584" w:lineRule="exact"/>
        <w:ind w:firstLine="646"/>
        <w:rPr>
          <w:rFonts w:ascii="仿宋_GB2312" w:eastAsia="仿宋_GB2312"/>
          <w:sz w:val="32"/>
          <w:szCs w:val="32"/>
        </w:rPr>
      </w:pPr>
      <w:r>
        <w:rPr>
          <w:rFonts w:hint="eastAsia" w:ascii="仿宋_GB2312" w:eastAsia="仿宋_GB2312"/>
          <w:sz w:val="32"/>
          <w:szCs w:val="32"/>
        </w:rPr>
        <w:t>（六）指导各单位组织离退休干部利用自身优势，在政治、经济、文化和青少年教育等各领域发挥作用，增添正能量。</w:t>
      </w:r>
    </w:p>
    <w:p>
      <w:pPr>
        <w:spacing w:line="584" w:lineRule="exact"/>
        <w:ind w:firstLine="646"/>
        <w:rPr>
          <w:rFonts w:ascii="仿宋_GB2312" w:eastAsia="仿宋_GB2312"/>
          <w:sz w:val="32"/>
          <w:szCs w:val="32"/>
        </w:rPr>
      </w:pPr>
      <w:r>
        <w:rPr>
          <w:rFonts w:hint="eastAsia" w:ascii="仿宋_GB2312" w:eastAsia="仿宋_GB2312"/>
          <w:sz w:val="32"/>
          <w:szCs w:val="32"/>
        </w:rPr>
        <w:t>（七）了解离退休干部对医疗保健方面的意见和要求。组织指导离退休干部开展健康科学的文化健身、保健讲座、健康疗养、参观学习等活动。</w:t>
      </w:r>
    </w:p>
    <w:p>
      <w:pPr>
        <w:spacing w:line="584" w:lineRule="exact"/>
        <w:ind w:firstLine="646"/>
        <w:rPr>
          <w:rFonts w:ascii="仿宋_GB2312" w:eastAsia="仿宋_GB2312"/>
          <w:sz w:val="32"/>
          <w:szCs w:val="32"/>
        </w:rPr>
      </w:pPr>
      <w:r>
        <w:rPr>
          <w:rFonts w:hint="eastAsia" w:ascii="仿宋_GB2312" w:eastAsia="仿宋_GB2312"/>
          <w:sz w:val="32"/>
          <w:szCs w:val="32"/>
        </w:rPr>
        <w:t>（八）负责易地安置离休干部服务管理工作。</w:t>
      </w:r>
    </w:p>
    <w:p>
      <w:pPr>
        <w:spacing w:line="584" w:lineRule="exact"/>
        <w:ind w:firstLine="646"/>
        <w:rPr>
          <w:rFonts w:ascii="仿宋_GB2312" w:eastAsia="仿宋_GB2312"/>
          <w:sz w:val="32"/>
          <w:szCs w:val="32"/>
        </w:rPr>
      </w:pPr>
      <w:r>
        <w:rPr>
          <w:rFonts w:hint="eastAsia" w:ascii="仿宋_GB2312" w:eastAsia="仿宋_GB2312"/>
          <w:sz w:val="32"/>
          <w:szCs w:val="32"/>
        </w:rPr>
        <w:t>（九）负责回广阳区老干部探亲访友和各省区市老干部工作部门到广阳区的联络接待工作。</w:t>
      </w:r>
    </w:p>
    <w:p>
      <w:pPr>
        <w:spacing w:line="584" w:lineRule="exact"/>
        <w:ind w:firstLine="646"/>
        <w:rPr>
          <w:rFonts w:ascii="仿宋_GB2312" w:eastAsia="仿宋_GB2312"/>
          <w:sz w:val="32"/>
          <w:szCs w:val="32"/>
        </w:rPr>
      </w:pPr>
      <w:r>
        <w:rPr>
          <w:rFonts w:hint="eastAsia" w:ascii="仿宋_GB2312" w:eastAsia="仿宋_GB2312"/>
          <w:sz w:val="32"/>
          <w:szCs w:val="32"/>
        </w:rPr>
        <w:t>（十）协调协助逝世老干部所在单位做好相关善后工作，协助承办区委交办丧葬事宜。</w:t>
      </w:r>
    </w:p>
    <w:p>
      <w:pPr>
        <w:spacing w:line="584" w:lineRule="exact"/>
        <w:ind w:firstLine="646"/>
        <w:rPr>
          <w:rFonts w:ascii="仿宋_GB2312" w:eastAsia="仿宋_GB2312"/>
          <w:sz w:val="32"/>
          <w:szCs w:val="32"/>
        </w:rPr>
      </w:pPr>
      <w:r>
        <w:rPr>
          <w:rFonts w:hint="eastAsia" w:ascii="仿宋_GB2312" w:eastAsia="仿宋_GB2312"/>
          <w:sz w:val="32"/>
          <w:szCs w:val="32"/>
        </w:rPr>
        <w:t>（十一）承担区老干部工作领导小组的日常工作。</w:t>
      </w:r>
    </w:p>
    <w:p>
      <w:pPr>
        <w:spacing w:line="584" w:lineRule="exact"/>
        <w:ind w:firstLine="646"/>
        <w:rPr>
          <w:rFonts w:ascii="仿宋_GB2312" w:eastAsia="仿宋_GB2312"/>
          <w:sz w:val="32"/>
          <w:szCs w:val="32"/>
        </w:rPr>
      </w:pPr>
      <w:r>
        <w:rPr>
          <w:rFonts w:hint="eastAsia" w:ascii="仿宋_GB2312" w:eastAsia="仿宋_GB2312"/>
          <w:sz w:val="32"/>
          <w:szCs w:val="32"/>
        </w:rPr>
        <w:t>（十二）完成区委交办的其他任务。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中国共产党廊坊市广阳区委员会老干部局</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机关</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6"/>
        <w:rPr>
          <w:rFonts w:ascii="仿宋_GB2312" w:eastAsia="仿宋_GB2312"/>
          <w:sz w:val="32"/>
          <w:szCs w:val="32"/>
        </w:rPr>
      </w:pPr>
      <w:r>
        <w:rPr>
          <w:rFonts w:ascii="仿宋_GB2312" w:eastAsia="仿宋_GB2312"/>
          <w:sz w:val="32"/>
          <w:szCs w:val="32"/>
        </w:rPr>
        <w:t>按照预算管理有关规定，目前我</w:t>
      </w:r>
      <w:r>
        <w:rPr>
          <w:rFonts w:hint="eastAsia" w:ascii="仿宋_GB2312" w:eastAsia="仿宋_GB2312"/>
          <w:sz w:val="32"/>
          <w:szCs w:val="32"/>
        </w:rPr>
        <w:t>区</w:t>
      </w:r>
      <w:r>
        <w:rPr>
          <w:rFonts w:ascii="仿宋_GB2312" w:eastAsia="仿宋_GB2312"/>
          <w:sz w:val="32"/>
          <w:szCs w:val="32"/>
        </w:rPr>
        <w:t>部门预算的编制实行综合预算制度，即全部收入和支出都反映在预算中。廊坊市广阳区委老干部局的收支包含在部门预算中。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仿宋_GB2312" w:eastAsia="仿宋_GB2312"/>
          <w:sz w:val="32"/>
          <w:szCs w:val="32"/>
        </w:rPr>
      </w:pPr>
      <w:r>
        <w:rPr>
          <w:rFonts w:ascii="仿宋_GB2312" w:eastAsia="仿宋_GB2312"/>
          <w:sz w:val="32"/>
          <w:szCs w:val="32"/>
        </w:rPr>
        <w:t>反映本部门当年全部收入。20</w:t>
      </w:r>
      <w:r>
        <w:rPr>
          <w:rFonts w:hint="eastAsia" w:ascii="仿宋_GB2312" w:eastAsia="仿宋_GB2312"/>
          <w:sz w:val="32"/>
          <w:szCs w:val="32"/>
        </w:rPr>
        <w:t>2</w:t>
      </w:r>
      <w:r>
        <w:rPr>
          <w:rFonts w:ascii="仿宋_GB2312" w:eastAsia="仿宋_GB2312"/>
          <w:sz w:val="32"/>
          <w:szCs w:val="32"/>
        </w:rPr>
        <w:t>2年预算收入</w:t>
      </w:r>
      <w:r>
        <w:rPr>
          <w:rFonts w:hint="eastAsia" w:ascii="仿宋_GB2312" w:eastAsia="仿宋_GB2312"/>
          <w:sz w:val="32"/>
          <w:szCs w:val="32"/>
        </w:rPr>
        <w:t>659.47</w:t>
      </w:r>
      <w:r>
        <w:rPr>
          <w:rFonts w:ascii="仿宋_GB2312" w:eastAsia="仿宋_GB2312"/>
          <w:sz w:val="32"/>
          <w:szCs w:val="32"/>
        </w:rPr>
        <w:t>万元，其中：一般公共预算收入</w:t>
      </w:r>
      <w:r>
        <w:rPr>
          <w:rFonts w:hint="eastAsia" w:ascii="仿宋_GB2312" w:eastAsia="仿宋_GB2312"/>
          <w:sz w:val="32"/>
          <w:szCs w:val="32"/>
        </w:rPr>
        <w:t>659.47</w:t>
      </w:r>
      <w:r>
        <w:rPr>
          <w:rFonts w:ascii="仿宋_GB2312" w:eastAsia="仿宋_GB2312"/>
          <w:sz w:val="32"/>
          <w:szCs w:val="32"/>
        </w:rPr>
        <w:t>万元，基金预算收入</w:t>
      </w:r>
      <w:r>
        <w:rPr>
          <w:rFonts w:hint="eastAsia" w:ascii="仿宋_GB2312" w:eastAsia="仿宋_GB2312"/>
          <w:sz w:val="32"/>
          <w:szCs w:val="32"/>
        </w:rPr>
        <w:t>0</w:t>
      </w:r>
      <w:r>
        <w:rPr>
          <w:rFonts w:ascii="仿宋_GB2312" w:eastAsia="仿宋_GB2312"/>
          <w:sz w:val="32"/>
          <w:szCs w:val="32"/>
        </w:rPr>
        <w:t>万元，财政专户核拨收入</w:t>
      </w:r>
      <w:r>
        <w:rPr>
          <w:rFonts w:hint="eastAsia" w:ascii="仿宋_GB2312" w:eastAsia="仿宋_GB2312"/>
          <w:sz w:val="32"/>
          <w:szCs w:val="32"/>
        </w:rPr>
        <w:t>0</w:t>
      </w:r>
      <w:r>
        <w:rPr>
          <w:rFonts w:ascii="仿宋_GB2312" w:eastAsia="仿宋_GB2312"/>
          <w:sz w:val="32"/>
          <w:szCs w:val="32"/>
        </w:rPr>
        <w:t>万元，其他来源收入</w:t>
      </w:r>
      <w:r>
        <w:rPr>
          <w:rFonts w:hint="eastAsia" w:ascii="仿宋_GB2312" w:eastAsia="仿宋_GB2312"/>
          <w:sz w:val="32"/>
          <w:szCs w:val="32"/>
        </w:rPr>
        <w:t>0</w:t>
      </w:r>
      <w:r>
        <w:rPr>
          <w:rFonts w:ascii="仿宋_GB2312" w:eastAsia="仿宋_GB2312"/>
          <w:sz w:val="32"/>
          <w:szCs w:val="32"/>
        </w:rPr>
        <w:t>万元</w:t>
      </w:r>
      <w:r>
        <w:rPr>
          <w:rFonts w:hint="eastAsia" w:ascii="仿宋_GB2312" w:eastAsia="仿宋_GB2312"/>
          <w:sz w:val="32"/>
          <w:szCs w:val="32"/>
        </w:rPr>
        <w:t>，</w:t>
      </w:r>
      <w:r>
        <w:rPr>
          <w:rFonts w:ascii="仿宋_GB2312" w:eastAsia="仿宋_GB2312"/>
          <w:sz w:val="32"/>
          <w:szCs w:val="32"/>
        </w:rPr>
        <w:t>上年结转</w:t>
      </w:r>
      <w:r>
        <w:rPr>
          <w:rFonts w:hint="eastAsia" w:ascii="仿宋_GB2312" w:eastAsia="仿宋_GB2312"/>
          <w:sz w:val="32"/>
          <w:szCs w:val="32"/>
        </w:rPr>
        <w:t>0万元</w:t>
      </w:r>
      <w:r>
        <w:rPr>
          <w:rFonts w:ascii="仿宋_GB2312" w:eastAsia="仿宋_GB2312"/>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仿宋_GB2312" w:eastAsia="仿宋_GB2312"/>
          <w:sz w:val="32"/>
          <w:szCs w:val="32"/>
        </w:rPr>
      </w:pPr>
      <w:r>
        <w:rPr>
          <w:rFonts w:ascii="仿宋_GB2312" w:eastAsia="仿宋_GB2312"/>
          <w:sz w:val="32"/>
          <w:szCs w:val="32"/>
        </w:rPr>
        <w:t>收支预算总表支出栏、基本支出表、项目支出表按经济分类和支出功能分类科目编制，反映廊坊市广阳区委老干部局</w:t>
      </w:r>
      <w:r>
        <w:rPr>
          <w:rFonts w:hint="eastAsia" w:ascii="仿宋_GB2312" w:eastAsia="仿宋_GB2312"/>
          <w:sz w:val="32"/>
          <w:szCs w:val="32"/>
        </w:rPr>
        <w:t>2022</w:t>
      </w:r>
      <w:r>
        <w:rPr>
          <w:rFonts w:ascii="仿宋_GB2312" w:eastAsia="仿宋_GB2312"/>
          <w:sz w:val="32"/>
          <w:szCs w:val="32"/>
        </w:rPr>
        <w:t>年度部门预算中支出预算的总体情况。20</w:t>
      </w:r>
      <w:r>
        <w:rPr>
          <w:rFonts w:hint="eastAsia" w:ascii="仿宋_GB2312" w:eastAsia="仿宋_GB2312"/>
          <w:sz w:val="32"/>
          <w:szCs w:val="32"/>
        </w:rPr>
        <w:t>2</w:t>
      </w:r>
      <w:r>
        <w:rPr>
          <w:rFonts w:ascii="仿宋_GB2312" w:eastAsia="仿宋_GB2312"/>
          <w:sz w:val="32"/>
          <w:szCs w:val="32"/>
        </w:rPr>
        <w:t>2年支出预算</w:t>
      </w:r>
      <w:r>
        <w:rPr>
          <w:rFonts w:hint="eastAsia" w:ascii="仿宋_GB2312" w:eastAsia="仿宋_GB2312"/>
          <w:sz w:val="32"/>
          <w:szCs w:val="32"/>
        </w:rPr>
        <w:t>659.47</w:t>
      </w:r>
      <w:r>
        <w:rPr>
          <w:rFonts w:ascii="仿宋_GB2312" w:eastAsia="仿宋_GB2312"/>
          <w:sz w:val="32"/>
          <w:szCs w:val="32"/>
        </w:rPr>
        <w:t>万元，其中基本支出</w:t>
      </w:r>
      <w:r>
        <w:rPr>
          <w:rFonts w:hint="eastAsia" w:ascii="仿宋_GB2312" w:eastAsia="仿宋_GB2312"/>
          <w:sz w:val="32"/>
          <w:szCs w:val="32"/>
        </w:rPr>
        <w:t>392.67</w:t>
      </w:r>
      <w:r>
        <w:rPr>
          <w:rFonts w:ascii="仿宋_GB2312" w:eastAsia="仿宋_GB2312"/>
          <w:sz w:val="32"/>
          <w:szCs w:val="32"/>
        </w:rPr>
        <w:t>万元，包括人员类项目经费</w:t>
      </w:r>
      <w:r>
        <w:rPr>
          <w:rFonts w:hint="eastAsia" w:ascii="仿宋_GB2312" w:eastAsia="仿宋_GB2312"/>
          <w:sz w:val="32"/>
          <w:szCs w:val="32"/>
        </w:rPr>
        <w:t>352.6</w:t>
      </w:r>
      <w:r>
        <w:rPr>
          <w:rFonts w:ascii="仿宋_GB2312" w:eastAsia="仿宋_GB2312"/>
          <w:sz w:val="32"/>
          <w:szCs w:val="32"/>
        </w:rPr>
        <w:t>万元和</w:t>
      </w:r>
      <w:r>
        <w:rPr>
          <w:rFonts w:hint="eastAsia" w:ascii="仿宋_GB2312" w:eastAsia="仿宋_GB2312"/>
          <w:sz w:val="32"/>
          <w:szCs w:val="32"/>
        </w:rPr>
        <w:t>运转类</w:t>
      </w:r>
      <w:r>
        <w:rPr>
          <w:rFonts w:ascii="仿宋_GB2312" w:eastAsia="仿宋_GB2312"/>
          <w:sz w:val="32"/>
          <w:szCs w:val="32"/>
        </w:rPr>
        <w:t>公用项目经费</w:t>
      </w:r>
      <w:r>
        <w:rPr>
          <w:rFonts w:hint="eastAsia" w:ascii="仿宋_GB2312" w:eastAsia="仿宋_GB2312"/>
          <w:sz w:val="32"/>
          <w:szCs w:val="32"/>
        </w:rPr>
        <w:t>40.07</w:t>
      </w:r>
      <w:r>
        <w:rPr>
          <w:rFonts w:ascii="仿宋_GB2312" w:eastAsia="仿宋_GB2312"/>
          <w:sz w:val="32"/>
          <w:szCs w:val="32"/>
        </w:rPr>
        <w:t>万元；运转类其他及特定目标类项目支出</w:t>
      </w:r>
      <w:r>
        <w:rPr>
          <w:rFonts w:hint="eastAsia" w:ascii="仿宋_GB2312" w:eastAsia="仿宋_GB2312"/>
          <w:sz w:val="32"/>
          <w:szCs w:val="32"/>
        </w:rPr>
        <w:t>266.8</w:t>
      </w:r>
      <w:r>
        <w:rPr>
          <w:rFonts w:ascii="仿宋_GB2312" w:eastAsia="仿宋_GB2312"/>
          <w:sz w:val="32"/>
          <w:szCs w:val="32"/>
        </w:rPr>
        <w:t>万元，</w:t>
      </w:r>
      <w:r>
        <w:rPr>
          <w:rFonts w:hint="eastAsia" w:ascii="仿宋_GB2312" w:eastAsia="仿宋_GB2312"/>
          <w:sz w:val="32"/>
          <w:szCs w:val="32"/>
        </w:rPr>
        <w:t>均为</w:t>
      </w:r>
      <w:r>
        <w:rPr>
          <w:rFonts w:ascii="仿宋_GB2312" w:eastAsia="仿宋_GB2312"/>
          <w:sz w:val="32"/>
          <w:szCs w:val="32"/>
        </w:rPr>
        <w:t>本级支出，主要为</w:t>
      </w:r>
      <w:r>
        <w:rPr>
          <w:rFonts w:hint="eastAsia" w:ascii="仿宋_GB2312" w:eastAsia="仿宋_GB2312"/>
          <w:sz w:val="32"/>
          <w:szCs w:val="32"/>
        </w:rPr>
        <w:t>离休干部医疗费补助资金</w:t>
      </w:r>
      <w:r>
        <w:rPr>
          <w:rFonts w:ascii="仿宋_GB2312" w:eastAsia="仿宋_GB2312"/>
          <w:sz w:val="32"/>
          <w:szCs w:val="32"/>
        </w:rPr>
        <w:t>、</w:t>
      </w:r>
      <w:r>
        <w:rPr>
          <w:rFonts w:hint="eastAsia" w:ascii="仿宋_GB2312" w:eastAsia="仿宋_GB2312"/>
          <w:sz w:val="32"/>
          <w:szCs w:val="32"/>
        </w:rPr>
        <w:t>老干部慰问经费</w:t>
      </w:r>
      <w:r>
        <w:rPr>
          <w:rFonts w:ascii="仿宋_GB2312" w:eastAsia="仿宋_GB2312"/>
          <w:sz w:val="32"/>
          <w:szCs w:val="32"/>
        </w:rPr>
        <w:t>、</w:t>
      </w:r>
      <w:r>
        <w:rPr>
          <w:rFonts w:hint="eastAsia" w:ascii="仿宋_GB2312" w:eastAsia="仿宋_GB2312"/>
          <w:sz w:val="32"/>
          <w:szCs w:val="32"/>
        </w:rPr>
        <w:t>特困老干部帮扶经费、退休干部特需费</w:t>
      </w:r>
      <w:r>
        <w:rPr>
          <w:rFonts w:ascii="仿宋_GB2312" w:eastAsia="仿宋_GB2312"/>
          <w:sz w:val="32"/>
          <w:szCs w:val="32"/>
        </w:rPr>
        <w:t>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ascii="仿宋_GB2312" w:eastAsia="仿宋_GB2312"/>
          <w:sz w:val="32"/>
          <w:szCs w:val="32"/>
        </w:rPr>
        <w:t>2年预算收支安排</w:t>
      </w:r>
      <w:r>
        <w:rPr>
          <w:rFonts w:hint="eastAsia" w:ascii="仿宋_GB2312" w:eastAsia="仿宋_GB2312"/>
          <w:sz w:val="32"/>
          <w:szCs w:val="32"/>
        </w:rPr>
        <w:t>659.47</w:t>
      </w:r>
      <w:r>
        <w:rPr>
          <w:rFonts w:ascii="仿宋_GB2312" w:eastAsia="仿宋_GB2312"/>
          <w:sz w:val="32"/>
          <w:szCs w:val="32"/>
        </w:rPr>
        <w:t>万元，较20</w:t>
      </w:r>
      <w:r>
        <w:rPr>
          <w:rFonts w:hint="eastAsia" w:ascii="仿宋_GB2312" w:eastAsia="仿宋_GB2312"/>
          <w:sz w:val="32"/>
          <w:szCs w:val="32"/>
        </w:rPr>
        <w:t>2</w:t>
      </w:r>
      <w:r>
        <w:rPr>
          <w:rFonts w:ascii="仿宋_GB2312" w:eastAsia="仿宋_GB2312"/>
          <w:sz w:val="32"/>
          <w:szCs w:val="32"/>
        </w:rPr>
        <w:t>1年预算减少</w:t>
      </w:r>
      <w:r>
        <w:rPr>
          <w:rFonts w:hint="eastAsia" w:ascii="仿宋_GB2312" w:eastAsia="仿宋_GB2312"/>
          <w:sz w:val="32"/>
          <w:szCs w:val="32"/>
        </w:rPr>
        <w:t>63.99</w:t>
      </w:r>
      <w:r>
        <w:rPr>
          <w:rFonts w:ascii="仿宋_GB2312" w:eastAsia="仿宋_GB2312"/>
          <w:sz w:val="32"/>
          <w:szCs w:val="32"/>
        </w:rPr>
        <w:t>万元，其中：基本支出减少</w:t>
      </w:r>
      <w:r>
        <w:rPr>
          <w:rFonts w:hint="eastAsia" w:ascii="仿宋_GB2312" w:eastAsia="仿宋_GB2312"/>
          <w:sz w:val="32"/>
          <w:szCs w:val="32"/>
        </w:rPr>
        <w:t>25.79</w:t>
      </w:r>
      <w:r>
        <w:rPr>
          <w:rFonts w:ascii="仿宋_GB2312" w:eastAsia="仿宋_GB2312"/>
          <w:sz w:val="32"/>
          <w:szCs w:val="32"/>
        </w:rPr>
        <w:t>万元，主要</w:t>
      </w:r>
      <w:r>
        <w:rPr>
          <w:rFonts w:hint="eastAsia" w:ascii="仿宋_GB2312" w:eastAsia="仿宋_GB2312"/>
          <w:sz w:val="32"/>
          <w:szCs w:val="32"/>
          <w:lang w:eastAsia="zh-CN"/>
        </w:rPr>
        <w:t>为</w:t>
      </w:r>
      <w:r>
        <w:rPr>
          <w:rFonts w:hint="eastAsia" w:ascii="仿宋_GB2312" w:eastAsia="仿宋_GB2312"/>
          <w:sz w:val="32"/>
          <w:szCs w:val="32"/>
        </w:rPr>
        <w:t>人员经费</w:t>
      </w:r>
      <w:r>
        <w:rPr>
          <w:rFonts w:ascii="仿宋_GB2312" w:eastAsia="仿宋_GB2312"/>
          <w:sz w:val="32"/>
          <w:szCs w:val="32"/>
        </w:rPr>
        <w:t>支出</w:t>
      </w:r>
      <w:r>
        <w:rPr>
          <w:rFonts w:hint="eastAsia" w:ascii="仿宋_GB2312" w:eastAsia="仿宋_GB2312"/>
          <w:sz w:val="32"/>
          <w:szCs w:val="32"/>
        </w:rPr>
        <w:t>减少较多</w:t>
      </w:r>
      <w:r>
        <w:rPr>
          <w:rFonts w:ascii="仿宋_GB2312" w:eastAsia="仿宋_GB2312"/>
          <w:sz w:val="32"/>
          <w:szCs w:val="32"/>
        </w:rPr>
        <w:t>；项目支出减少</w:t>
      </w:r>
      <w:r>
        <w:rPr>
          <w:rFonts w:hint="eastAsia" w:ascii="仿宋_GB2312" w:eastAsia="仿宋_GB2312"/>
          <w:sz w:val="32"/>
          <w:szCs w:val="32"/>
        </w:rPr>
        <w:t>38.2</w:t>
      </w:r>
      <w:r>
        <w:rPr>
          <w:rFonts w:ascii="仿宋_GB2312" w:eastAsia="仿宋_GB2312"/>
          <w:sz w:val="32"/>
          <w:szCs w:val="32"/>
        </w:rPr>
        <w:t>万元，主要为</w:t>
      </w:r>
      <w:r>
        <w:rPr>
          <w:rFonts w:hint="eastAsia" w:ascii="仿宋_GB2312" w:eastAsia="仿宋_GB2312"/>
          <w:sz w:val="32"/>
          <w:szCs w:val="32"/>
        </w:rPr>
        <w:t>离休干部医疗费补助资金</w:t>
      </w:r>
      <w:r>
        <w:rPr>
          <w:rFonts w:ascii="仿宋_GB2312" w:eastAsia="仿宋_GB2312"/>
          <w:sz w:val="32"/>
          <w:szCs w:val="32"/>
        </w:rPr>
        <w:t>项目支出</w:t>
      </w:r>
      <w:r>
        <w:rPr>
          <w:rFonts w:hint="eastAsia" w:ascii="仿宋_GB2312" w:eastAsia="仿宋_GB2312"/>
          <w:sz w:val="32"/>
          <w:szCs w:val="32"/>
        </w:rPr>
        <w:t>减少较多</w:t>
      </w:r>
      <w:r>
        <w:rPr>
          <w:rFonts w:ascii="仿宋_GB2312" w:eastAsia="仿宋_GB2312"/>
          <w:sz w:val="32"/>
          <w:szCs w:val="32"/>
        </w:rPr>
        <w:t>。</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spacing w:line="584"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ascii="仿宋_GB2312" w:eastAsia="仿宋_GB2312"/>
          <w:sz w:val="32"/>
          <w:szCs w:val="32"/>
        </w:rPr>
        <w:t>2年，我局机关运行经费共计安排</w:t>
      </w:r>
      <w:r>
        <w:rPr>
          <w:rFonts w:hint="eastAsia" w:ascii="仿宋_GB2312" w:eastAsia="仿宋_GB2312"/>
          <w:sz w:val="32"/>
          <w:szCs w:val="32"/>
        </w:rPr>
        <w:t>40.07</w:t>
      </w:r>
      <w:r>
        <w:rPr>
          <w:rFonts w:ascii="仿宋_GB2312" w:eastAsia="仿宋_GB2312"/>
          <w:sz w:val="32"/>
          <w:szCs w:val="32"/>
        </w:rPr>
        <w:t>万元，主要用于</w:t>
      </w:r>
      <w:r>
        <w:rPr>
          <w:rFonts w:hint="eastAsia" w:ascii="仿宋_GB2312" w:eastAsia="仿宋_GB2312"/>
          <w:sz w:val="32"/>
          <w:szCs w:val="32"/>
        </w:rPr>
        <w:t>廊坊市广阳区委老干部局</w:t>
      </w:r>
      <w:r>
        <w:rPr>
          <w:rFonts w:ascii="仿宋_GB2312" w:eastAsia="仿宋_GB2312"/>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w:t>
      </w:r>
      <w:r>
        <w:rPr>
          <w:rFonts w:hint="eastAsia" w:ascii="Times New Roman" w:hAnsi="Times New Roman" w:eastAsia="黑体" w:cs="Times New Roman"/>
          <w:sz w:val="32"/>
          <w:szCs w:val="32"/>
          <w:lang w:eastAsia="zh-CN"/>
        </w:rPr>
        <w:t>“</w:t>
      </w:r>
      <w:r>
        <w:rPr>
          <w:rFonts w:ascii="Times New Roman" w:hAnsi="Times New Roman" w:eastAsia="黑体" w:cs="Times New Roman"/>
          <w:sz w:val="32"/>
          <w:szCs w:val="32"/>
        </w:rPr>
        <w:t>三公</w:t>
      </w:r>
      <w:r>
        <w:rPr>
          <w:rFonts w:hint="eastAsia" w:ascii="Times New Roman" w:hAnsi="Times New Roman" w:eastAsia="黑体" w:cs="Times New Roman"/>
          <w:sz w:val="32"/>
          <w:szCs w:val="32"/>
          <w:lang w:eastAsia="zh-CN"/>
        </w:rPr>
        <w:t>”</w:t>
      </w:r>
      <w:r>
        <w:rPr>
          <w:rFonts w:ascii="Times New Roman" w:hAnsi="Times New Roman" w:eastAsia="黑体" w:cs="Times New Roman"/>
          <w:sz w:val="32"/>
          <w:szCs w:val="32"/>
        </w:rPr>
        <w:t>经费预算情况及增减变化原因</w:t>
      </w:r>
    </w:p>
    <w:p>
      <w:pPr>
        <w:autoSpaceDE w:val="0"/>
        <w:autoSpaceDN w:val="0"/>
        <w:adjustRightInd w:val="0"/>
        <w:spacing w:line="584" w:lineRule="exact"/>
        <w:ind w:left="197" w:leftChars="94" w:firstLine="640" w:firstLineChars="200"/>
        <w:jc w:val="left"/>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w:t>
      </w:r>
      <w:r>
        <w:rPr>
          <w:rFonts w:ascii="仿宋_GB2312" w:eastAsia="仿宋_GB2312"/>
          <w:sz w:val="32"/>
          <w:szCs w:val="32"/>
        </w:rPr>
        <w:t>2年，我局财政拨款</w:t>
      </w:r>
      <w:r>
        <w:rPr>
          <w:rFonts w:hint="eastAsia" w:ascii="仿宋_GB2312" w:eastAsia="仿宋_GB2312"/>
          <w:sz w:val="32"/>
          <w:szCs w:val="32"/>
          <w:lang w:eastAsia="zh-CN"/>
        </w:rPr>
        <w:t>“</w:t>
      </w:r>
      <w:r>
        <w:rPr>
          <w:rFonts w:ascii="仿宋_GB2312" w:eastAsia="仿宋_GB2312"/>
          <w:sz w:val="32"/>
          <w:szCs w:val="32"/>
        </w:rPr>
        <w:t>三公</w:t>
      </w:r>
      <w:r>
        <w:rPr>
          <w:rFonts w:hint="eastAsia" w:ascii="仿宋_GB2312" w:eastAsia="仿宋_GB2312"/>
          <w:sz w:val="32"/>
          <w:szCs w:val="32"/>
          <w:lang w:eastAsia="zh-CN"/>
        </w:rPr>
        <w:t>”</w:t>
      </w:r>
      <w:r>
        <w:rPr>
          <w:rFonts w:ascii="仿宋_GB2312" w:eastAsia="仿宋_GB2312"/>
          <w:sz w:val="32"/>
          <w:szCs w:val="32"/>
        </w:rPr>
        <w:t>经费预算安排</w:t>
      </w:r>
      <w:r>
        <w:rPr>
          <w:rFonts w:hint="eastAsia" w:ascii="仿宋_GB2312" w:eastAsia="仿宋_GB2312"/>
          <w:sz w:val="32"/>
          <w:szCs w:val="32"/>
        </w:rPr>
        <w:t>2.19</w:t>
      </w:r>
      <w:r>
        <w:rPr>
          <w:rFonts w:ascii="仿宋_GB2312" w:eastAsia="仿宋_GB2312"/>
          <w:sz w:val="32"/>
          <w:szCs w:val="32"/>
        </w:rPr>
        <w:t>万元</w:t>
      </w:r>
      <w:r>
        <w:rPr>
          <w:rFonts w:hint="eastAsia" w:ascii="仿宋_GB2312" w:eastAsia="仿宋_GB2312"/>
          <w:sz w:val="32"/>
          <w:szCs w:val="32"/>
        </w:rPr>
        <w:t>。</w:t>
      </w:r>
      <w:r>
        <w:rPr>
          <w:rFonts w:ascii="仿宋_GB2312" w:eastAsia="仿宋_GB2312"/>
          <w:sz w:val="32"/>
          <w:szCs w:val="32"/>
        </w:rPr>
        <w:t>其中</w:t>
      </w:r>
      <w:r>
        <w:rPr>
          <w:rFonts w:hint="eastAsia" w:ascii="仿宋_GB2312" w:eastAsia="仿宋_GB2312"/>
          <w:sz w:val="32"/>
          <w:szCs w:val="32"/>
        </w:rPr>
        <w:t>，</w:t>
      </w:r>
      <w:r>
        <w:rPr>
          <w:rFonts w:ascii="仿宋_GB2312" w:eastAsia="仿宋_GB2312"/>
          <w:sz w:val="32"/>
          <w:szCs w:val="32"/>
        </w:rPr>
        <w:t>因公出国（境）费</w:t>
      </w:r>
      <w:r>
        <w:rPr>
          <w:rFonts w:hint="eastAsia" w:ascii="仿宋_GB2312" w:eastAsia="仿宋_GB2312"/>
          <w:sz w:val="32"/>
          <w:szCs w:val="32"/>
        </w:rPr>
        <w:t>0</w:t>
      </w:r>
      <w:r>
        <w:rPr>
          <w:rFonts w:ascii="仿宋_GB2312" w:eastAsia="仿宋_GB2312"/>
          <w:sz w:val="32"/>
          <w:szCs w:val="32"/>
        </w:rPr>
        <w:t>万元；公务用车购置及运维费</w:t>
      </w:r>
      <w:r>
        <w:rPr>
          <w:rFonts w:hint="eastAsia" w:ascii="仿宋_GB2312" w:eastAsia="仿宋_GB2312"/>
          <w:sz w:val="32"/>
          <w:szCs w:val="32"/>
        </w:rPr>
        <w:t>2.19</w:t>
      </w:r>
      <w:r>
        <w:rPr>
          <w:rFonts w:ascii="仿宋_GB2312" w:eastAsia="仿宋_GB2312"/>
          <w:sz w:val="32"/>
          <w:szCs w:val="32"/>
        </w:rPr>
        <w:t>万元（其中：公务用车购置费为</w:t>
      </w:r>
      <w:r>
        <w:rPr>
          <w:rFonts w:hint="eastAsia" w:ascii="仿宋_GB2312" w:eastAsia="仿宋_GB2312"/>
          <w:sz w:val="32"/>
          <w:szCs w:val="32"/>
        </w:rPr>
        <w:t>0</w:t>
      </w:r>
      <w:r>
        <w:rPr>
          <w:rFonts w:ascii="仿宋_GB2312" w:eastAsia="仿宋_GB2312"/>
          <w:sz w:val="32"/>
          <w:szCs w:val="32"/>
        </w:rPr>
        <w:t>万元，公务用车运维费</w:t>
      </w:r>
      <w:r>
        <w:rPr>
          <w:rFonts w:hint="eastAsia" w:ascii="仿宋_GB2312" w:eastAsia="仿宋_GB2312"/>
          <w:sz w:val="32"/>
          <w:szCs w:val="32"/>
        </w:rPr>
        <w:t>2.19</w:t>
      </w:r>
      <w:r>
        <w:rPr>
          <w:rFonts w:ascii="仿宋_GB2312" w:eastAsia="仿宋_GB2312"/>
          <w:sz w:val="32"/>
          <w:szCs w:val="32"/>
        </w:rPr>
        <w:t>万元)；公务接待费</w:t>
      </w:r>
      <w:r>
        <w:rPr>
          <w:rFonts w:hint="eastAsia" w:ascii="仿宋_GB2312" w:eastAsia="仿宋_GB2312"/>
          <w:sz w:val="32"/>
          <w:szCs w:val="32"/>
        </w:rPr>
        <w:t>0</w:t>
      </w:r>
      <w:r>
        <w:rPr>
          <w:rFonts w:ascii="仿宋_GB2312" w:eastAsia="仿宋_GB2312"/>
          <w:sz w:val="32"/>
          <w:szCs w:val="32"/>
        </w:rPr>
        <w:t>万元。与20</w:t>
      </w:r>
      <w:r>
        <w:rPr>
          <w:rFonts w:hint="eastAsia" w:ascii="仿宋_GB2312" w:eastAsia="仿宋_GB2312"/>
          <w:sz w:val="32"/>
          <w:szCs w:val="32"/>
        </w:rPr>
        <w:t>2</w:t>
      </w:r>
      <w:r>
        <w:rPr>
          <w:rFonts w:ascii="仿宋_GB2312" w:eastAsia="仿宋_GB2312"/>
          <w:sz w:val="32"/>
          <w:szCs w:val="32"/>
        </w:rPr>
        <w:t>1年相比持平，无增减变化</w:t>
      </w:r>
      <w:r>
        <w:rPr>
          <w:rFonts w:hint="eastAsia" w:ascii="仿宋_GB2312" w:eastAsia="仿宋_GB2312"/>
          <w:sz w:val="32"/>
          <w:szCs w:val="32"/>
        </w:rPr>
        <w:t>。</w:t>
      </w:r>
    </w:p>
    <w:p>
      <w:pPr>
        <w:autoSpaceDE w:val="0"/>
        <w:autoSpaceDN w:val="0"/>
        <w:adjustRightInd w:val="0"/>
        <w:spacing w:line="584" w:lineRule="exact"/>
        <w:ind w:left="198" w:firstLine="640" w:firstLineChars="200"/>
        <w:jc w:val="left"/>
        <w:rPr>
          <w:rFonts w:hint="eastAsia"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spacing w:line="584" w:lineRule="exact"/>
        <w:ind w:firstLine="640" w:firstLineChars="200"/>
        <w:rPr>
          <w:rFonts w:ascii="仿宋_GB2312" w:hAnsi="Calibri" w:eastAsia="仿宋_GB2312" w:cs="Arial"/>
          <w:kern w:val="2"/>
          <w:sz w:val="32"/>
          <w:szCs w:val="32"/>
          <w:lang w:eastAsia="zh-CN"/>
        </w:rPr>
      </w:pPr>
      <w:r>
        <w:rPr>
          <w:rFonts w:ascii="仿宋_GB2312" w:hAnsi="Calibri" w:eastAsia="仿宋_GB2312" w:cs="Arial"/>
          <w:kern w:val="2"/>
          <w:sz w:val="32"/>
          <w:szCs w:val="32"/>
          <w:lang w:eastAsia="zh-CN"/>
        </w:rPr>
        <w:t>指导全区各部门做好离退休干部的政治和生活待遇落实工作，做好重大节日走访慰问。加强对全区离退休干部的党建管理和政治引领；抓好离休干部离休费、医药费的落实；调研离退休干部政治生活待遇中存在的问题。</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19"/>
        <w:spacing w:line="584" w:lineRule="exact"/>
        <w:ind w:firstLine="640" w:firstLineChars="200"/>
        <w:rPr>
          <w:rFonts w:ascii="仿宋_GB2312" w:hAnsi="Calibri" w:eastAsia="仿宋_GB2312" w:cs="Arial"/>
          <w:kern w:val="2"/>
          <w:sz w:val="32"/>
          <w:szCs w:val="32"/>
          <w:lang w:eastAsia="zh-CN"/>
        </w:rPr>
      </w:pPr>
      <w:r>
        <w:rPr>
          <w:rFonts w:ascii="仿宋_GB2312" w:hAnsi="Calibri" w:eastAsia="仿宋_GB2312" w:cs="Arial"/>
          <w:kern w:val="2"/>
          <w:sz w:val="32"/>
          <w:szCs w:val="32"/>
          <w:lang w:eastAsia="zh-CN"/>
        </w:rPr>
        <w:t>１、负责督促检查全区各部门落实离退休干部的政治和生活待遇，做好重大节日走访慰问工作。抓好离休干部“两费”（离休费、医药费）的落实，了解离退休干部对医疗保健方面的意见和要求；调查研究离退休干部政治和生活待遇中存在的问题，协调有关部门提出解决办法。协调协助逝世老干部所在单位做好相关善后工作。</w:t>
      </w:r>
    </w:p>
    <w:p>
      <w:pPr>
        <w:pStyle w:val="19"/>
        <w:spacing w:line="584" w:lineRule="exact"/>
        <w:ind w:firstLine="640" w:firstLineChars="200"/>
        <w:rPr>
          <w:rFonts w:ascii="仿宋_GB2312" w:hAnsi="Calibri" w:eastAsia="仿宋_GB2312" w:cs="Arial"/>
          <w:kern w:val="2"/>
          <w:sz w:val="32"/>
          <w:szCs w:val="32"/>
          <w:lang w:eastAsia="zh-CN"/>
        </w:rPr>
      </w:pPr>
      <w:r>
        <w:rPr>
          <w:rFonts w:ascii="仿宋_GB2312" w:hAnsi="Calibri" w:eastAsia="仿宋_GB2312" w:cs="Arial"/>
          <w:kern w:val="2"/>
          <w:sz w:val="32"/>
          <w:szCs w:val="32"/>
          <w:lang w:eastAsia="zh-CN"/>
        </w:rPr>
        <w:t>2、指导老干部活动中心等学习活动阵地建设与管理。</w:t>
      </w:r>
    </w:p>
    <w:p>
      <w:pPr>
        <w:pStyle w:val="19"/>
        <w:spacing w:line="584" w:lineRule="exact"/>
        <w:ind w:firstLine="640" w:firstLineChars="200"/>
        <w:rPr>
          <w:rFonts w:ascii="仿宋_GB2312" w:hAnsi="Calibri" w:eastAsia="仿宋_GB2312" w:cs="Arial"/>
          <w:kern w:val="2"/>
          <w:sz w:val="32"/>
          <w:szCs w:val="32"/>
          <w:lang w:eastAsia="zh-CN"/>
        </w:rPr>
      </w:pPr>
      <w:r>
        <w:rPr>
          <w:rFonts w:ascii="仿宋_GB2312" w:hAnsi="Calibri" w:eastAsia="仿宋_GB2312" w:cs="Arial"/>
          <w:kern w:val="2"/>
          <w:sz w:val="32"/>
          <w:szCs w:val="32"/>
          <w:lang w:eastAsia="zh-CN"/>
        </w:rPr>
        <w:t>3、加强对全区离退休干部的政治引领和教育管理。</w:t>
      </w:r>
    </w:p>
    <w:p>
      <w:pPr>
        <w:pStyle w:val="19"/>
        <w:spacing w:line="584" w:lineRule="exact"/>
        <w:ind w:firstLine="640" w:firstLineChars="200"/>
        <w:rPr>
          <w:rFonts w:ascii="仿宋_GB2312" w:hAnsi="Calibri" w:eastAsia="仿宋_GB2312" w:cs="Arial"/>
          <w:kern w:val="2"/>
          <w:sz w:val="32"/>
          <w:szCs w:val="32"/>
          <w:lang w:eastAsia="zh-CN"/>
        </w:rPr>
      </w:pPr>
      <w:r>
        <w:rPr>
          <w:rFonts w:ascii="仿宋_GB2312" w:hAnsi="Calibri" w:eastAsia="仿宋_GB2312" w:cs="Arial"/>
          <w:kern w:val="2"/>
          <w:sz w:val="32"/>
          <w:szCs w:val="32"/>
          <w:lang w:eastAsia="zh-CN"/>
        </w:rPr>
        <w:t>4、指导各单位组织离退休干部利用自身优势，在政治、经济、文化和青少年教育等各领域发挥作用，增添正能量。</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overflowPunct w:val="0"/>
        <w:adjustRightInd w:val="0"/>
        <w:snapToGrid w:val="0"/>
        <w:spacing w:line="584" w:lineRule="exact"/>
        <w:ind w:firstLine="627" w:firstLineChars="196"/>
        <w:jc w:val="left"/>
        <w:rPr>
          <w:rFonts w:hint="eastAsia" w:ascii="仿宋_GB2312" w:eastAsia="仿宋_GB2312"/>
          <w:sz w:val="32"/>
          <w:szCs w:val="32"/>
        </w:rPr>
      </w:pPr>
      <w:r>
        <w:rPr>
          <w:rFonts w:hint="eastAsia" w:ascii="仿宋_GB2312" w:eastAsia="仿宋_GB2312"/>
          <w:sz w:val="32"/>
          <w:szCs w:val="32"/>
        </w:rPr>
        <w:t>（一）以十九大精神为指导，做好新时期下老干部工作</w:t>
      </w:r>
    </w:p>
    <w:p>
      <w:pPr>
        <w:overflowPunct w:val="0"/>
        <w:adjustRightInd w:val="0"/>
        <w:snapToGrid w:val="0"/>
        <w:spacing w:line="584" w:lineRule="exact"/>
        <w:ind w:firstLine="627" w:firstLineChars="196"/>
        <w:jc w:val="left"/>
        <w:rPr>
          <w:rFonts w:hint="eastAsia" w:ascii="仿宋_GB2312" w:eastAsia="仿宋_GB2312"/>
          <w:sz w:val="32"/>
          <w:szCs w:val="32"/>
        </w:rPr>
      </w:pPr>
      <w:r>
        <w:rPr>
          <w:rFonts w:hint="eastAsia" w:ascii="仿宋_GB2312" w:eastAsia="仿宋_GB2312"/>
          <w:sz w:val="32"/>
          <w:szCs w:val="32"/>
        </w:rPr>
        <w:t>一是宣传贯彻十九大精神，做好老干部政治思想工作</w:t>
      </w:r>
    </w:p>
    <w:p>
      <w:pPr>
        <w:overflowPunct w:val="0"/>
        <w:adjustRightInd w:val="0"/>
        <w:snapToGrid w:val="0"/>
        <w:spacing w:line="584" w:lineRule="exact"/>
        <w:ind w:firstLine="627" w:firstLineChars="196"/>
        <w:jc w:val="left"/>
        <w:rPr>
          <w:rFonts w:hint="eastAsia" w:ascii="仿宋_GB2312" w:eastAsia="仿宋_GB2312"/>
          <w:sz w:val="32"/>
          <w:szCs w:val="32"/>
        </w:rPr>
      </w:pPr>
      <w:r>
        <w:rPr>
          <w:rFonts w:hint="eastAsia" w:ascii="仿宋_GB2312" w:eastAsia="仿宋_GB2312"/>
          <w:sz w:val="32"/>
          <w:szCs w:val="32"/>
        </w:rPr>
        <w:t>1、全面落实好离退休干部政治待遇。</w:t>
      </w:r>
    </w:p>
    <w:p>
      <w:pPr>
        <w:overflowPunct w:val="0"/>
        <w:adjustRightInd w:val="0"/>
        <w:snapToGrid w:val="0"/>
        <w:spacing w:line="584" w:lineRule="exact"/>
        <w:ind w:firstLine="627" w:firstLineChars="196"/>
        <w:jc w:val="left"/>
        <w:rPr>
          <w:rFonts w:hint="eastAsia" w:ascii="仿宋_GB2312" w:eastAsia="仿宋_GB2312"/>
          <w:sz w:val="32"/>
          <w:szCs w:val="32"/>
        </w:rPr>
      </w:pPr>
      <w:r>
        <w:rPr>
          <w:rFonts w:hint="eastAsia" w:ascii="仿宋_GB2312" w:eastAsia="仿宋_GB2312"/>
          <w:sz w:val="32"/>
          <w:szCs w:val="32"/>
        </w:rPr>
        <w:t>2、加强离退休干部党支部建设，使离退休党员领悟初心使命，增强党的意识，坚定理想信念。</w:t>
      </w:r>
    </w:p>
    <w:p>
      <w:pPr>
        <w:overflowPunct w:val="0"/>
        <w:adjustRightInd w:val="0"/>
        <w:snapToGrid w:val="0"/>
        <w:spacing w:line="584" w:lineRule="exact"/>
        <w:ind w:firstLine="627" w:firstLineChars="196"/>
        <w:jc w:val="left"/>
        <w:rPr>
          <w:rFonts w:hint="eastAsia" w:ascii="仿宋_GB2312" w:eastAsia="仿宋_GB2312"/>
          <w:sz w:val="32"/>
          <w:szCs w:val="32"/>
        </w:rPr>
      </w:pPr>
      <w:r>
        <w:rPr>
          <w:rFonts w:hint="eastAsia" w:ascii="仿宋_GB2312" w:eastAsia="仿宋_GB2312"/>
          <w:sz w:val="32"/>
          <w:szCs w:val="32"/>
        </w:rPr>
        <w:t>二是以老干部工作政策为依据，全面落实老干部生活待遇。</w:t>
      </w:r>
    </w:p>
    <w:p>
      <w:pPr>
        <w:overflowPunct w:val="0"/>
        <w:adjustRightInd w:val="0"/>
        <w:snapToGrid w:val="0"/>
        <w:spacing w:line="584" w:lineRule="exact"/>
        <w:ind w:firstLine="640" w:firstLineChars="200"/>
        <w:jc w:val="left"/>
        <w:rPr>
          <w:rFonts w:hint="eastAsia" w:ascii="仿宋_GB2312" w:eastAsia="仿宋_GB2312"/>
          <w:sz w:val="32"/>
          <w:szCs w:val="32"/>
        </w:rPr>
      </w:pPr>
      <w:r>
        <w:rPr>
          <w:rFonts w:hint="eastAsia" w:ascii="仿宋_GB2312" w:eastAsia="仿宋_GB2312"/>
          <w:sz w:val="32"/>
          <w:szCs w:val="32"/>
        </w:rPr>
        <w:t>1、是开展走访慰问工作。</w:t>
      </w:r>
    </w:p>
    <w:p>
      <w:pPr>
        <w:overflowPunct w:val="0"/>
        <w:adjustRightInd w:val="0"/>
        <w:snapToGrid w:val="0"/>
        <w:spacing w:line="584" w:lineRule="exact"/>
        <w:ind w:firstLine="627" w:firstLineChars="196"/>
        <w:jc w:val="left"/>
        <w:rPr>
          <w:rFonts w:hint="eastAsia" w:ascii="仿宋_GB2312" w:eastAsia="仿宋_GB2312"/>
          <w:sz w:val="32"/>
          <w:szCs w:val="32"/>
        </w:rPr>
      </w:pPr>
      <w:r>
        <w:rPr>
          <w:rFonts w:hint="eastAsia" w:ascii="仿宋_GB2312" w:eastAsia="仿宋_GB2312"/>
          <w:sz w:val="32"/>
          <w:szCs w:val="32"/>
        </w:rPr>
        <w:t>2、是认真宣传贯彻落实</w:t>
      </w:r>
      <w:r>
        <w:rPr>
          <w:rFonts w:hint="eastAsia" w:ascii="仿宋_GB2312" w:eastAsia="仿宋_GB2312"/>
          <w:sz w:val="32"/>
          <w:szCs w:val="32"/>
          <w:lang w:eastAsia="zh-CN"/>
        </w:rPr>
        <w:t>党中央、国务院</w:t>
      </w:r>
      <w:r>
        <w:rPr>
          <w:rFonts w:hint="eastAsia" w:ascii="仿宋_GB2312" w:eastAsia="仿宋_GB2312"/>
          <w:sz w:val="32"/>
          <w:szCs w:val="32"/>
        </w:rPr>
        <w:t>、省委省政府、市委市政府和区委区政府关于离退休干部工作的方针政策，认真做好有关离退休干部政治待遇与生活待遇工作。</w:t>
      </w:r>
    </w:p>
    <w:p>
      <w:pPr>
        <w:overflowPunct w:val="0"/>
        <w:adjustRightInd w:val="0"/>
        <w:snapToGrid w:val="0"/>
        <w:spacing w:line="584" w:lineRule="exact"/>
        <w:ind w:firstLine="627" w:firstLineChars="196"/>
        <w:jc w:val="left"/>
        <w:rPr>
          <w:rFonts w:hint="eastAsia" w:ascii="仿宋_GB2312" w:eastAsia="仿宋_GB2312"/>
          <w:sz w:val="32"/>
          <w:szCs w:val="32"/>
        </w:rPr>
      </w:pPr>
      <w:r>
        <w:rPr>
          <w:rFonts w:hint="eastAsia" w:ascii="仿宋_GB2312" w:eastAsia="仿宋_GB2312"/>
          <w:sz w:val="32"/>
          <w:szCs w:val="32"/>
        </w:rPr>
        <w:t>3、全心全意做好离休干部医疗服务工作，让老干部老有所医，共享改革发展红利。四是充分运用信息化平台，加强全区离退休干部信息服务管理水平。</w:t>
      </w:r>
    </w:p>
    <w:p>
      <w:pPr>
        <w:overflowPunct w:val="0"/>
        <w:adjustRightInd w:val="0"/>
        <w:snapToGrid w:val="0"/>
        <w:spacing w:line="584" w:lineRule="exact"/>
        <w:ind w:firstLine="627" w:firstLineChars="196"/>
        <w:jc w:val="left"/>
        <w:rPr>
          <w:rFonts w:hint="eastAsia" w:ascii="仿宋_GB2312" w:eastAsia="仿宋_GB2312"/>
          <w:sz w:val="32"/>
          <w:szCs w:val="32"/>
        </w:rPr>
      </w:pPr>
      <w:r>
        <w:rPr>
          <w:rFonts w:hint="eastAsia" w:ascii="仿宋_GB2312" w:eastAsia="仿宋_GB2312"/>
          <w:sz w:val="32"/>
          <w:szCs w:val="32"/>
        </w:rPr>
        <w:t>（二）充分发挥离退休干部独特优势，为党和人民的事业增添正能量</w:t>
      </w:r>
    </w:p>
    <w:p>
      <w:pPr>
        <w:overflowPunct w:val="0"/>
        <w:adjustRightInd w:val="0"/>
        <w:snapToGrid w:val="0"/>
        <w:spacing w:line="584" w:lineRule="exact"/>
        <w:ind w:firstLine="627" w:firstLineChars="196"/>
        <w:jc w:val="left"/>
        <w:rPr>
          <w:rFonts w:hint="eastAsia" w:ascii="仿宋_GB2312" w:eastAsia="仿宋_GB2312"/>
          <w:sz w:val="32"/>
          <w:szCs w:val="32"/>
        </w:rPr>
      </w:pPr>
      <w:r>
        <w:rPr>
          <w:rFonts w:hint="eastAsia" w:ascii="仿宋_GB2312" w:eastAsia="仿宋_GB2312"/>
          <w:sz w:val="32"/>
          <w:szCs w:val="32"/>
        </w:rPr>
        <w:t>通过搭建老体协、老年书画、关工委等涉老平台，充分发挥好离退休干部的各项作用。</w:t>
      </w:r>
    </w:p>
    <w:p>
      <w:pPr>
        <w:overflowPunct w:val="0"/>
        <w:adjustRightInd w:val="0"/>
        <w:snapToGrid w:val="0"/>
        <w:spacing w:line="584" w:lineRule="exact"/>
        <w:ind w:firstLine="627" w:firstLineChars="196"/>
        <w:jc w:val="left"/>
        <w:rPr>
          <w:rFonts w:hint="eastAsia" w:ascii="仿宋_GB2312" w:eastAsia="仿宋_GB2312"/>
          <w:sz w:val="32"/>
          <w:szCs w:val="32"/>
        </w:rPr>
      </w:pPr>
      <w:r>
        <w:rPr>
          <w:rFonts w:hint="eastAsia" w:ascii="仿宋_GB2312" w:eastAsia="仿宋_GB2312"/>
          <w:sz w:val="32"/>
          <w:szCs w:val="32"/>
        </w:rPr>
        <w:t>（三）强化离退休干部服务工作队伍建设，不断开创老干部服务工作新局面</w:t>
      </w:r>
    </w:p>
    <w:p>
      <w:pPr>
        <w:overflowPunct w:val="0"/>
        <w:adjustRightInd w:val="0"/>
        <w:snapToGrid w:val="0"/>
        <w:spacing w:line="584" w:lineRule="exact"/>
        <w:ind w:firstLine="627" w:firstLineChars="196"/>
        <w:jc w:val="left"/>
        <w:rPr>
          <w:rFonts w:hint="eastAsia" w:ascii="仿宋_GB2312" w:eastAsia="仿宋_GB2312"/>
          <w:sz w:val="32"/>
          <w:szCs w:val="32"/>
        </w:rPr>
      </w:pPr>
      <w:r>
        <w:rPr>
          <w:rFonts w:hint="eastAsia" w:ascii="仿宋_GB2312" w:eastAsia="仿宋_GB2312"/>
          <w:sz w:val="32"/>
          <w:szCs w:val="32"/>
        </w:rPr>
        <w:t>始终坚持把政治建设放在首位，引导局机关党员干部牢固树立“四个意识”、坚定“四个自信”、坚决做到“两个维护”，自觉在思想上政治上行动上同以习近平同志为核心的党中央保持高度一致。加强组织领导，提升基层党组织执行力和组织力。</w:t>
      </w:r>
    </w:p>
    <w:p>
      <w:pPr>
        <w:overflowPunct w:val="0"/>
        <w:adjustRightInd w:val="0"/>
        <w:snapToGrid w:val="0"/>
        <w:spacing w:line="584" w:lineRule="exact"/>
        <w:ind w:firstLine="627" w:firstLineChars="196"/>
        <w:jc w:val="left"/>
        <w:rPr>
          <w:rFonts w:hint="eastAsia" w:ascii="仿宋_GB2312" w:eastAsia="仿宋_GB2312"/>
          <w:sz w:val="32"/>
          <w:szCs w:val="32"/>
        </w:rPr>
      </w:pPr>
      <w:r>
        <w:rPr>
          <w:rFonts w:hint="eastAsia" w:ascii="仿宋_GB2312" w:eastAsia="仿宋_GB2312"/>
          <w:sz w:val="32"/>
          <w:szCs w:val="32"/>
        </w:rPr>
        <w:t>（四）强化责任落实，深化作风建设，提升工作水平</w:t>
      </w:r>
    </w:p>
    <w:p>
      <w:pPr>
        <w:overflowPunct w:val="0"/>
        <w:adjustRightInd w:val="0"/>
        <w:snapToGrid w:val="0"/>
        <w:spacing w:line="584" w:lineRule="exact"/>
        <w:ind w:firstLine="627" w:firstLineChars="196"/>
        <w:jc w:val="left"/>
        <w:rPr>
          <w:rFonts w:hint="eastAsia" w:ascii="仿宋_GB2312" w:eastAsia="仿宋_GB2312"/>
          <w:sz w:val="32"/>
          <w:szCs w:val="32"/>
        </w:rPr>
      </w:pPr>
      <w:r>
        <w:rPr>
          <w:rFonts w:hint="eastAsia" w:ascii="仿宋_GB2312" w:eastAsia="仿宋_GB2312"/>
          <w:sz w:val="32"/>
          <w:szCs w:val="32"/>
        </w:rPr>
        <w:t>一是强化责任担当，深化责任意识，确保党风廉政建设工作落实。加强党风廉政建设工作的全程痕迹管理；进一步规范“三重一大”事项集体决策制度和程序；严格执行有关财务制度，抓好财务工作。</w:t>
      </w:r>
    </w:p>
    <w:p>
      <w:pPr>
        <w:overflowPunct w:val="0"/>
        <w:adjustRightInd w:val="0"/>
        <w:snapToGrid w:val="0"/>
        <w:spacing w:line="584" w:lineRule="exact"/>
        <w:ind w:firstLine="627" w:firstLineChars="196"/>
        <w:jc w:val="left"/>
        <w:rPr>
          <w:rFonts w:hint="eastAsia" w:ascii="仿宋_GB2312" w:eastAsia="仿宋_GB2312"/>
          <w:sz w:val="32"/>
          <w:szCs w:val="32"/>
        </w:rPr>
      </w:pPr>
      <w:r>
        <w:rPr>
          <w:rFonts w:hint="eastAsia" w:ascii="仿宋_GB2312" w:eastAsia="仿宋_GB2312"/>
          <w:sz w:val="32"/>
          <w:szCs w:val="32"/>
        </w:rPr>
        <w:t>二是持续深化作风，强化日常监督，保持作风建设常态化，继续深化落实中央八项规定精神。</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1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767"/>
        <w:gridCol w:w="1352"/>
        <w:gridCol w:w="1985"/>
        <w:gridCol w:w="850"/>
        <w:gridCol w:w="2552"/>
        <w:gridCol w:w="977"/>
        <w:gridCol w:w="488"/>
        <w:gridCol w:w="573"/>
        <w:gridCol w:w="1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76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135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98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85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255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038"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429"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22" w:hRule="atLeast"/>
          <w:tblHeader/>
          <w:jc w:val="center"/>
        </w:trPr>
        <w:tc>
          <w:tcPr>
            <w:tcW w:w="1767" w:type="dxa"/>
            <w:vMerge w:val="continue"/>
            <w:tcBorders>
              <w:tl2br w:val="nil"/>
              <w:tr2bl w:val="nil"/>
            </w:tcBorders>
            <w:vAlign w:val="center"/>
          </w:tcPr>
          <w:p>
            <w:pPr>
              <w:widowControl/>
              <w:adjustRightInd w:val="0"/>
              <w:snapToGrid w:val="0"/>
              <w:jc w:val="center"/>
              <w:rPr>
                <w:rFonts w:ascii="方正书宋_GBK" w:eastAsia="方正书宋_GBK"/>
                <w:b/>
              </w:rPr>
            </w:pPr>
          </w:p>
        </w:tc>
        <w:tc>
          <w:tcPr>
            <w:tcW w:w="1352" w:type="dxa"/>
            <w:vMerge w:val="continue"/>
            <w:tcBorders>
              <w:tl2br w:val="nil"/>
              <w:tr2bl w:val="nil"/>
            </w:tcBorders>
            <w:vAlign w:val="center"/>
          </w:tcPr>
          <w:p>
            <w:pPr>
              <w:widowControl/>
              <w:adjustRightInd w:val="0"/>
              <w:snapToGrid w:val="0"/>
              <w:jc w:val="center"/>
              <w:rPr>
                <w:rFonts w:ascii="方正书宋_GBK" w:eastAsia="方正书宋_GBK"/>
                <w:b/>
              </w:rPr>
            </w:pPr>
          </w:p>
        </w:tc>
        <w:tc>
          <w:tcPr>
            <w:tcW w:w="1985" w:type="dxa"/>
            <w:vMerge w:val="continue"/>
            <w:tcBorders>
              <w:tl2br w:val="nil"/>
              <w:tr2bl w:val="nil"/>
            </w:tcBorders>
            <w:vAlign w:val="center"/>
          </w:tcPr>
          <w:p/>
        </w:tc>
        <w:tc>
          <w:tcPr>
            <w:tcW w:w="850" w:type="dxa"/>
            <w:vMerge w:val="continue"/>
            <w:tcBorders>
              <w:tl2br w:val="nil"/>
              <w:tr2bl w:val="nil"/>
            </w:tcBorders>
            <w:vAlign w:val="center"/>
          </w:tcPr>
          <w:p/>
        </w:tc>
        <w:tc>
          <w:tcPr>
            <w:tcW w:w="2552" w:type="dxa"/>
            <w:vMerge w:val="continue"/>
            <w:tcBorders>
              <w:tl2br w:val="nil"/>
              <w:tr2bl w:val="nil"/>
            </w:tcBorders>
            <w:vAlign w:val="center"/>
          </w:tcPr>
          <w:p/>
        </w:tc>
        <w:tc>
          <w:tcPr>
            <w:tcW w:w="97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429"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767" w:type="dxa"/>
            <w:vMerge w:val="restart"/>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部门产出</w:t>
            </w:r>
          </w:p>
        </w:tc>
        <w:tc>
          <w:tcPr>
            <w:tcW w:w="1352"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数量</w:t>
            </w:r>
          </w:p>
        </w:tc>
        <w:tc>
          <w:tcPr>
            <w:tcW w:w="1985"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活动开展次数</w:t>
            </w:r>
          </w:p>
        </w:tc>
        <w:tc>
          <w:tcPr>
            <w:tcW w:w="850"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百分比</w:t>
            </w:r>
          </w:p>
        </w:tc>
        <w:tc>
          <w:tcPr>
            <w:tcW w:w="2552" w:type="dxa"/>
            <w:tcBorders>
              <w:tl2br w:val="nil"/>
              <w:tr2bl w:val="nil"/>
            </w:tcBorders>
            <w:vAlign w:val="center"/>
          </w:tcPr>
          <w:p>
            <w:pPr>
              <w:spacing w:line="300" w:lineRule="exact"/>
              <w:rPr>
                <w:rFonts w:ascii="Times New Roman" w:hAnsi="Times New Roman" w:eastAsia="仿宋_GB2312" w:cs="Times New Roman"/>
              </w:rPr>
            </w:pPr>
            <w:r>
              <w:rPr>
                <w:rFonts w:ascii="Times New Roman" w:hAnsi="Times New Roman" w:eastAsia="仿宋_GB2312" w:cs="Times New Roman"/>
              </w:rPr>
              <w:t>开展活动次数</w:t>
            </w:r>
          </w:p>
        </w:tc>
        <w:tc>
          <w:tcPr>
            <w:tcW w:w="977"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w:t>
            </w:r>
          </w:p>
        </w:tc>
        <w:tc>
          <w:tcPr>
            <w:tcW w:w="488"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7</w:t>
            </w:r>
          </w:p>
        </w:tc>
        <w:tc>
          <w:tcPr>
            <w:tcW w:w="573"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次</w:t>
            </w:r>
          </w:p>
        </w:tc>
        <w:tc>
          <w:tcPr>
            <w:tcW w:w="1429"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廊广办字【2019】19号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767" w:type="dxa"/>
            <w:vMerge w:val="continue"/>
            <w:tcBorders>
              <w:tl2br w:val="nil"/>
              <w:tr2bl w:val="nil"/>
            </w:tcBorders>
            <w:vAlign w:val="center"/>
          </w:tcPr>
          <w:p>
            <w:pPr>
              <w:spacing w:line="300" w:lineRule="exact"/>
              <w:jc w:val="center"/>
              <w:rPr>
                <w:rFonts w:ascii="Times New Roman" w:hAnsi="Times New Roman" w:eastAsia="仿宋_GB2312" w:cs="Times New Roman"/>
              </w:rPr>
            </w:pPr>
          </w:p>
        </w:tc>
        <w:tc>
          <w:tcPr>
            <w:tcW w:w="1352"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质量</w:t>
            </w:r>
          </w:p>
        </w:tc>
        <w:tc>
          <w:tcPr>
            <w:tcW w:w="1985"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活动开展程序规范性</w:t>
            </w:r>
          </w:p>
        </w:tc>
        <w:tc>
          <w:tcPr>
            <w:tcW w:w="850"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百分比</w:t>
            </w:r>
          </w:p>
        </w:tc>
        <w:tc>
          <w:tcPr>
            <w:tcW w:w="2552" w:type="dxa"/>
            <w:tcBorders>
              <w:tl2br w:val="nil"/>
              <w:tr2bl w:val="nil"/>
            </w:tcBorders>
            <w:vAlign w:val="center"/>
          </w:tcPr>
          <w:p>
            <w:pPr>
              <w:spacing w:line="300" w:lineRule="exact"/>
              <w:rPr>
                <w:rFonts w:ascii="Times New Roman" w:hAnsi="Times New Roman" w:eastAsia="仿宋_GB2312" w:cs="Times New Roman"/>
              </w:rPr>
            </w:pPr>
            <w:r>
              <w:rPr>
                <w:rFonts w:ascii="Times New Roman" w:hAnsi="Times New Roman" w:eastAsia="仿宋_GB2312" w:cs="Times New Roman"/>
              </w:rPr>
              <w:t>反映宣传活动程序</w:t>
            </w:r>
          </w:p>
        </w:tc>
        <w:tc>
          <w:tcPr>
            <w:tcW w:w="977"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文字描述</w:t>
            </w:r>
          </w:p>
        </w:tc>
        <w:tc>
          <w:tcPr>
            <w:tcW w:w="488" w:type="dxa"/>
            <w:tcBorders>
              <w:tl2br w:val="nil"/>
              <w:tr2bl w:val="nil"/>
            </w:tcBorders>
            <w:vAlign w:val="center"/>
          </w:tcPr>
          <w:p>
            <w:pPr>
              <w:spacing w:line="300" w:lineRule="exact"/>
              <w:jc w:val="center"/>
              <w:rPr>
                <w:rFonts w:ascii="Times New Roman" w:hAnsi="Times New Roman" w:eastAsia="仿宋_GB2312" w:cs="Times New Roman"/>
              </w:rPr>
            </w:pPr>
          </w:p>
        </w:tc>
        <w:tc>
          <w:tcPr>
            <w:tcW w:w="573"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规范</w:t>
            </w:r>
          </w:p>
        </w:tc>
        <w:tc>
          <w:tcPr>
            <w:tcW w:w="1429"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廊广办字【2019】19号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767" w:type="dxa"/>
            <w:vMerge w:val="continue"/>
            <w:tcBorders>
              <w:tl2br w:val="nil"/>
              <w:tr2bl w:val="nil"/>
            </w:tcBorders>
            <w:vAlign w:val="center"/>
          </w:tcPr>
          <w:p>
            <w:pPr>
              <w:spacing w:line="300" w:lineRule="exact"/>
              <w:jc w:val="center"/>
              <w:rPr>
                <w:rFonts w:ascii="Times New Roman" w:hAnsi="Times New Roman" w:eastAsia="仿宋_GB2312" w:cs="Times New Roman"/>
              </w:rPr>
            </w:pPr>
          </w:p>
        </w:tc>
        <w:tc>
          <w:tcPr>
            <w:tcW w:w="1352"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时效</w:t>
            </w:r>
          </w:p>
        </w:tc>
        <w:tc>
          <w:tcPr>
            <w:tcW w:w="1985"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按时完成率</w:t>
            </w:r>
          </w:p>
        </w:tc>
        <w:tc>
          <w:tcPr>
            <w:tcW w:w="850"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百分比</w:t>
            </w:r>
          </w:p>
        </w:tc>
        <w:tc>
          <w:tcPr>
            <w:tcW w:w="2552" w:type="dxa"/>
            <w:tcBorders>
              <w:tl2br w:val="nil"/>
              <w:tr2bl w:val="nil"/>
            </w:tcBorders>
            <w:vAlign w:val="center"/>
          </w:tcPr>
          <w:p>
            <w:pPr>
              <w:spacing w:line="300" w:lineRule="exact"/>
              <w:rPr>
                <w:rFonts w:ascii="Times New Roman" w:hAnsi="Times New Roman" w:eastAsia="仿宋_GB2312" w:cs="Times New Roman"/>
              </w:rPr>
            </w:pPr>
            <w:r>
              <w:rPr>
                <w:rFonts w:ascii="Times New Roman" w:hAnsi="Times New Roman" w:eastAsia="仿宋_GB2312" w:cs="Times New Roman"/>
              </w:rPr>
              <w:t>按时完成工作量与总工作量的百分比</w:t>
            </w:r>
          </w:p>
        </w:tc>
        <w:tc>
          <w:tcPr>
            <w:tcW w:w="977"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w:t>
            </w:r>
          </w:p>
        </w:tc>
        <w:tc>
          <w:tcPr>
            <w:tcW w:w="488"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90</w:t>
            </w:r>
          </w:p>
        </w:tc>
        <w:tc>
          <w:tcPr>
            <w:tcW w:w="573"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w:t>
            </w:r>
          </w:p>
        </w:tc>
        <w:tc>
          <w:tcPr>
            <w:tcW w:w="1429"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廊广办字【2019】19号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767" w:type="dxa"/>
            <w:vMerge w:val="continue"/>
            <w:tcBorders>
              <w:tl2br w:val="nil"/>
              <w:tr2bl w:val="nil"/>
            </w:tcBorders>
            <w:vAlign w:val="center"/>
          </w:tcPr>
          <w:p>
            <w:pPr>
              <w:spacing w:line="300" w:lineRule="exact"/>
              <w:jc w:val="center"/>
              <w:rPr>
                <w:rFonts w:ascii="Times New Roman" w:hAnsi="Times New Roman" w:eastAsia="仿宋_GB2312" w:cs="Times New Roman"/>
              </w:rPr>
            </w:pPr>
          </w:p>
        </w:tc>
        <w:tc>
          <w:tcPr>
            <w:tcW w:w="1352"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成本</w:t>
            </w:r>
          </w:p>
        </w:tc>
        <w:tc>
          <w:tcPr>
            <w:tcW w:w="1985"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成本控制率</w:t>
            </w:r>
          </w:p>
        </w:tc>
        <w:tc>
          <w:tcPr>
            <w:tcW w:w="850"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百分比</w:t>
            </w:r>
          </w:p>
        </w:tc>
        <w:tc>
          <w:tcPr>
            <w:tcW w:w="2552" w:type="dxa"/>
            <w:tcBorders>
              <w:tl2br w:val="nil"/>
              <w:tr2bl w:val="nil"/>
            </w:tcBorders>
            <w:vAlign w:val="center"/>
          </w:tcPr>
          <w:p>
            <w:pPr>
              <w:spacing w:line="300" w:lineRule="exact"/>
              <w:rPr>
                <w:rFonts w:ascii="Times New Roman" w:hAnsi="Times New Roman" w:eastAsia="仿宋_GB2312" w:cs="Times New Roman"/>
              </w:rPr>
            </w:pPr>
            <w:r>
              <w:rPr>
                <w:rFonts w:ascii="Times New Roman" w:hAnsi="Times New Roman" w:eastAsia="仿宋_GB2312" w:cs="Times New Roman"/>
              </w:rPr>
              <w:t>反映项目成本控制</w:t>
            </w:r>
          </w:p>
        </w:tc>
        <w:tc>
          <w:tcPr>
            <w:tcW w:w="977"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w:t>
            </w:r>
          </w:p>
        </w:tc>
        <w:tc>
          <w:tcPr>
            <w:tcW w:w="488"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20</w:t>
            </w:r>
          </w:p>
        </w:tc>
        <w:tc>
          <w:tcPr>
            <w:tcW w:w="573"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w:t>
            </w:r>
          </w:p>
        </w:tc>
        <w:tc>
          <w:tcPr>
            <w:tcW w:w="1429"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廊广办字【2019】19号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767" w:type="dxa"/>
            <w:vMerge w:val="restart"/>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部门</w:t>
            </w:r>
            <w:r>
              <w:rPr>
                <w:rFonts w:hint="eastAsia" w:ascii="Times New Roman" w:hAnsi="Times New Roman" w:eastAsia="仿宋_GB2312" w:cs="Times New Roman"/>
              </w:rPr>
              <w:t>效果</w:t>
            </w:r>
          </w:p>
        </w:tc>
        <w:tc>
          <w:tcPr>
            <w:tcW w:w="1352"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社会效益</w:t>
            </w:r>
          </w:p>
        </w:tc>
        <w:tc>
          <w:tcPr>
            <w:tcW w:w="1985"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落实老干部待遇</w:t>
            </w:r>
          </w:p>
        </w:tc>
        <w:tc>
          <w:tcPr>
            <w:tcW w:w="850"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百分比</w:t>
            </w:r>
          </w:p>
        </w:tc>
        <w:tc>
          <w:tcPr>
            <w:tcW w:w="2552" w:type="dxa"/>
            <w:tcBorders>
              <w:tl2br w:val="nil"/>
              <w:tr2bl w:val="nil"/>
            </w:tcBorders>
            <w:vAlign w:val="center"/>
          </w:tcPr>
          <w:p>
            <w:pPr>
              <w:spacing w:line="300" w:lineRule="exact"/>
              <w:rPr>
                <w:rFonts w:ascii="Times New Roman" w:hAnsi="Times New Roman" w:eastAsia="仿宋_GB2312" w:cs="Times New Roman"/>
              </w:rPr>
            </w:pPr>
            <w:r>
              <w:rPr>
                <w:rFonts w:ascii="Times New Roman" w:hAnsi="Times New Roman" w:eastAsia="仿宋_GB2312" w:cs="Times New Roman"/>
              </w:rPr>
              <w:t>保障老干部待遇落实到位</w:t>
            </w:r>
          </w:p>
        </w:tc>
        <w:tc>
          <w:tcPr>
            <w:tcW w:w="977"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文字描述</w:t>
            </w:r>
          </w:p>
        </w:tc>
        <w:tc>
          <w:tcPr>
            <w:tcW w:w="488" w:type="dxa"/>
            <w:tcBorders>
              <w:tl2br w:val="nil"/>
              <w:tr2bl w:val="nil"/>
            </w:tcBorders>
            <w:vAlign w:val="center"/>
          </w:tcPr>
          <w:p>
            <w:pPr>
              <w:spacing w:line="300" w:lineRule="exact"/>
              <w:jc w:val="center"/>
              <w:rPr>
                <w:rFonts w:ascii="Times New Roman" w:hAnsi="Times New Roman" w:eastAsia="仿宋_GB2312" w:cs="Times New Roman"/>
              </w:rPr>
            </w:pPr>
          </w:p>
        </w:tc>
        <w:tc>
          <w:tcPr>
            <w:tcW w:w="573"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落实到位</w:t>
            </w:r>
          </w:p>
        </w:tc>
        <w:tc>
          <w:tcPr>
            <w:tcW w:w="1429"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廊广办字【2019】19号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767" w:type="dxa"/>
            <w:vMerge w:val="continue"/>
            <w:tcBorders>
              <w:tl2br w:val="nil"/>
              <w:tr2bl w:val="nil"/>
            </w:tcBorders>
            <w:vAlign w:val="center"/>
          </w:tcPr>
          <w:p>
            <w:pPr>
              <w:spacing w:line="300" w:lineRule="exact"/>
              <w:jc w:val="center"/>
              <w:rPr>
                <w:rFonts w:ascii="Times New Roman" w:hAnsi="Times New Roman" w:eastAsia="仿宋_GB2312" w:cs="Times New Roman"/>
              </w:rPr>
            </w:pPr>
          </w:p>
        </w:tc>
        <w:tc>
          <w:tcPr>
            <w:tcW w:w="1352" w:type="dxa"/>
            <w:tcBorders>
              <w:tl2br w:val="nil"/>
              <w:tr2bl w:val="nil"/>
            </w:tcBorders>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w:t>
            </w:r>
          </w:p>
        </w:tc>
        <w:tc>
          <w:tcPr>
            <w:tcW w:w="1985" w:type="dxa"/>
            <w:tcBorders>
              <w:tl2br w:val="nil"/>
              <w:tr2bl w:val="nil"/>
            </w:tcBorders>
            <w:noWrap/>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服务满意度</w:t>
            </w:r>
          </w:p>
        </w:tc>
        <w:tc>
          <w:tcPr>
            <w:tcW w:w="850" w:type="dxa"/>
            <w:tcBorders>
              <w:tl2br w:val="nil"/>
              <w:tr2bl w:val="nil"/>
            </w:tcBorders>
            <w:noWrap/>
            <w:vAlign w:val="center"/>
          </w:tcPr>
          <w:p>
            <w:pPr>
              <w:widowControl/>
              <w:adjustRightInd w:val="0"/>
              <w:snapToGrid w:val="0"/>
              <w:spacing w:line="300" w:lineRule="exact"/>
              <w:jc w:val="center"/>
              <w:rPr>
                <w:rFonts w:ascii="Times New Roman" w:hAnsi="Times New Roman" w:eastAsia="仿宋_GB2312" w:cs="Times New Roman"/>
              </w:rPr>
            </w:pPr>
            <w:r>
              <w:rPr>
                <w:rFonts w:ascii="Times New Roman" w:hAnsi="Times New Roman" w:eastAsia="仿宋_GB2312" w:cs="Times New Roman"/>
              </w:rPr>
              <w:t>百分比</w:t>
            </w:r>
          </w:p>
        </w:tc>
        <w:tc>
          <w:tcPr>
            <w:tcW w:w="2552" w:type="dxa"/>
            <w:tcBorders>
              <w:tl2br w:val="nil"/>
              <w:tr2bl w:val="nil"/>
            </w:tcBorders>
            <w:noWrap/>
            <w:vAlign w:val="center"/>
          </w:tcPr>
          <w:p>
            <w:pPr>
              <w:spacing w:line="300" w:lineRule="exact"/>
              <w:rPr>
                <w:rFonts w:ascii="Times New Roman" w:hAnsi="Times New Roman" w:eastAsia="仿宋_GB2312" w:cs="Times New Roman"/>
              </w:rPr>
            </w:pPr>
            <w:r>
              <w:rPr>
                <w:rFonts w:ascii="Times New Roman" w:hAnsi="Times New Roman" w:eastAsia="仿宋_GB2312" w:cs="Times New Roman"/>
              </w:rPr>
              <w:t>满意比调查总人数</w:t>
            </w:r>
          </w:p>
        </w:tc>
        <w:tc>
          <w:tcPr>
            <w:tcW w:w="977"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w:t>
            </w:r>
          </w:p>
        </w:tc>
        <w:tc>
          <w:tcPr>
            <w:tcW w:w="488"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90</w:t>
            </w:r>
          </w:p>
        </w:tc>
        <w:tc>
          <w:tcPr>
            <w:tcW w:w="573"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w:t>
            </w:r>
          </w:p>
        </w:tc>
        <w:tc>
          <w:tcPr>
            <w:tcW w:w="1429" w:type="dxa"/>
            <w:tcBorders>
              <w:tl2br w:val="nil"/>
              <w:tr2bl w:val="nil"/>
            </w:tcBorders>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廊广办字【2019】19号</w:t>
            </w:r>
          </w:p>
        </w:tc>
      </w:tr>
    </w:tbl>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pStyle w:val="21"/>
        <w:numPr>
          <w:ilvl w:val="0"/>
          <w:numId w:val="1"/>
        </w:numPr>
        <w:ind w:firstLineChars="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老干部慰问经费绩效目标表</w:t>
      </w:r>
      <w:bookmarkStart w:id="0" w:name="_Toc29799657"/>
      <w:bookmarkEnd w:id="0"/>
    </w:p>
    <w:p>
      <w:pPr>
        <w:pStyle w:val="21"/>
        <w:numPr>
          <w:ilvl w:val="0"/>
          <w:numId w:val="1"/>
        </w:numPr>
        <w:spacing w:line="2" w:lineRule="exact"/>
        <w:ind w:firstLineChars="0"/>
        <w:jc w:val="center"/>
        <w:rPr>
          <w:rFonts w:hint="eastAsia" w:ascii="仿宋_GB2312" w:hAnsi="仿宋_GB2312" w:eastAsia="仿宋_GB2312" w:cs="仿宋_GB2312"/>
        </w:rPr>
      </w:pPr>
      <w:r>
        <w:rPr>
          <w:rFonts w:hint="eastAsia" w:ascii="仿宋_GB2312" w:hAnsi="仿宋_GB2312" w:eastAsia="仿宋_GB2312" w:cs="仿宋_GB2312"/>
          <w:color w:val="000000"/>
        </w:rPr>
        <w:t xml:space="preserve"> </w:t>
      </w:r>
    </w:p>
    <w:p>
      <w:pPr>
        <w:spacing w:line="14" w:lineRule="exact"/>
        <w:ind w:firstLine="420" w:firstLineChars="200"/>
        <w:jc w:val="center"/>
        <w:rPr>
          <w:rFonts w:hint="eastAsia" w:ascii="仿宋_GB2312" w:hAnsi="仿宋_GB2312" w:eastAsia="仿宋_GB2312" w:cs="仿宋_GB2312"/>
        </w:rPr>
      </w:pPr>
    </w:p>
    <w:tbl>
      <w:tblPr>
        <w:tblStyle w:val="8"/>
        <w:tblW w:w="126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8"/>
        <w:gridCol w:w="2268"/>
        <w:gridCol w:w="2156"/>
        <w:gridCol w:w="3402"/>
        <w:gridCol w:w="1142"/>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8"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236" w:type="dxa"/>
            <w:gridSpan w:val="5"/>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1.组织全区涉老单位按时开展并完成元旦、春节双节走访慰问离退休干部工作。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8"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156"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142"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268"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8"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数量指标</w:t>
            </w:r>
          </w:p>
        </w:tc>
        <w:tc>
          <w:tcPr>
            <w:tcW w:w="2156"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慰问人数</w:t>
            </w:r>
          </w:p>
        </w:tc>
        <w:tc>
          <w:tcPr>
            <w:tcW w:w="3402"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慰问离退休干部的人数</w:t>
            </w:r>
          </w:p>
        </w:tc>
        <w:tc>
          <w:tcPr>
            <w:tcW w:w="1142"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≥183人</w:t>
            </w:r>
          </w:p>
        </w:tc>
        <w:tc>
          <w:tcPr>
            <w:tcW w:w="226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廊办发【2014】8号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8"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质量指标</w:t>
            </w:r>
          </w:p>
        </w:tc>
        <w:tc>
          <w:tcPr>
            <w:tcW w:w="2156"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覆盖率</w:t>
            </w:r>
          </w:p>
        </w:tc>
        <w:tc>
          <w:tcPr>
            <w:tcW w:w="3402"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享受人员数与应享受待遇人数的比例</w:t>
            </w:r>
          </w:p>
        </w:tc>
        <w:tc>
          <w:tcPr>
            <w:tcW w:w="1142"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226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廊办发【2014】8号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8"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时效指标</w:t>
            </w:r>
          </w:p>
        </w:tc>
        <w:tc>
          <w:tcPr>
            <w:tcW w:w="2156"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按时慰问率</w:t>
            </w:r>
          </w:p>
        </w:tc>
        <w:tc>
          <w:tcPr>
            <w:tcW w:w="3402"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按时慰问人数与应慰问人数的比例</w:t>
            </w:r>
          </w:p>
        </w:tc>
        <w:tc>
          <w:tcPr>
            <w:tcW w:w="1142"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226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廊办发【2014】8号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8"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成本指标</w:t>
            </w:r>
          </w:p>
        </w:tc>
        <w:tc>
          <w:tcPr>
            <w:tcW w:w="2156"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成本偏差率</w:t>
            </w:r>
          </w:p>
        </w:tc>
        <w:tc>
          <w:tcPr>
            <w:tcW w:w="3402"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预算执行匹配率</w:t>
            </w:r>
          </w:p>
        </w:tc>
        <w:tc>
          <w:tcPr>
            <w:tcW w:w="1142"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≤15%</w:t>
            </w:r>
          </w:p>
        </w:tc>
        <w:tc>
          <w:tcPr>
            <w:tcW w:w="226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156"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保障落实老干部政治生活待遇</w:t>
            </w:r>
          </w:p>
        </w:tc>
        <w:tc>
          <w:tcPr>
            <w:tcW w:w="3402"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保障落实好老干部政治生活待遇，慰问人数与应慰问人数的比例</w:t>
            </w:r>
          </w:p>
        </w:tc>
        <w:tc>
          <w:tcPr>
            <w:tcW w:w="1142"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226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廊办发【2014】8号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1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156"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3402"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1142"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226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2.</w:t>
      </w:r>
      <w:r>
        <w:rPr>
          <w:rFonts w:hint="eastAsia" w:ascii="仿宋_GB2312" w:hAnsi="仿宋_GB2312" w:eastAsia="仿宋_GB2312" w:cs="仿宋_GB2312"/>
        </w:rPr>
        <w:t xml:space="preserve"> </w:t>
      </w:r>
      <w:r>
        <w:rPr>
          <w:rFonts w:hint="eastAsia" w:ascii="仿宋_GB2312" w:hAnsi="仿宋_GB2312" w:eastAsia="仿宋_GB2312" w:cs="仿宋_GB2312"/>
          <w:sz w:val="28"/>
        </w:rPr>
        <w:t>离休干部医疗费补助资金[区级]绩效目标表</w:t>
      </w:r>
    </w:p>
    <w:p>
      <w:pPr>
        <w:spacing w:line="14" w:lineRule="exact"/>
        <w:ind w:firstLine="420" w:firstLineChars="200"/>
        <w:jc w:val="center"/>
        <w:rPr>
          <w:rFonts w:hint="eastAsia" w:ascii="仿宋_GB2312" w:hAnsi="仿宋_GB2312" w:eastAsia="仿宋_GB2312" w:cs="仿宋_GB2312"/>
        </w:rPr>
      </w:pPr>
    </w:p>
    <w:tbl>
      <w:tblPr>
        <w:tblStyle w:val="8"/>
        <w:tblW w:w="126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4"/>
        <w:gridCol w:w="2268"/>
        <w:gridCol w:w="1984"/>
        <w:gridCol w:w="3346"/>
        <w:gridCol w:w="1169"/>
        <w:gridCol w:w="24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74"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177"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1.按季度为全区离休干部与享受同等待遇的省级以上劳模人员汇总核销药费，做到100%发放，不拖欠。组织开展年度体检工作，为老干部健康服务，实现老有所医。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74"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4"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346"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169"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410"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74"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spacing w:line="3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数量指标</w:t>
            </w:r>
          </w:p>
        </w:tc>
        <w:tc>
          <w:tcPr>
            <w:tcW w:w="198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补贴人数</w:t>
            </w:r>
          </w:p>
        </w:tc>
        <w:tc>
          <w:tcPr>
            <w:tcW w:w="3346"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报销人次</w:t>
            </w:r>
          </w:p>
        </w:tc>
        <w:tc>
          <w:tcPr>
            <w:tcW w:w="116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≥45人次</w:t>
            </w:r>
          </w:p>
        </w:tc>
        <w:tc>
          <w:tcPr>
            <w:tcW w:w="2410"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廊广办字【2007】73号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74"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质量指标</w:t>
            </w:r>
          </w:p>
        </w:tc>
        <w:tc>
          <w:tcPr>
            <w:tcW w:w="198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覆盖率</w:t>
            </w:r>
          </w:p>
        </w:tc>
        <w:tc>
          <w:tcPr>
            <w:tcW w:w="3346"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享受人员数与应享受待遇人数的比例</w:t>
            </w:r>
          </w:p>
        </w:tc>
        <w:tc>
          <w:tcPr>
            <w:tcW w:w="116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2410"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廊广办字【2007】73号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74"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时效指标</w:t>
            </w:r>
          </w:p>
        </w:tc>
        <w:tc>
          <w:tcPr>
            <w:tcW w:w="198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按时发放率</w:t>
            </w:r>
          </w:p>
        </w:tc>
        <w:tc>
          <w:tcPr>
            <w:tcW w:w="3346"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按时发放药费数与应发放核销药费数的比例</w:t>
            </w:r>
          </w:p>
        </w:tc>
        <w:tc>
          <w:tcPr>
            <w:tcW w:w="116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2410"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廊广办字【2007】73号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74"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成本指标</w:t>
            </w:r>
          </w:p>
        </w:tc>
        <w:tc>
          <w:tcPr>
            <w:tcW w:w="198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成本偏差率</w:t>
            </w:r>
          </w:p>
        </w:tc>
        <w:tc>
          <w:tcPr>
            <w:tcW w:w="3346"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扣除重大疾病外实际发放金额与计划发放金额的偏差率</w:t>
            </w:r>
          </w:p>
        </w:tc>
        <w:tc>
          <w:tcPr>
            <w:tcW w:w="116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≤15%</w:t>
            </w:r>
          </w:p>
        </w:tc>
        <w:tc>
          <w:tcPr>
            <w:tcW w:w="2410"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74"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spacing w:line="3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经济效益指标</w:t>
            </w:r>
          </w:p>
        </w:tc>
        <w:tc>
          <w:tcPr>
            <w:tcW w:w="198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保障离休干部</w:t>
            </w:r>
          </w:p>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老有所医</w:t>
            </w:r>
          </w:p>
        </w:tc>
        <w:tc>
          <w:tcPr>
            <w:tcW w:w="3346"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实现离休干部老有所医。就医人数与应就医人数的比例。</w:t>
            </w:r>
          </w:p>
        </w:tc>
        <w:tc>
          <w:tcPr>
            <w:tcW w:w="116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2410"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廊广办字【2007】73号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74"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社会效益指标</w:t>
            </w:r>
          </w:p>
        </w:tc>
        <w:tc>
          <w:tcPr>
            <w:tcW w:w="198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减轻医疗负担</w:t>
            </w:r>
          </w:p>
        </w:tc>
        <w:tc>
          <w:tcPr>
            <w:tcW w:w="3346"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减轻离休干部医疗负担</w:t>
            </w:r>
          </w:p>
        </w:tc>
        <w:tc>
          <w:tcPr>
            <w:tcW w:w="116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≥0.2万元</w:t>
            </w:r>
          </w:p>
        </w:tc>
        <w:tc>
          <w:tcPr>
            <w:tcW w:w="2410"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廊广办字【2007】73号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7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spacing w:line="3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服务对象满意度指标</w:t>
            </w:r>
          </w:p>
        </w:tc>
        <w:tc>
          <w:tcPr>
            <w:tcW w:w="198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3346"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满意的服务对象人数／总人数</w:t>
            </w:r>
          </w:p>
        </w:tc>
        <w:tc>
          <w:tcPr>
            <w:tcW w:w="116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2410"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3.</w:t>
      </w:r>
      <w:r>
        <w:rPr>
          <w:rFonts w:hint="eastAsia" w:ascii="仿宋_GB2312" w:hAnsi="仿宋_GB2312" w:eastAsia="仿宋_GB2312" w:cs="仿宋_GB2312"/>
        </w:rPr>
        <w:t xml:space="preserve"> </w:t>
      </w:r>
      <w:r>
        <w:rPr>
          <w:rFonts w:hint="eastAsia" w:ascii="仿宋_GB2312" w:hAnsi="仿宋_GB2312" w:eastAsia="仿宋_GB2312" w:cs="仿宋_GB2312"/>
          <w:sz w:val="28"/>
        </w:rPr>
        <w:t>特困老干部帮扶经费绩效目标表</w:t>
      </w:r>
    </w:p>
    <w:p>
      <w:pPr>
        <w:spacing w:line="14" w:lineRule="exact"/>
        <w:ind w:firstLine="420" w:firstLineChars="200"/>
        <w:jc w:val="center"/>
        <w:rPr>
          <w:rFonts w:hint="eastAsia" w:ascii="仿宋_GB2312" w:hAnsi="仿宋_GB2312" w:eastAsia="仿宋_GB2312" w:cs="仿宋_GB2312"/>
        </w:rPr>
      </w:pPr>
    </w:p>
    <w:tbl>
      <w:tblPr>
        <w:tblStyle w:val="8"/>
        <w:tblW w:w="1276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5"/>
        <w:gridCol w:w="2268"/>
        <w:gridCol w:w="1985"/>
        <w:gridCol w:w="3402"/>
        <w:gridCol w:w="955"/>
        <w:gridCol w:w="27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25"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338"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1.组织全区各单位切实关心了解离退休干部现状，做好特困离退休干部的帮扶工作，贯彻落实好离退休干部的政治待遇和生活待遇。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25"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955"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728"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5"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数量指标</w:t>
            </w:r>
          </w:p>
        </w:tc>
        <w:tc>
          <w:tcPr>
            <w:tcW w:w="198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帮扶人数</w:t>
            </w:r>
          </w:p>
        </w:tc>
        <w:tc>
          <w:tcPr>
            <w:tcW w:w="3402"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帮扶特困离退休干部的人数</w:t>
            </w:r>
          </w:p>
        </w:tc>
        <w:tc>
          <w:tcPr>
            <w:tcW w:w="95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≥5人</w:t>
            </w:r>
          </w:p>
        </w:tc>
        <w:tc>
          <w:tcPr>
            <w:tcW w:w="272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廊广老字  【2010】7号、廊办发【2014】8号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5"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质量指标</w:t>
            </w:r>
          </w:p>
        </w:tc>
        <w:tc>
          <w:tcPr>
            <w:tcW w:w="198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覆盖率</w:t>
            </w:r>
          </w:p>
        </w:tc>
        <w:tc>
          <w:tcPr>
            <w:tcW w:w="3402"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帮扶人数与申请人数的比例</w:t>
            </w:r>
          </w:p>
        </w:tc>
        <w:tc>
          <w:tcPr>
            <w:tcW w:w="95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≥25%</w:t>
            </w:r>
          </w:p>
        </w:tc>
        <w:tc>
          <w:tcPr>
            <w:tcW w:w="272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廊广老字  【2010】7号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5"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时效指标</w:t>
            </w:r>
          </w:p>
        </w:tc>
        <w:tc>
          <w:tcPr>
            <w:tcW w:w="198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按时发放率</w:t>
            </w:r>
          </w:p>
        </w:tc>
        <w:tc>
          <w:tcPr>
            <w:tcW w:w="3402"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按时慰问人数与应慰问人数的比例</w:t>
            </w:r>
          </w:p>
        </w:tc>
        <w:tc>
          <w:tcPr>
            <w:tcW w:w="95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272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廊广老字  【2010】7号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5"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成本指标</w:t>
            </w:r>
          </w:p>
        </w:tc>
        <w:tc>
          <w:tcPr>
            <w:tcW w:w="198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成本偏差率</w:t>
            </w:r>
          </w:p>
        </w:tc>
        <w:tc>
          <w:tcPr>
            <w:tcW w:w="3402"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预算执行匹配率</w:t>
            </w:r>
          </w:p>
        </w:tc>
        <w:tc>
          <w:tcPr>
            <w:tcW w:w="95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≤15%</w:t>
            </w:r>
          </w:p>
        </w:tc>
        <w:tc>
          <w:tcPr>
            <w:tcW w:w="272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廊广老字  【2010】7号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98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保障落实特困离退休干部帮扶待遇</w:t>
            </w:r>
          </w:p>
        </w:tc>
        <w:tc>
          <w:tcPr>
            <w:tcW w:w="3402"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保障落实特困离退休干部帮扶待遇人数与特困离退休总人数的比例</w:t>
            </w:r>
          </w:p>
        </w:tc>
        <w:tc>
          <w:tcPr>
            <w:tcW w:w="95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272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廊广老字  【2010】7号、廊办发【2014】8号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2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98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3402"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满意人数／调查总人数</w:t>
            </w:r>
          </w:p>
        </w:tc>
        <w:tc>
          <w:tcPr>
            <w:tcW w:w="955"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2728"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电话问询</w:t>
            </w:r>
          </w:p>
        </w:tc>
      </w:tr>
    </w:tbl>
    <w:p>
      <w:pPr>
        <w:ind w:firstLine="560" w:firstLineChars="200"/>
        <w:jc w:val="left"/>
        <w:outlineLvl w:val="1"/>
        <w:rPr>
          <w:rFonts w:hint="eastAsia" w:ascii="仿宋_GB2312" w:hAnsi="仿宋_GB2312" w:eastAsia="仿宋_GB2312" w:cs="仿宋_GB2312"/>
          <w:sz w:val="28"/>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4.</w:t>
      </w:r>
      <w:r>
        <w:rPr>
          <w:rFonts w:hint="eastAsia" w:ascii="仿宋_GB2312" w:hAnsi="仿宋_GB2312" w:eastAsia="仿宋_GB2312" w:cs="仿宋_GB2312"/>
        </w:rPr>
        <w:t xml:space="preserve"> </w:t>
      </w:r>
      <w:r>
        <w:rPr>
          <w:rFonts w:hint="eastAsia" w:ascii="仿宋_GB2312" w:hAnsi="仿宋_GB2312" w:eastAsia="仿宋_GB2312" w:cs="仿宋_GB2312"/>
          <w:sz w:val="28"/>
        </w:rPr>
        <w:t>退休干部特需费绩效目标表</w:t>
      </w:r>
    </w:p>
    <w:tbl>
      <w:tblPr>
        <w:tblStyle w:val="8"/>
        <w:tblW w:w="1265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74"/>
        <w:gridCol w:w="2268"/>
        <w:gridCol w:w="1984"/>
        <w:gridCol w:w="3346"/>
        <w:gridCol w:w="1169"/>
        <w:gridCol w:w="24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74"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177"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1.按季度为全区离休干部与享受同等待遇的省级以上劳模人员汇总核销药费，做到100%发放，不拖欠。组织开展年度体检工作，为老干部健康服务，实现老有所医。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74"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4"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346"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169"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410" w:type="dxa"/>
            <w:shd w:val="clear" w:color="auto" w:fill="auto"/>
            <w:vAlign w:val="center"/>
          </w:tcPr>
          <w:p>
            <w:pPr>
              <w:widowControl/>
              <w:adjustRightInd w:val="0"/>
              <w:snapToGrid w:val="0"/>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74"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spacing w:line="3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数量指标</w:t>
            </w:r>
          </w:p>
        </w:tc>
        <w:tc>
          <w:tcPr>
            <w:tcW w:w="198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举办活动次数</w:t>
            </w:r>
          </w:p>
        </w:tc>
        <w:tc>
          <w:tcPr>
            <w:tcW w:w="3346"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开展活动次数</w:t>
            </w:r>
          </w:p>
        </w:tc>
        <w:tc>
          <w:tcPr>
            <w:tcW w:w="116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≥1次</w:t>
            </w:r>
          </w:p>
        </w:tc>
        <w:tc>
          <w:tcPr>
            <w:tcW w:w="2410"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廊财字【2016】2号、廊办发【2014】8号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74"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质量指标</w:t>
            </w:r>
          </w:p>
        </w:tc>
        <w:tc>
          <w:tcPr>
            <w:tcW w:w="198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参与率</w:t>
            </w:r>
          </w:p>
        </w:tc>
        <w:tc>
          <w:tcPr>
            <w:tcW w:w="3346"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参与人数与应参加活动总人数的百分比</w:t>
            </w:r>
          </w:p>
        </w:tc>
        <w:tc>
          <w:tcPr>
            <w:tcW w:w="116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≥80%</w:t>
            </w:r>
          </w:p>
        </w:tc>
        <w:tc>
          <w:tcPr>
            <w:tcW w:w="2410"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廊财字【2016】2号、廊办发【2014】8号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74"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时效指标</w:t>
            </w:r>
          </w:p>
        </w:tc>
        <w:tc>
          <w:tcPr>
            <w:tcW w:w="198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工作完成率</w:t>
            </w:r>
          </w:p>
        </w:tc>
        <w:tc>
          <w:tcPr>
            <w:tcW w:w="3346"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活动举办及时性</w:t>
            </w:r>
          </w:p>
        </w:tc>
        <w:tc>
          <w:tcPr>
            <w:tcW w:w="116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10月底</w:t>
            </w:r>
          </w:p>
        </w:tc>
        <w:tc>
          <w:tcPr>
            <w:tcW w:w="2410"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74"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成本指标</w:t>
            </w:r>
          </w:p>
        </w:tc>
        <w:tc>
          <w:tcPr>
            <w:tcW w:w="198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成本偏差率</w:t>
            </w:r>
          </w:p>
        </w:tc>
        <w:tc>
          <w:tcPr>
            <w:tcW w:w="3346"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实际支付金额与计划支付金额的偏差率</w:t>
            </w:r>
          </w:p>
        </w:tc>
        <w:tc>
          <w:tcPr>
            <w:tcW w:w="116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≤10％</w:t>
            </w:r>
          </w:p>
        </w:tc>
        <w:tc>
          <w:tcPr>
            <w:tcW w:w="2410"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廊财字【2016】2号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74"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spacing w:line="3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社会效益指标</w:t>
            </w:r>
          </w:p>
        </w:tc>
        <w:tc>
          <w:tcPr>
            <w:tcW w:w="198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丰富晚年生活</w:t>
            </w:r>
          </w:p>
        </w:tc>
        <w:tc>
          <w:tcPr>
            <w:tcW w:w="3346"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丰富老干部晚年生活</w:t>
            </w:r>
          </w:p>
        </w:tc>
        <w:tc>
          <w:tcPr>
            <w:tcW w:w="116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显著</w:t>
            </w:r>
          </w:p>
        </w:tc>
        <w:tc>
          <w:tcPr>
            <w:tcW w:w="2410"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廊财字【2016】2号、廊办发【2014】8号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74" w:type="dxa"/>
            <w:vMerge w:val="continue"/>
            <w:shd w:val="clear" w:color="auto" w:fill="auto"/>
            <w:vAlign w:val="center"/>
          </w:tcPr>
          <w:p>
            <w:pPr>
              <w:spacing w:line="300" w:lineRule="exact"/>
              <w:jc w:val="center"/>
              <w:rPr>
                <w:rFonts w:hint="eastAsia" w:ascii="仿宋_GB2312" w:hAnsi="仿宋_GB2312" w:eastAsia="仿宋_GB2312" w:cs="仿宋_GB2312"/>
              </w:rPr>
            </w:pPr>
          </w:p>
        </w:tc>
        <w:tc>
          <w:tcPr>
            <w:tcW w:w="2268" w:type="dxa"/>
            <w:shd w:val="clear" w:color="auto" w:fill="auto"/>
            <w:vAlign w:val="center"/>
          </w:tcPr>
          <w:p>
            <w:pPr>
              <w:spacing w:line="3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rPr>
              <w:t>可持续影响</w:t>
            </w:r>
            <w:r>
              <w:rPr>
                <w:rFonts w:hint="eastAsia" w:ascii="仿宋_GB2312" w:hAnsi="仿宋_GB2312" w:eastAsia="仿宋_GB2312" w:cs="仿宋_GB2312"/>
                <w:lang w:eastAsia="zh-CN"/>
              </w:rPr>
              <w:t>指标</w:t>
            </w:r>
          </w:p>
        </w:tc>
        <w:tc>
          <w:tcPr>
            <w:tcW w:w="198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保障老有所学</w:t>
            </w:r>
          </w:p>
        </w:tc>
        <w:tc>
          <w:tcPr>
            <w:tcW w:w="3346"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持续保障老干部老有所学</w:t>
            </w:r>
          </w:p>
        </w:tc>
        <w:tc>
          <w:tcPr>
            <w:tcW w:w="116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长期</w:t>
            </w:r>
          </w:p>
        </w:tc>
        <w:tc>
          <w:tcPr>
            <w:tcW w:w="2410"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廊办发【2014】8号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47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spacing w:line="300" w:lineRule="exact"/>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服务对象满意度指标</w:t>
            </w:r>
          </w:p>
        </w:tc>
        <w:tc>
          <w:tcPr>
            <w:tcW w:w="1984"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w:t>
            </w:r>
          </w:p>
        </w:tc>
        <w:tc>
          <w:tcPr>
            <w:tcW w:w="3346" w:type="dxa"/>
            <w:shd w:val="clear" w:color="auto" w:fill="auto"/>
            <w:vAlign w:val="center"/>
          </w:tcPr>
          <w:p>
            <w:pPr>
              <w:spacing w:line="300" w:lineRule="exact"/>
              <w:rPr>
                <w:rFonts w:hint="eastAsia" w:ascii="仿宋_GB2312" w:hAnsi="仿宋_GB2312" w:eastAsia="仿宋_GB2312" w:cs="仿宋_GB2312"/>
              </w:rPr>
            </w:pPr>
            <w:r>
              <w:rPr>
                <w:rFonts w:hint="eastAsia" w:ascii="仿宋_GB2312" w:hAnsi="仿宋_GB2312" w:eastAsia="仿宋_GB2312" w:cs="仿宋_GB2312"/>
              </w:rPr>
              <w:t>满意人数／调查总人数</w:t>
            </w:r>
          </w:p>
        </w:tc>
        <w:tc>
          <w:tcPr>
            <w:tcW w:w="116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≥90%</w:t>
            </w:r>
          </w:p>
        </w:tc>
        <w:tc>
          <w:tcPr>
            <w:tcW w:w="2410"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jc w:val="left"/>
        <w:rPr>
          <w:rFonts w:ascii="Times New Roman" w:hAnsi="Times New Roman" w:eastAsia="黑体" w:cs="Times New Roman"/>
          <w:sz w:val="44"/>
          <w:szCs w:val="44"/>
        </w:rPr>
      </w:pPr>
    </w:p>
    <w:p>
      <w:pPr>
        <w:autoSpaceDE w:val="0"/>
        <w:autoSpaceDN w:val="0"/>
        <w:adjustRightInd w:val="0"/>
        <w:spacing w:line="584" w:lineRule="exact"/>
        <w:jc w:val="left"/>
        <w:rPr>
          <w:rFonts w:ascii="Times New Roman" w:hAnsi="Times New Roman" w:eastAsia="黑体" w:cs="Times New Roman"/>
          <w:sz w:val="44"/>
          <w:szCs w:val="44"/>
        </w:rPr>
      </w:pPr>
    </w:p>
    <w:p>
      <w:pPr>
        <w:autoSpaceDE w:val="0"/>
        <w:autoSpaceDN w:val="0"/>
        <w:adjustRightInd w:val="0"/>
        <w:spacing w:line="584" w:lineRule="exact"/>
        <w:jc w:val="left"/>
        <w:rPr>
          <w:rFonts w:ascii="Times New Roman" w:hAnsi="Times New Roman" w:eastAsia="黑体" w:cs="Times New Roman"/>
          <w:sz w:val="44"/>
          <w:szCs w:val="44"/>
        </w:rPr>
      </w:pPr>
    </w:p>
    <w:p>
      <w:pPr>
        <w:autoSpaceDE w:val="0"/>
        <w:autoSpaceDN w:val="0"/>
        <w:adjustRightInd w:val="0"/>
        <w:spacing w:line="584" w:lineRule="exact"/>
        <w:jc w:val="left"/>
        <w:rPr>
          <w:rFonts w:ascii="Times New Roman" w:hAnsi="Times New Roman" w:eastAsia="黑体" w:cs="Times New Roman"/>
          <w:sz w:val="44"/>
          <w:szCs w:val="44"/>
        </w:rPr>
      </w:pPr>
    </w:p>
    <w:p>
      <w:pPr>
        <w:autoSpaceDE w:val="0"/>
        <w:autoSpaceDN w:val="0"/>
        <w:adjustRightInd w:val="0"/>
        <w:spacing w:line="584" w:lineRule="exact"/>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jc w:val="center"/>
        <w:outlineLvl w:val="1"/>
        <w:rPr>
          <w:rFonts w:hint="eastAsia" w:ascii="方正小标宋_GBK" w:eastAsia="方正小标宋_GBK" w:cs="Times New Roman"/>
          <w:sz w:val="32"/>
        </w:rPr>
      </w:pPr>
      <w:bookmarkStart w:id="2" w:name="_Toc64920910"/>
    </w:p>
    <w:p>
      <w:pPr>
        <w:jc w:val="center"/>
        <w:outlineLvl w:val="1"/>
        <w:rPr>
          <w:rFonts w:hint="eastAsia" w:ascii="方正小标宋_GBK" w:eastAsia="方正小标宋_GBK" w:cs="Times New Roman"/>
          <w:sz w:val="32"/>
        </w:rPr>
      </w:pPr>
    </w:p>
    <w:p>
      <w:pPr>
        <w:jc w:val="center"/>
        <w:outlineLvl w:val="1"/>
        <w:rPr>
          <w:rFonts w:hint="eastAsia" w:ascii="方正小标宋_GBK" w:eastAsia="方正小标宋_GBK" w:cs="Times New Roman"/>
          <w:sz w:val="32"/>
        </w:rPr>
      </w:pPr>
    </w:p>
    <w:p>
      <w:pPr>
        <w:jc w:val="center"/>
        <w:outlineLvl w:val="1"/>
        <w:rPr>
          <w:rFonts w:hint="eastAsia" w:ascii="方正小标宋_GBK" w:eastAsia="方正小标宋_GBK" w:cs="Times New Roman"/>
          <w:sz w:val="32"/>
        </w:rPr>
      </w:pPr>
    </w:p>
    <w:p>
      <w:pPr>
        <w:jc w:val="center"/>
        <w:outlineLvl w:val="1"/>
        <w:rPr>
          <w:rFonts w:ascii="方正小标宋_GBK" w:eastAsia="方正小标宋_GBK" w:cs="Times New Roman"/>
          <w:sz w:val="32"/>
        </w:rPr>
      </w:pPr>
      <w:r>
        <w:rPr>
          <w:rFonts w:hint="eastAsia" w:ascii="方正小标宋_GBK" w:eastAsia="方正小标宋_GBK" w:cs="Times New Roman"/>
          <w:sz w:val="32"/>
        </w:rPr>
        <w:t>部门政府采购预算</w:t>
      </w:r>
      <w:bookmarkEnd w:id="2"/>
    </w:p>
    <w:p>
      <w:pPr>
        <w:jc w:val="right"/>
        <w:outlineLvl w:val="1"/>
        <w:rPr>
          <w:rFonts w:ascii="方正小标宋_GBK" w:eastAsia="方正小标宋_GBK" w:cs="Times New Roman"/>
          <w:sz w:val="32"/>
        </w:rPr>
      </w:pPr>
      <w:r>
        <w:rPr>
          <w:rFonts w:hint="eastAsia"/>
        </w:rPr>
        <w:t>540中国共产党廊坊市广阳区委员老干部局</w:t>
      </w:r>
      <w:r>
        <w:t xml:space="preserve">                                                                      </w:t>
      </w:r>
      <w:r>
        <w:rPr>
          <w:rFonts w:hint="eastAsia"/>
        </w:rPr>
        <w:t xml:space="preserve">          </w:t>
      </w:r>
      <w:r>
        <w:t xml:space="preserve">      单位：万元</w:t>
      </w:r>
    </w:p>
    <w:tbl>
      <w:tblPr>
        <w:tblStyle w:val="8"/>
        <w:tblW w:w="1423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4"/>
        <w:gridCol w:w="992"/>
        <w:gridCol w:w="992"/>
        <w:gridCol w:w="1134"/>
        <w:gridCol w:w="567"/>
        <w:gridCol w:w="709"/>
        <w:gridCol w:w="672"/>
        <w:gridCol w:w="709"/>
        <w:gridCol w:w="851"/>
        <w:gridCol w:w="992"/>
        <w:gridCol w:w="1134"/>
        <w:gridCol w:w="709"/>
        <w:gridCol w:w="708"/>
        <w:gridCol w:w="993"/>
        <w:gridCol w:w="1134"/>
        <w:gridCol w:w="9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36" w:type="dxa"/>
            <w:gridSpan w:val="2"/>
            <w:vAlign w:val="center"/>
          </w:tcPr>
          <w:p>
            <w:pPr>
              <w:pStyle w:val="12"/>
              <w:adjustRightInd w:val="0"/>
              <w:snapToGrid w:val="0"/>
            </w:pPr>
            <w:r>
              <w:t>政府采购项目来源</w:t>
            </w:r>
          </w:p>
        </w:tc>
        <w:tc>
          <w:tcPr>
            <w:tcW w:w="992" w:type="dxa"/>
            <w:vMerge w:val="restart"/>
            <w:vAlign w:val="center"/>
          </w:tcPr>
          <w:p>
            <w:pPr>
              <w:pStyle w:val="12"/>
              <w:adjustRightInd w:val="0"/>
              <w:snapToGrid w:val="0"/>
            </w:pPr>
            <w:r>
              <w:t>采购物品名称</w:t>
            </w:r>
          </w:p>
        </w:tc>
        <w:tc>
          <w:tcPr>
            <w:tcW w:w="1134" w:type="dxa"/>
            <w:vMerge w:val="restart"/>
            <w:vAlign w:val="center"/>
          </w:tcPr>
          <w:p>
            <w:pPr>
              <w:pStyle w:val="12"/>
              <w:adjustRightInd w:val="0"/>
              <w:snapToGrid w:val="0"/>
            </w:pPr>
            <w:r>
              <w:t>政府采购目录序号</w:t>
            </w:r>
          </w:p>
        </w:tc>
        <w:tc>
          <w:tcPr>
            <w:tcW w:w="567" w:type="dxa"/>
            <w:vMerge w:val="restart"/>
            <w:vAlign w:val="center"/>
          </w:tcPr>
          <w:p>
            <w:pPr>
              <w:pStyle w:val="12"/>
              <w:adjustRightInd w:val="0"/>
              <w:snapToGrid w:val="0"/>
            </w:pPr>
            <w:r>
              <w:t>计量  单位</w:t>
            </w:r>
          </w:p>
        </w:tc>
        <w:tc>
          <w:tcPr>
            <w:tcW w:w="709" w:type="dxa"/>
            <w:vMerge w:val="restart"/>
            <w:vAlign w:val="center"/>
          </w:tcPr>
          <w:p>
            <w:pPr>
              <w:pStyle w:val="12"/>
              <w:adjustRightInd w:val="0"/>
              <w:snapToGrid w:val="0"/>
            </w:pPr>
            <w:r>
              <w:t>数量</w:t>
            </w:r>
          </w:p>
        </w:tc>
        <w:tc>
          <w:tcPr>
            <w:tcW w:w="672" w:type="dxa"/>
            <w:vMerge w:val="restart"/>
            <w:vAlign w:val="center"/>
          </w:tcPr>
          <w:p>
            <w:pPr>
              <w:pStyle w:val="12"/>
              <w:adjustRightInd w:val="0"/>
              <w:snapToGrid w:val="0"/>
            </w:pPr>
            <w:r>
              <w:t>单价</w:t>
            </w:r>
          </w:p>
        </w:tc>
        <w:tc>
          <w:tcPr>
            <w:tcW w:w="7230" w:type="dxa"/>
            <w:gridSpan w:val="8"/>
            <w:vAlign w:val="center"/>
          </w:tcPr>
          <w:p>
            <w:pPr>
              <w:pStyle w:val="12"/>
              <w:adjustRightInd w:val="0"/>
              <w:snapToGrid w:val="0"/>
            </w:pPr>
            <w:r>
              <w:t>政府采购金额（当年部门预算安排资金）</w:t>
            </w:r>
          </w:p>
        </w:tc>
        <w:tc>
          <w:tcPr>
            <w:tcW w:w="992" w:type="dxa"/>
            <w:vMerge w:val="restart"/>
            <w:vAlign w:val="center"/>
          </w:tcPr>
          <w:p>
            <w:pPr>
              <w:pStyle w:val="12"/>
              <w:adjustRightInd w:val="0"/>
              <w:snapToGrid w:val="0"/>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44" w:type="dxa"/>
            <w:vAlign w:val="center"/>
          </w:tcPr>
          <w:p>
            <w:pPr>
              <w:pStyle w:val="12"/>
              <w:adjustRightInd w:val="0"/>
              <w:snapToGrid w:val="0"/>
            </w:pPr>
            <w:r>
              <w:t>项目名称</w:t>
            </w:r>
          </w:p>
        </w:tc>
        <w:tc>
          <w:tcPr>
            <w:tcW w:w="992" w:type="dxa"/>
            <w:vAlign w:val="center"/>
          </w:tcPr>
          <w:p>
            <w:pPr>
              <w:pStyle w:val="12"/>
              <w:adjustRightInd w:val="0"/>
              <w:snapToGrid w:val="0"/>
            </w:pPr>
            <w:r>
              <w:t>预算    资金</w:t>
            </w:r>
          </w:p>
        </w:tc>
        <w:tc>
          <w:tcPr>
            <w:tcW w:w="992" w:type="dxa"/>
            <w:vMerge w:val="continue"/>
          </w:tcPr>
          <w:p>
            <w:pPr>
              <w:adjustRightInd w:val="0"/>
              <w:snapToGrid w:val="0"/>
            </w:pPr>
          </w:p>
        </w:tc>
        <w:tc>
          <w:tcPr>
            <w:tcW w:w="1134" w:type="dxa"/>
            <w:vMerge w:val="continue"/>
          </w:tcPr>
          <w:p>
            <w:pPr>
              <w:adjustRightInd w:val="0"/>
              <w:snapToGrid w:val="0"/>
            </w:pPr>
          </w:p>
        </w:tc>
        <w:tc>
          <w:tcPr>
            <w:tcW w:w="567" w:type="dxa"/>
            <w:vMerge w:val="continue"/>
          </w:tcPr>
          <w:p>
            <w:pPr>
              <w:adjustRightInd w:val="0"/>
              <w:snapToGrid w:val="0"/>
            </w:pPr>
          </w:p>
        </w:tc>
        <w:tc>
          <w:tcPr>
            <w:tcW w:w="709" w:type="dxa"/>
            <w:vMerge w:val="continue"/>
          </w:tcPr>
          <w:p>
            <w:pPr>
              <w:adjustRightInd w:val="0"/>
              <w:snapToGrid w:val="0"/>
            </w:pPr>
          </w:p>
        </w:tc>
        <w:tc>
          <w:tcPr>
            <w:tcW w:w="672" w:type="dxa"/>
            <w:vMerge w:val="continue"/>
          </w:tcPr>
          <w:p>
            <w:pPr>
              <w:adjustRightInd w:val="0"/>
              <w:snapToGrid w:val="0"/>
            </w:pPr>
          </w:p>
        </w:tc>
        <w:tc>
          <w:tcPr>
            <w:tcW w:w="709" w:type="dxa"/>
            <w:vAlign w:val="center"/>
          </w:tcPr>
          <w:p>
            <w:pPr>
              <w:pStyle w:val="12"/>
              <w:adjustRightInd w:val="0"/>
              <w:snapToGrid w:val="0"/>
            </w:pPr>
            <w:r>
              <w:t>合计</w:t>
            </w:r>
          </w:p>
        </w:tc>
        <w:tc>
          <w:tcPr>
            <w:tcW w:w="851" w:type="dxa"/>
            <w:vAlign w:val="center"/>
          </w:tcPr>
          <w:p>
            <w:pPr>
              <w:pStyle w:val="12"/>
              <w:adjustRightInd w:val="0"/>
              <w:snapToGrid w:val="0"/>
            </w:pPr>
            <w:r>
              <w:t>一般公共预算拨款</w:t>
            </w:r>
          </w:p>
        </w:tc>
        <w:tc>
          <w:tcPr>
            <w:tcW w:w="992" w:type="dxa"/>
            <w:vAlign w:val="center"/>
          </w:tcPr>
          <w:p>
            <w:pPr>
              <w:pStyle w:val="12"/>
              <w:adjustRightInd w:val="0"/>
              <w:snapToGrid w:val="0"/>
            </w:pPr>
            <w:r>
              <w:t>基金预算拨款</w:t>
            </w:r>
          </w:p>
        </w:tc>
        <w:tc>
          <w:tcPr>
            <w:tcW w:w="1134" w:type="dxa"/>
            <w:vAlign w:val="center"/>
          </w:tcPr>
          <w:p>
            <w:pPr>
              <w:pStyle w:val="12"/>
              <w:adjustRightInd w:val="0"/>
              <w:snapToGrid w:val="0"/>
            </w:pPr>
            <w:r>
              <w:t>国有资本经营预算拨款</w:t>
            </w:r>
          </w:p>
        </w:tc>
        <w:tc>
          <w:tcPr>
            <w:tcW w:w="709" w:type="dxa"/>
            <w:vAlign w:val="center"/>
          </w:tcPr>
          <w:p>
            <w:pPr>
              <w:pStyle w:val="12"/>
              <w:adjustRightInd w:val="0"/>
              <w:snapToGrid w:val="0"/>
            </w:pPr>
            <w:r>
              <w:t>财政专户核拨</w:t>
            </w:r>
          </w:p>
        </w:tc>
        <w:tc>
          <w:tcPr>
            <w:tcW w:w="708" w:type="dxa"/>
            <w:vAlign w:val="center"/>
          </w:tcPr>
          <w:p>
            <w:pPr>
              <w:pStyle w:val="12"/>
              <w:adjustRightInd w:val="0"/>
              <w:snapToGrid w:val="0"/>
            </w:pPr>
            <w:r>
              <w:t>单位    资金</w:t>
            </w:r>
          </w:p>
        </w:tc>
        <w:tc>
          <w:tcPr>
            <w:tcW w:w="993" w:type="dxa"/>
            <w:vAlign w:val="center"/>
          </w:tcPr>
          <w:p>
            <w:pPr>
              <w:pStyle w:val="12"/>
              <w:adjustRightInd w:val="0"/>
              <w:snapToGrid w:val="0"/>
            </w:pPr>
            <w:r>
              <w:t>财政拨    款结转</w:t>
            </w:r>
          </w:p>
        </w:tc>
        <w:tc>
          <w:tcPr>
            <w:tcW w:w="1134" w:type="dxa"/>
            <w:vAlign w:val="center"/>
          </w:tcPr>
          <w:p>
            <w:pPr>
              <w:pStyle w:val="12"/>
              <w:adjustRightInd w:val="0"/>
              <w:snapToGrid w:val="0"/>
            </w:pPr>
            <w:r>
              <w:t>非财政    拨款结    转结余</w:t>
            </w:r>
          </w:p>
        </w:tc>
        <w:tc>
          <w:tcPr>
            <w:tcW w:w="992" w:type="dxa"/>
            <w:vMerge w:val="continue"/>
          </w:tcPr>
          <w:p>
            <w:pPr>
              <w:adjustRightInd w:val="0"/>
              <w:snapToGri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44" w:type="dxa"/>
            <w:vAlign w:val="center"/>
          </w:tcPr>
          <w:p>
            <w:pPr>
              <w:pStyle w:val="16"/>
              <w:adjustRightInd w:val="0"/>
            </w:pPr>
            <w:r>
              <w:t>合  计</w:t>
            </w:r>
          </w:p>
        </w:tc>
        <w:tc>
          <w:tcPr>
            <w:tcW w:w="992" w:type="dxa"/>
            <w:vAlign w:val="center"/>
          </w:tcPr>
          <w:p>
            <w:pPr>
              <w:pStyle w:val="17"/>
              <w:adjustRightInd w:val="0"/>
            </w:pPr>
          </w:p>
        </w:tc>
        <w:tc>
          <w:tcPr>
            <w:tcW w:w="992" w:type="dxa"/>
            <w:vAlign w:val="center"/>
          </w:tcPr>
          <w:p>
            <w:pPr>
              <w:pStyle w:val="18"/>
              <w:adjustRightInd w:val="0"/>
            </w:pPr>
          </w:p>
        </w:tc>
        <w:tc>
          <w:tcPr>
            <w:tcW w:w="1134" w:type="dxa"/>
            <w:vAlign w:val="center"/>
          </w:tcPr>
          <w:p>
            <w:pPr>
              <w:pStyle w:val="18"/>
              <w:adjustRightInd w:val="0"/>
            </w:pPr>
          </w:p>
        </w:tc>
        <w:tc>
          <w:tcPr>
            <w:tcW w:w="567" w:type="dxa"/>
            <w:vAlign w:val="center"/>
          </w:tcPr>
          <w:p>
            <w:pPr>
              <w:pStyle w:val="16"/>
              <w:adjustRightInd w:val="0"/>
            </w:pPr>
          </w:p>
        </w:tc>
        <w:tc>
          <w:tcPr>
            <w:tcW w:w="709" w:type="dxa"/>
            <w:vAlign w:val="center"/>
          </w:tcPr>
          <w:p>
            <w:pPr>
              <w:pStyle w:val="17"/>
              <w:adjustRightInd w:val="0"/>
            </w:pPr>
          </w:p>
        </w:tc>
        <w:tc>
          <w:tcPr>
            <w:tcW w:w="672" w:type="dxa"/>
            <w:vAlign w:val="center"/>
          </w:tcPr>
          <w:p>
            <w:pPr>
              <w:pStyle w:val="17"/>
              <w:adjustRightInd w:val="0"/>
            </w:pPr>
          </w:p>
        </w:tc>
        <w:tc>
          <w:tcPr>
            <w:tcW w:w="709" w:type="dxa"/>
            <w:vAlign w:val="center"/>
          </w:tcPr>
          <w:p>
            <w:pPr>
              <w:pStyle w:val="17"/>
              <w:adjustRightInd w:val="0"/>
            </w:pPr>
          </w:p>
        </w:tc>
        <w:tc>
          <w:tcPr>
            <w:tcW w:w="851" w:type="dxa"/>
            <w:vAlign w:val="center"/>
          </w:tcPr>
          <w:p>
            <w:pPr>
              <w:pStyle w:val="17"/>
              <w:adjustRightInd w:val="0"/>
            </w:pPr>
          </w:p>
        </w:tc>
        <w:tc>
          <w:tcPr>
            <w:tcW w:w="992" w:type="dxa"/>
            <w:vAlign w:val="center"/>
          </w:tcPr>
          <w:p>
            <w:pPr>
              <w:pStyle w:val="17"/>
              <w:adjustRightInd w:val="0"/>
            </w:pPr>
          </w:p>
        </w:tc>
        <w:tc>
          <w:tcPr>
            <w:tcW w:w="1134" w:type="dxa"/>
            <w:vAlign w:val="center"/>
          </w:tcPr>
          <w:p>
            <w:pPr>
              <w:pStyle w:val="17"/>
              <w:adjustRightInd w:val="0"/>
            </w:pPr>
          </w:p>
        </w:tc>
        <w:tc>
          <w:tcPr>
            <w:tcW w:w="709" w:type="dxa"/>
            <w:vAlign w:val="center"/>
          </w:tcPr>
          <w:p>
            <w:pPr>
              <w:pStyle w:val="17"/>
              <w:adjustRightInd w:val="0"/>
            </w:pPr>
          </w:p>
        </w:tc>
        <w:tc>
          <w:tcPr>
            <w:tcW w:w="708" w:type="dxa"/>
            <w:vAlign w:val="center"/>
          </w:tcPr>
          <w:p>
            <w:pPr>
              <w:pStyle w:val="17"/>
              <w:adjustRightInd w:val="0"/>
            </w:pPr>
          </w:p>
        </w:tc>
        <w:tc>
          <w:tcPr>
            <w:tcW w:w="993" w:type="dxa"/>
            <w:vAlign w:val="center"/>
          </w:tcPr>
          <w:p>
            <w:pPr>
              <w:pStyle w:val="17"/>
              <w:adjustRightInd w:val="0"/>
            </w:pPr>
          </w:p>
        </w:tc>
        <w:tc>
          <w:tcPr>
            <w:tcW w:w="1134" w:type="dxa"/>
            <w:vAlign w:val="center"/>
          </w:tcPr>
          <w:p>
            <w:pPr>
              <w:pStyle w:val="17"/>
              <w:adjustRightInd w:val="0"/>
            </w:pPr>
          </w:p>
        </w:tc>
        <w:tc>
          <w:tcPr>
            <w:tcW w:w="992" w:type="dxa"/>
            <w:vAlign w:val="center"/>
          </w:tcPr>
          <w:p>
            <w:pPr>
              <w:pStyle w:val="17"/>
              <w:adjustRightIn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44" w:type="dxa"/>
            <w:vAlign w:val="center"/>
          </w:tcPr>
          <w:p>
            <w:pPr>
              <w:pStyle w:val="16"/>
              <w:adjustRightInd w:val="0"/>
            </w:pPr>
          </w:p>
        </w:tc>
        <w:tc>
          <w:tcPr>
            <w:tcW w:w="992" w:type="dxa"/>
            <w:vAlign w:val="center"/>
          </w:tcPr>
          <w:p>
            <w:pPr>
              <w:pStyle w:val="17"/>
              <w:adjustRightInd w:val="0"/>
            </w:pPr>
          </w:p>
        </w:tc>
        <w:tc>
          <w:tcPr>
            <w:tcW w:w="992" w:type="dxa"/>
            <w:vAlign w:val="center"/>
          </w:tcPr>
          <w:p>
            <w:pPr>
              <w:pStyle w:val="18"/>
              <w:adjustRightInd w:val="0"/>
            </w:pPr>
          </w:p>
        </w:tc>
        <w:tc>
          <w:tcPr>
            <w:tcW w:w="1134" w:type="dxa"/>
            <w:vAlign w:val="center"/>
          </w:tcPr>
          <w:p>
            <w:pPr>
              <w:pStyle w:val="18"/>
              <w:adjustRightInd w:val="0"/>
            </w:pPr>
          </w:p>
        </w:tc>
        <w:tc>
          <w:tcPr>
            <w:tcW w:w="567" w:type="dxa"/>
            <w:vAlign w:val="center"/>
          </w:tcPr>
          <w:p>
            <w:pPr>
              <w:pStyle w:val="16"/>
              <w:adjustRightInd w:val="0"/>
            </w:pPr>
          </w:p>
        </w:tc>
        <w:tc>
          <w:tcPr>
            <w:tcW w:w="709" w:type="dxa"/>
            <w:vAlign w:val="center"/>
          </w:tcPr>
          <w:p>
            <w:pPr>
              <w:pStyle w:val="17"/>
              <w:adjustRightInd w:val="0"/>
            </w:pPr>
          </w:p>
        </w:tc>
        <w:tc>
          <w:tcPr>
            <w:tcW w:w="672" w:type="dxa"/>
            <w:vAlign w:val="center"/>
          </w:tcPr>
          <w:p>
            <w:pPr>
              <w:pStyle w:val="17"/>
              <w:adjustRightInd w:val="0"/>
            </w:pPr>
          </w:p>
        </w:tc>
        <w:tc>
          <w:tcPr>
            <w:tcW w:w="709" w:type="dxa"/>
            <w:vAlign w:val="center"/>
          </w:tcPr>
          <w:p>
            <w:pPr>
              <w:pStyle w:val="17"/>
              <w:adjustRightInd w:val="0"/>
            </w:pPr>
          </w:p>
        </w:tc>
        <w:tc>
          <w:tcPr>
            <w:tcW w:w="851" w:type="dxa"/>
            <w:vAlign w:val="center"/>
          </w:tcPr>
          <w:p>
            <w:pPr>
              <w:pStyle w:val="17"/>
              <w:adjustRightInd w:val="0"/>
            </w:pPr>
          </w:p>
        </w:tc>
        <w:tc>
          <w:tcPr>
            <w:tcW w:w="992" w:type="dxa"/>
            <w:vAlign w:val="center"/>
          </w:tcPr>
          <w:p>
            <w:pPr>
              <w:pStyle w:val="17"/>
              <w:adjustRightInd w:val="0"/>
            </w:pPr>
          </w:p>
        </w:tc>
        <w:tc>
          <w:tcPr>
            <w:tcW w:w="1134" w:type="dxa"/>
            <w:vAlign w:val="center"/>
          </w:tcPr>
          <w:p>
            <w:pPr>
              <w:pStyle w:val="17"/>
              <w:adjustRightInd w:val="0"/>
            </w:pPr>
          </w:p>
        </w:tc>
        <w:tc>
          <w:tcPr>
            <w:tcW w:w="709" w:type="dxa"/>
            <w:vAlign w:val="center"/>
          </w:tcPr>
          <w:p>
            <w:pPr>
              <w:pStyle w:val="17"/>
              <w:adjustRightInd w:val="0"/>
            </w:pPr>
          </w:p>
        </w:tc>
        <w:tc>
          <w:tcPr>
            <w:tcW w:w="708" w:type="dxa"/>
            <w:vAlign w:val="center"/>
          </w:tcPr>
          <w:p>
            <w:pPr>
              <w:pStyle w:val="17"/>
              <w:adjustRightInd w:val="0"/>
            </w:pPr>
          </w:p>
        </w:tc>
        <w:tc>
          <w:tcPr>
            <w:tcW w:w="993" w:type="dxa"/>
            <w:vAlign w:val="center"/>
          </w:tcPr>
          <w:p>
            <w:pPr>
              <w:pStyle w:val="17"/>
              <w:adjustRightInd w:val="0"/>
            </w:pPr>
          </w:p>
        </w:tc>
        <w:tc>
          <w:tcPr>
            <w:tcW w:w="1134" w:type="dxa"/>
            <w:vAlign w:val="center"/>
          </w:tcPr>
          <w:p>
            <w:pPr>
              <w:pStyle w:val="17"/>
              <w:adjustRightInd w:val="0"/>
            </w:pPr>
          </w:p>
        </w:tc>
        <w:tc>
          <w:tcPr>
            <w:tcW w:w="992" w:type="dxa"/>
            <w:vAlign w:val="center"/>
          </w:tcPr>
          <w:p>
            <w:pPr>
              <w:pStyle w:val="17"/>
              <w:adjustRightIn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44" w:type="dxa"/>
            <w:vAlign w:val="center"/>
          </w:tcPr>
          <w:p>
            <w:pPr>
              <w:pStyle w:val="14"/>
              <w:adjustRightInd w:val="0"/>
            </w:pPr>
          </w:p>
        </w:tc>
        <w:tc>
          <w:tcPr>
            <w:tcW w:w="992" w:type="dxa"/>
            <w:vAlign w:val="center"/>
          </w:tcPr>
          <w:p>
            <w:pPr>
              <w:pStyle w:val="13"/>
              <w:adjustRightInd w:val="0"/>
            </w:pPr>
          </w:p>
        </w:tc>
        <w:tc>
          <w:tcPr>
            <w:tcW w:w="992" w:type="dxa"/>
            <w:vAlign w:val="center"/>
          </w:tcPr>
          <w:p>
            <w:pPr>
              <w:pStyle w:val="14"/>
              <w:adjustRightInd w:val="0"/>
            </w:pPr>
          </w:p>
        </w:tc>
        <w:tc>
          <w:tcPr>
            <w:tcW w:w="1134" w:type="dxa"/>
            <w:vAlign w:val="center"/>
          </w:tcPr>
          <w:p>
            <w:pPr>
              <w:pStyle w:val="14"/>
              <w:adjustRightInd w:val="0"/>
            </w:pPr>
          </w:p>
        </w:tc>
        <w:tc>
          <w:tcPr>
            <w:tcW w:w="567" w:type="dxa"/>
            <w:vAlign w:val="center"/>
          </w:tcPr>
          <w:p>
            <w:pPr>
              <w:pStyle w:val="15"/>
              <w:adjustRightInd w:val="0"/>
            </w:pPr>
          </w:p>
        </w:tc>
        <w:tc>
          <w:tcPr>
            <w:tcW w:w="709" w:type="dxa"/>
            <w:vAlign w:val="center"/>
          </w:tcPr>
          <w:p>
            <w:pPr>
              <w:pStyle w:val="13"/>
              <w:adjustRightInd w:val="0"/>
            </w:pPr>
          </w:p>
        </w:tc>
        <w:tc>
          <w:tcPr>
            <w:tcW w:w="672" w:type="dxa"/>
            <w:vAlign w:val="center"/>
          </w:tcPr>
          <w:p>
            <w:pPr>
              <w:pStyle w:val="13"/>
              <w:adjustRightInd w:val="0"/>
            </w:pPr>
          </w:p>
        </w:tc>
        <w:tc>
          <w:tcPr>
            <w:tcW w:w="709" w:type="dxa"/>
            <w:vAlign w:val="center"/>
          </w:tcPr>
          <w:p>
            <w:pPr>
              <w:pStyle w:val="13"/>
              <w:adjustRightInd w:val="0"/>
            </w:pPr>
          </w:p>
        </w:tc>
        <w:tc>
          <w:tcPr>
            <w:tcW w:w="851" w:type="dxa"/>
            <w:vAlign w:val="center"/>
          </w:tcPr>
          <w:p>
            <w:pPr>
              <w:pStyle w:val="13"/>
              <w:adjustRightInd w:val="0"/>
            </w:pPr>
          </w:p>
        </w:tc>
        <w:tc>
          <w:tcPr>
            <w:tcW w:w="992" w:type="dxa"/>
            <w:vAlign w:val="center"/>
          </w:tcPr>
          <w:p>
            <w:pPr>
              <w:pStyle w:val="13"/>
              <w:adjustRightInd w:val="0"/>
            </w:pPr>
          </w:p>
        </w:tc>
        <w:tc>
          <w:tcPr>
            <w:tcW w:w="1134" w:type="dxa"/>
            <w:vAlign w:val="center"/>
          </w:tcPr>
          <w:p>
            <w:pPr>
              <w:pStyle w:val="13"/>
              <w:adjustRightInd w:val="0"/>
            </w:pPr>
          </w:p>
        </w:tc>
        <w:tc>
          <w:tcPr>
            <w:tcW w:w="709" w:type="dxa"/>
            <w:vAlign w:val="center"/>
          </w:tcPr>
          <w:p>
            <w:pPr>
              <w:pStyle w:val="13"/>
              <w:adjustRightInd w:val="0"/>
            </w:pPr>
          </w:p>
        </w:tc>
        <w:tc>
          <w:tcPr>
            <w:tcW w:w="708" w:type="dxa"/>
            <w:vAlign w:val="center"/>
          </w:tcPr>
          <w:p>
            <w:pPr>
              <w:pStyle w:val="13"/>
              <w:adjustRightInd w:val="0"/>
            </w:pPr>
          </w:p>
        </w:tc>
        <w:tc>
          <w:tcPr>
            <w:tcW w:w="993" w:type="dxa"/>
            <w:vAlign w:val="center"/>
          </w:tcPr>
          <w:p>
            <w:pPr>
              <w:pStyle w:val="13"/>
              <w:adjustRightInd w:val="0"/>
            </w:pPr>
          </w:p>
        </w:tc>
        <w:tc>
          <w:tcPr>
            <w:tcW w:w="1134" w:type="dxa"/>
            <w:vAlign w:val="center"/>
          </w:tcPr>
          <w:p>
            <w:pPr>
              <w:pStyle w:val="13"/>
              <w:adjustRightInd w:val="0"/>
            </w:pPr>
          </w:p>
        </w:tc>
        <w:tc>
          <w:tcPr>
            <w:tcW w:w="992" w:type="dxa"/>
            <w:vAlign w:val="center"/>
          </w:tcPr>
          <w:p>
            <w:pPr>
              <w:pStyle w:val="13"/>
              <w:adjustRightIn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44" w:type="dxa"/>
            <w:vAlign w:val="center"/>
          </w:tcPr>
          <w:p>
            <w:pPr>
              <w:pStyle w:val="14"/>
              <w:adjustRightInd w:val="0"/>
            </w:pPr>
          </w:p>
        </w:tc>
        <w:tc>
          <w:tcPr>
            <w:tcW w:w="992" w:type="dxa"/>
            <w:vAlign w:val="center"/>
          </w:tcPr>
          <w:p>
            <w:pPr>
              <w:pStyle w:val="13"/>
              <w:adjustRightInd w:val="0"/>
            </w:pPr>
          </w:p>
        </w:tc>
        <w:tc>
          <w:tcPr>
            <w:tcW w:w="992" w:type="dxa"/>
            <w:vAlign w:val="center"/>
          </w:tcPr>
          <w:p>
            <w:pPr>
              <w:pStyle w:val="14"/>
              <w:adjustRightInd w:val="0"/>
            </w:pPr>
          </w:p>
        </w:tc>
        <w:tc>
          <w:tcPr>
            <w:tcW w:w="1134" w:type="dxa"/>
            <w:vAlign w:val="center"/>
          </w:tcPr>
          <w:p>
            <w:pPr>
              <w:pStyle w:val="14"/>
              <w:adjustRightInd w:val="0"/>
            </w:pPr>
          </w:p>
        </w:tc>
        <w:tc>
          <w:tcPr>
            <w:tcW w:w="567" w:type="dxa"/>
            <w:vAlign w:val="center"/>
          </w:tcPr>
          <w:p>
            <w:pPr>
              <w:pStyle w:val="15"/>
              <w:adjustRightInd w:val="0"/>
            </w:pPr>
          </w:p>
        </w:tc>
        <w:tc>
          <w:tcPr>
            <w:tcW w:w="709" w:type="dxa"/>
            <w:vAlign w:val="center"/>
          </w:tcPr>
          <w:p>
            <w:pPr>
              <w:pStyle w:val="13"/>
              <w:adjustRightInd w:val="0"/>
            </w:pPr>
          </w:p>
        </w:tc>
        <w:tc>
          <w:tcPr>
            <w:tcW w:w="672" w:type="dxa"/>
            <w:vAlign w:val="center"/>
          </w:tcPr>
          <w:p>
            <w:pPr>
              <w:pStyle w:val="13"/>
              <w:adjustRightInd w:val="0"/>
            </w:pPr>
          </w:p>
        </w:tc>
        <w:tc>
          <w:tcPr>
            <w:tcW w:w="709" w:type="dxa"/>
            <w:vAlign w:val="center"/>
          </w:tcPr>
          <w:p>
            <w:pPr>
              <w:pStyle w:val="13"/>
              <w:adjustRightInd w:val="0"/>
            </w:pPr>
          </w:p>
        </w:tc>
        <w:tc>
          <w:tcPr>
            <w:tcW w:w="851" w:type="dxa"/>
            <w:vAlign w:val="center"/>
          </w:tcPr>
          <w:p>
            <w:pPr>
              <w:pStyle w:val="13"/>
              <w:adjustRightInd w:val="0"/>
            </w:pPr>
          </w:p>
        </w:tc>
        <w:tc>
          <w:tcPr>
            <w:tcW w:w="992" w:type="dxa"/>
            <w:vAlign w:val="center"/>
          </w:tcPr>
          <w:p>
            <w:pPr>
              <w:pStyle w:val="13"/>
              <w:adjustRightInd w:val="0"/>
            </w:pPr>
          </w:p>
        </w:tc>
        <w:tc>
          <w:tcPr>
            <w:tcW w:w="1134" w:type="dxa"/>
            <w:vAlign w:val="center"/>
          </w:tcPr>
          <w:p>
            <w:pPr>
              <w:pStyle w:val="13"/>
              <w:adjustRightInd w:val="0"/>
            </w:pPr>
          </w:p>
        </w:tc>
        <w:tc>
          <w:tcPr>
            <w:tcW w:w="709" w:type="dxa"/>
            <w:vAlign w:val="center"/>
          </w:tcPr>
          <w:p>
            <w:pPr>
              <w:pStyle w:val="13"/>
              <w:adjustRightInd w:val="0"/>
            </w:pPr>
          </w:p>
        </w:tc>
        <w:tc>
          <w:tcPr>
            <w:tcW w:w="708" w:type="dxa"/>
            <w:vAlign w:val="center"/>
          </w:tcPr>
          <w:p>
            <w:pPr>
              <w:pStyle w:val="13"/>
              <w:adjustRightInd w:val="0"/>
            </w:pPr>
          </w:p>
        </w:tc>
        <w:tc>
          <w:tcPr>
            <w:tcW w:w="993" w:type="dxa"/>
            <w:vAlign w:val="center"/>
          </w:tcPr>
          <w:p>
            <w:pPr>
              <w:pStyle w:val="13"/>
              <w:adjustRightInd w:val="0"/>
            </w:pPr>
          </w:p>
        </w:tc>
        <w:tc>
          <w:tcPr>
            <w:tcW w:w="1134" w:type="dxa"/>
            <w:vAlign w:val="center"/>
          </w:tcPr>
          <w:p>
            <w:pPr>
              <w:pStyle w:val="13"/>
              <w:adjustRightInd w:val="0"/>
            </w:pPr>
          </w:p>
        </w:tc>
        <w:tc>
          <w:tcPr>
            <w:tcW w:w="992" w:type="dxa"/>
            <w:vAlign w:val="center"/>
          </w:tcPr>
          <w:p>
            <w:pPr>
              <w:pStyle w:val="13"/>
              <w:adjustRightInd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44" w:type="dxa"/>
            <w:vAlign w:val="center"/>
          </w:tcPr>
          <w:p>
            <w:pPr>
              <w:pStyle w:val="14"/>
              <w:adjustRightInd w:val="0"/>
            </w:pPr>
          </w:p>
        </w:tc>
        <w:tc>
          <w:tcPr>
            <w:tcW w:w="992" w:type="dxa"/>
            <w:vAlign w:val="center"/>
          </w:tcPr>
          <w:p>
            <w:pPr>
              <w:pStyle w:val="13"/>
              <w:adjustRightInd w:val="0"/>
            </w:pPr>
          </w:p>
        </w:tc>
        <w:tc>
          <w:tcPr>
            <w:tcW w:w="992" w:type="dxa"/>
            <w:vAlign w:val="center"/>
          </w:tcPr>
          <w:p>
            <w:pPr>
              <w:pStyle w:val="14"/>
              <w:adjustRightInd w:val="0"/>
            </w:pPr>
          </w:p>
        </w:tc>
        <w:tc>
          <w:tcPr>
            <w:tcW w:w="1134" w:type="dxa"/>
            <w:vAlign w:val="center"/>
          </w:tcPr>
          <w:p>
            <w:pPr>
              <w:pStyle w:val="14"/>
              <w:adjustRightInd w:val="0"/>
            </w:pPr>
          </w:p>
        </w:tc>
        <w:tc>
          <w:tcPr>
            <w:tcW w:w="567" w:type="dxa"/>
            <w:vAlign w:val="center"/>
          </w:tcPr>
          <w:p>
            <w:pPr>
              <w:pStyle w:val="15"/>
              <w:adjustRightInd w:val="0"/>
            </w:pPr>
          </w:p>
        </w:tc>
        <w:tc>
          <w:tcPr>
            <w:tcW w:w="709" w:type="dxa"/>
            <w:vAlign w:val="center"/>
          </w:tcPr>
          <w:p>
            <w:pPr>
              <w:pStyle w:val="13"/>
              <w:adjustRightInd w:val="0"/>
            </w:pPr>
          </w:p>
        </w:tc>
        <w:tc>
          <w:tcPr>
            <w:tcW w:w="672" w:type="dxa"/>
            <w:vAlign w:val="center"/>
          </w:tcPr>
          <w:p>
            <w:pPr>
              <w:pStyle w:val="13"/>
              <w:adjustRightInd w:val="0"/>
            </w:pPr>
          </w:p>
        </w:tc>
        <w:tc>
          <w:tcPr>
            <w:tcW w:w="709" w:type="dxa"/>
            <w:vAlign w:val="center"/>
          </w:tcPr>
          <w:p>
            <w:pPr>
              <w:pStyle w:val="13"/>
              <w:adjustRightInd w:val="0"/>
            </w:pPr>
          </w:p>
        </w:tc>
        <w:tc>
          <w:tcPr>
            <w:tcW w:w="851" w:type="dxa"/>
            <w:vAlign w:val="center"/>
          </w:tcPr>
          <w:p>
            <w:pPr>
              <w:pStyle w:val="13"/>
              <w:adjustRightInd w:val="0"/>
            </w:pPr>
          </w:p>
        </w:tc>
        <w:tc>
          <w:tcPr>
            <w:tcW w:w="992" w:type="dxa"/>
            <w:vAlign w:val="center"/>
          </w:tcPr>
          <w:p>
            <w:pPr>
              <w:pStyle w:val="13"/>
              <w:adjustRightInd w:val="0"/>
            </w:pPr>
          </w:p>
        </w:tc>
        <w:tc>
          <w:tcPr>
            <w:tcW w:w="1134" w:type="dxa"/>
            <w:vAlign w:val="center"/>
          </w:tcPr>
          <w:p>
            <w:pPr>
              <w:pStyle w:val="13"/>
              <w:adjustRightInd w:val="0"/>
            </w:pPr>
          </w:p>
        </w:tc>
        <w:tc>
          <w:tcPr>
            <w:tcW w:w="709" w:type="dxa"/>
            <w:vAlign w:val="center"/>
          </w:tcPr>
          <w:p>
            <w:pPr>
              <w:pStyle w:val="13"/>
              <w:adjustRightInd w:val="0"/>
            </w:pPr>
          </w:p>
        </w:tc>
        <w:tc>
          <w:tcPr>
            <w:tcW w:w="708" w:type="dxa"/>
            <w:vAlign w:val="center"/>
          </w:tcPr>
          <w:p>
            <w:pPr>
              <w:pStyle w:val="13"/>
              <w:adjustRightInd w:val="0"/>
            </w:pPr>
          </w:p>
        </w:tc>
        <w:tc>
          <w:tcPr>
            <w:tcW w:w="993" w:type="dxa"/>
            <w:vAlign w:val="center"/>
          </w:tcPr>
          <w:p>
            <w:pPr>
              <w:pStyle w:val="13"/>
              <w:adjustRightInd w:val="0"/>
            </w:pPr>
          </w:p>
        </w:tc>
        <w:tc>
          <w:tcPr>
            <w:tcW w:w="1134" w:type="dxa"/>
            <w:vAlign w:val="center"/>
          </w:tcPr>
          <w:p>
            <w:pPr>
              <w:pStyle w:val="13"/>
              <w:adjustRightInd w:val="0"/>
            </w:pPr>
          </w:p>
        </w:tc>
        <w:tc>
          <w:tcPr>
            <w:tcW w:w="992" w:type="dxa"/>
            <w:vAlign w:val="center"/>
          </w:tcPr>
          <w:p>
            <w:pPr>
              <w:pStyle w:val="13"/>
              <w:adjustRightInd w:val="0"/>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中国共产党廊坊市广阳区委员会老干部局（含所属单位）上年末固定资产金额为</w:t>
      </w:r>
      <w:r>
        <w:rPr>
          <w:rFonts w:hint="eastAsia" w:ascii="Times New Roman" w:hAnsi="Times New Roman" w:eastAsia="仿宋_GB2312" w:cs="Times New Roman"/>
          <w:sz w:val="32"/>
          <w:szCs w:val="32"/>
        </w:rPr>
        <w:t>234.9241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w:t>
      </w:r>
      <w:r>
        <w:rPr>
          <w:rFonts w:hint="eastAsia" w:ascii="Times New Roman" w:hAnsi="Times New Roman" w:eastAsia="仿宋_GB2312" w:cs="Times New Roman"/>
          <w:sz w:val="32"/>
          <w:szCs w:val="32"/>
        </w:rPr>
        <w:t>无拟购置固定资产。</w:t>
      </w: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 xml:space="preserve">中国共产党廊坊市广阳区委员老干部局   </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234.9241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1853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180.7001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153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15.3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17.98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36.244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12</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BD02AE"/>
    <w:multiLevelType w:val="multilevel"/>
    <w:tmpl w:val="63BD02AE"/>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A2B60"/>
    <w:rsid w:val="000A564D"/>
    <w:rsid w:val="000A6C63"/>
    <w:rsid w:val="000F6018"/>
    <w:rsid w:val="001074AC"/>
    <w:rsid w:val="00145434"/>
    <w:rsid w:val="002225E4"/>
    <w:rsid w:val="002310A2"/>
    <w:rsid w:val="0025632D"/>
    <w:rsid w:val="003059E0"/>
    <w:rsid w:val="003B585C"/>
    <w:rsid w:val="003F0AB3"/>
    <w:rsid w:val="003F782F"/>
    <w:rsid w:val="004A54AA"/>
    <w:rsid w:val="005606A2"/>
    <w:rsid w:val="0057477B"/>
    <w:rsid w:val="0085555D"/>
    <w:rsid w:val="0089313F"/>
    <w:rsid w:val="008F4D92"/>
    <w:rsid w:val="00944233"/>
    <w:rsid w:val="00A9779C"/>
    <w:rsid w:val="00AB61F7"/>
    <w:rsid w:val="00B40732"/>
    <w:rsid w:val="00B80935"/>
    <w:rsid w:val="00C85EAA"/>
    <w:rsid w:val="00CC123F"/>
    <w:rsid w:val="00CC2506"/>
    <w:rsid w:val="00D347CC"/>
    <w:rsid w:val="00DC72B4"/>
    <w:rsid w:val="00DE7C33"/>
    <w:rsid w:val="00E247FD"/>
    <w:rsid w:val="00E8484F"/>
    <w:rsid w:val="00EB111B"/>
    <w:rsid w:val="00F04735"/>
    <w:rsid w:val="00F937B5"/>
    <w:rsid w:val="00FB48AF"/>
    <w:rsid w:val="0CEC1180"/>
    <w:rsid w:val="44405428"/>
    <w:rsid w:val="48FA49DE"/>
    <w:rsid w:val="4C83184A"/>
    <w:rsid w:val="5DE3440A"/>
    <w:rsid w:val="6C670595"/>
    <w:rsid w:val="723E29F8"/>
    <w:rsid w:val="73693C55"/>
    <w:rsid w:val="771D32F8"/>
    <w:rsid w:val="7BD15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customStyle="1" w:styleId="20">
    <w:name w:val="插入文本样式-插入职责分类绩效目标文件"/>
    <w:basedOn w:val="1"/>
    <w:qFormat/>
    <w:uiPriority w:val="0"/>
    <w:pPr>
      <w:widowControl/>
      <w:spacing w:line="500" w:lineRule="exact"/>
      <w:ind w:firstLine="560"/>
      <w:jc w:val="left"/>
    </w:pPr>
    <w:rPr>
      <w:rFonts w:ascii="Times New Roman" w:hAnsi="Times New Roman" w:eastAsia="方正仿宋_GBK" w:cs="Times New Roman"/>
      <w:kern w:val="0"/>
      <w:sz w:val="28"/>
      <w:szCs w:val="24"/>
      <w:lang w:eastAsia="uk-UA"/>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15</Pages>
  <Words>951</Words>
  <Characters>5422</Characters>
  <Lines>45</Lines>
  <Paragraphs>12</Paragraphs>
  <TotalTime>8962</TotalTime>
  <ScaleCrop>false</ScaleCrop>
  <LinksUpToDate>false</LinksUpToDate>
  <CharactersWithSpaces>6361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2024-05-14T08:40:13Z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650AAC4A954B4829AF6CA8FCEF21CE6E</vt:lpwstr>
  </property>
</Properties>
</file>