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融媒体中心</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6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要职责是坚持和加强党对宣传工作的集中统一领导；贯彻落实中央、省委、市委和区委关于融媒体工作的方针、政策、决策部署和区委有关工作要求；贯彻执行党和国家关于融媒体宣传工作的法律法规、规章和政策，把握正确的舆论和创作导向；整合区内广播电视、报刊、内部资料性出版物、新媒体、新闻网站等资源，利用媒体融合的优势进行内外宣传报道，传播新闻信息；搭建开展媒体服务、党建服务、政务服务、公共服务等业务的融合媒体平台；负责组织协调本区融媒体系统人才队伍建设及人员教育工作；完成区委、区政府和上级部门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廊坊市广阳区融媒体中心</w:t>
            </w:r>
          </w:p>
        </w:tc>
        <w:tc>
          <w:tcPr>
            <w:tcW w:w="1134"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hint="eastAsia" w:ascii="Times New Roman" w:hAnsi="Times New Roman" w:eastAsia="仿宋_GB2312" w:cs="Times New Roman"/>
                <w:b/>
              </w:rPr>
              <w:t>财政性资金定额或定向补助（差额事业）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282.96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258.55</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24.41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165.05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val="en-US" w:eastAsia="zh-CN"/>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lang w:val="en-US" w:eastAsia="zh-CN"/>
        </w:rPr>
        <w:t>时代广阳运行经费、招聘专业技术人员经费</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lang w:eastAsia="zh-CN"/>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448.01</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138.33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减少6.72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人员</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145.05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招聘专业技术人员经费</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lang w:val="en-US" w:eastAsia="zh-CN"/>
        </w:rPr>
        <w:t>24.41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中心</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中心</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highlight w:val="none"/>
          <w:lang w:val="en-US" w:eastAsia="zh-CN"/>
        </w:rPr>
        <w:t>4.38</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highlight w:val="none"/>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highlight w:val="none"/>
          <w:lang w:val="en-US" w:eastAsia="zh-CN"/>
        </w:rPr>
        <w:t>4.38万元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w:t>
      </w:r>
      <w:r>
        <w:rPr>
          <w:rFonts w:hint="eastAsia" w:ascii="Times New Roman" w:hAnsi="Times New Roman" w:eastAsia="仿宋_GB2312" w:cs="Times New Roman"/>
          <w:sz w:val="32"/>
          <w:szCs w:val="32"/>
          <w:lang w:val="en-US" w:eastAsia="zh-CN"/>
        </w:rPr>
        <w:t>尽量</w:t>
      </w:r>
      <w:r>
        <w:rPr>
          <w:rFonts w:hint="eastAsia" w:ascii="Times New Roman" w:hAnsi="Times New Roman" w:eastAsia="仿宋_GB2312" w:cs="Times New Roman"/>
          <w:sz w:val="32"/>
          <w:szCs w:val="32"/>
        </w:rPr>
        <w:t>压减公车运行经费支出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保证经费不超支</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1年相比持平，无增减变化。</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区融媒体中心始终坚持以习近平新时代中国特色社会主义思想为指导，认真学习党的十九大精神和习近平总书记系列重要讲话精神，贯彻执行新闻宣传方针政策，紧密结合党史学习教育，扎实开展增强“四力”教育实践工作，围绕区委、区政府中心工作，充分发挥全媒体宣传职能，坚持宣传抓导向、事业谋发展、服务惠民生、队伍强管理的理念，全面推进各项工作取得新进展。</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1、传统媒体突出重点。融媒体中心围绕全区大局和区委区政府中心工作，牢牢把握全区新闻媒体第一话语权，坚持团结稳定鼓劲、正面宣传为主的方针，唱响主旋律，打好主动仗。</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2、新媒体彰显亮点。融媒体中心按照移动优先原则，优化资源配置，强化“媒体+政务+服务”功能，推动媒体融合各项运行管理机制创新。</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3、主题报道精彩纷呈。一是党史宣传守正创新。二是疫情报道浓墨重彩。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对外宣传成果显著。融媒体中心始终把外宣工作放到突出位置，着眼于全区的特色、亮点和优势，采取积极有效措施，整合新闻资源，精心策划选题，大力宣传全区经济社会建设取得的新成就，全面报道广大干部群众建设广阳的新风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广阳区融媒体中心招聘专业技术人员专项经费</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绩效目标：为确保融媒体中心工作正常运转、职责有效发挥、任务圆满完成，结合区融媒体中心建设改革实际，公开招聘合同制专业技术人员，依照实施方案，合理合规为聘用人员发放工资及缴纳保险。</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rPr>
        <w:t>时代广阳运行经费</w:t>
      </w:r>
    </w:p>
    <w:p>
      <w:pPr>
        <w:pStyle w:val="20"/>
        <w:keepNext w:val="0"/>
        <w:keepLines w:val="0"/>
        <w:pageBreakBefore w:val="0"/>
        <w:widowControl w:val="0"/>
        <w:kinsoku/>
        <w:wordWrap/>
        <w:overflowPunct/>
        <w:topLinePunct w:val="0"/>
        <w:bidi w:val="0"/>
        <w:snapToGrid/>
        <w:spacing w:line="584" w:lineRule="exact"/>
        <w:ind w:firstLine="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绩效目标：全面深入多渠道的宣传贯彻习近平新时代中国特色社会主义思想和党的十九大精神，能够长期坚持报纸高质量出版，为全区各级各部门宣传特色亮点工作，为领导决策提供</w:t>
      </w:r>
      <w:r>
        <w:rPr>
          <w:rFonts w:hint="eastAsia" w:eastAsia="仿宋_GB2312" w:cs="Times New Roman"/>
          <w:sz w:val="32"/>
          <w:szCs w:val="32"/>
          <w:lang w:eastAsia="zh-CN"/>
        </w:rPr>
        <w:t>有力保障</w:t>
      </w:r>
      <w:r>
        <w:rPr>
          <w:rFonts w:hint="eastAsia" w:ascii="Times New Roman" w:hAnsi="Times New Roman" w:eastAsia="仿宋_GB2312" w:cs="Times New Roman"/>
          <w:sz w:val="32"/>
          <w:szCs w:val="32"/>
        </w:rPr>
        <w:t>。</w:t>
      </w:r>
    </w:p>
    <w:p>
      <w:pPr>
        <w:pStyle w:val="20"/>
        <w:keepNext w:val="0"/>
        <w:keepLines w:val="0"/>
        <w:pageBreakBefore w:val="0"/>
        <w:widowControl w:val="0"/>
        <w:kinsoku/>
        <w:wordWrap/>
        <w:overflowPunct/>
        <w:topLinePunct w:val="0"/>
        <w:bidi w:val="0"/>
        <w:snapToGrid/>
        <w:spacing w:line="584"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《蝶变2020、奋进2020》拍摄制作经费</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绩效目标：按要求完成40分钟专题片制作，专题片须画质清晰，能够完整的表现创意及主体思想，按照合作期限与原则支付专题片费用19.8万元。通过专题片的制作可以达到宣传广阳、推介广阳的宣传效果。</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 机关运行经费</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绩效目标:维持机关工作正常运转，按时上缴水电费、电话费，支付办公用品采购及门卫工资等劳务费用，保障工作正常开展，合理合规各项支出，保障融媒体中心正常运行。  </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《广阳之声》人员工资及保险</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按照规定要求，保障媒体节目播放数量、质量，不出现节目失误；在规定时效内完成节目制作、按时发放聘用人员工资、缴纳各种保险，保障节目按时制作完成并且按时播出，最终完成宣传党和政府声音的职责并且提高群众对广阳时讯节目的满意度。</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融媒体中心建设</w:t>
      </w:r>
    </w:p>
    <w:p>
      <w:pPr>
        <w:pStyle w:val="20"/>
        <w:keepNext w:val="0"/>
        <w:keepLines w:val="0"/>
        <w:pageBreakBefore w:val="0"/>
        <w:widowControl w:val="0"/>
        <w:kinsoku/>
        <w:wordWrap/>
        <w:overflowPunct/>
        <w:topLinePunct w:val="0"/>
        <w:bidi w:val="0"/>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绩效目标:通过对办公平台的升级可以有效的组合信息终端平台、入驻“冀云”平台强化“媒体+政务+服务”功能。通过对机房改造、车辆及监控、线路改造的实施，可以有效推进办公条件改善。通过此项目的实施，完成规定节目的制作，达到设备安全有效运转，在合同要求规定内完成项目建设，预算资金控制在357万元之内。以此达到提高广阳知名度的要求，并且得到群众广泛认可。</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融媒体中心在区委区政府的正确领导下，积极探索传统媒体与新兴媒体共同发展，推进媒体深层次融合。为实现年度绩效目标融媒体中心制定了财务管理制度、绩效管理制度、绩效评定管理办法等一系列管理制度，规范了绩效管理流程，按照工作部署要求，保证了绩效目标的实现。</w:t>
      </w: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24"/>
        <w:gridCol w:w="1246"/>
        <w:gridCol w:w="1362"/>
        <w:gridCol w:w="3666"/>
        <w:gridCol w:w="2606"/>
        <w:gridCol w:w="733"/>
        <w:gridCol w:w="713"/>
        <w:gridCol w:w="856"/>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tblHeader/>
          <w:jc w:val="center"/>
        </w:trPr>
        <w:tc>
          <w:tcPr>
            <w:tcW w:w="295"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4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8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31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93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823"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0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tblHeader/>
          <w:jc w:val="center"/>
        </w:trPr>
        <w:tc>
          <w:tcPr>
            <w:tcW w:w="295" w:type="pct"/>
            <w:vMerge w:val="continue"/>
            <w:tcBorders>
              <w:tl2br w:val="nil"/>
              <w:tr2bl w:val="nil"/>
            </w:tcBorders>
            <w:vAlign w:val="center"/>
          </w:tcPr>
          <w:p/>
        </w:tc>
        <w:tc>
          <w:tcPr>
            <w:tcW w:w="446" w:type="pct"/>
            <w:vMerge w:val="continue"/>
            <w:tcBorders>
              <w:tl2br w:val="nil"/>
              <w:tr2bl w:val="nil"/>
            </w:tcBorders>
            <w:vAlign w:val="center"/>
          </w:tcPr>
          <w:p/>
        </w:tc>
        <w:tc>
          <w:tcPr>
            <w:tcW w:w="487" w:type="pct"/>
            <w:vMerge w:val="continue"/>
            <w:tcBorders>
              <w:tl2br w:val="nil"/>
              <w:tr2bl w:val="nil"/>
            </w:tcBorders>
            <w:vAlign w:val="center"/>
          </w:tcPr>
          <w:p/>
        </w:tc>
        <w:tc>
          <w:tcPr>
            <w:tcW w:w="1311" w:type="pct"/>
            <w:vMerge w:val="continue"/>
            <w:tcBorders>
              <w:tl2br w:val="nil"/>
              <w:tr2bl w:val="nil"/>
            </w:tcBorders>
            <w:vAlign w:val="center"/>
          </w:tcPr>
          <w:p/>
        </w:tc>
        <w:tc>
          <w:tcPr>
            <w:tcW w:w="932" w:type="pct"/>
            <w:vMerge w:val="continue"/>
            <w:tcBorders>
              <w:tl2br w:val="nil"/>
              <w:tr2bl w:val="nil"/>
            </w:tcBorders>
            <w:vAlign w:val="center"/>
          </w:tcPr>
          <w:p/>
        </w:tc>
        <w:tc>
          <w:tcPr>
            <w:tcW w:w="26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5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0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03"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重点工作实际完成率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r>
              <w:rPr>
                <w:rFonts w:hint="eastAsia" w:ascii="仿宋_GB2312" w:hAnsi="仿宋_GB2312" w:eastAsia="仿宋_GB2312" w:cs="仿宋_GB2312"/>
              </w:rPr>
              <w:t xml:space="preserve">                           </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及时完成各项工作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500</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期</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重点工作质量达标率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按要求完成各项工作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95</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全年工作实际情况测算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重点工作完成及时性</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及时完成各项工作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eastAsia="zh-CN"/>
              </w:rPr>
              <w:t>文字描述</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按要求及时完成各项工作</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实际情况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公用经费控制率</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达到要求得10分，未达到要求扣5分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按要求支付使用经费</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100</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支付费用回单凭证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87" w:type="pct"/>
            <w:tcBorders>
              <w:tl2br w:val="nil"/>
              <w:tr2bl w:val="nil"/>
            </w:tcBorders>
            <w:vAlign w:val="center"/>
          </w:tcPr>
          <w:p>
            <w:pPr>
              <w:spacing w:line="300" w:lineRule="exact"/>
              <w:jc w:val="left"/>
              <w:rPr>
                <w:rFonts w:hint="eastAsia" w:ascii="仿宋_GB2312" w:hAnsi="仿宋_GB2312" w:eastAsia="仿宋_GB2312" w:cs="仿宋_GB2312"/>
              </w:rPr>
            </w:pPr>
            <w:r>
              <w:rPr>
                <w:rFonts w:hint="eastAsia" w:ascii="仿宋_GB2312" w:hAnsi="仿宋_GB2312" w:eastAsia="仿宋_GB2312" w:cs="仿宋_GB2312"/>
              </w:rPr>
              <w:t>已支持的新媒体、全媒体项</w:t>
            </w:r>
          </w:p>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目的传播</w:t>
            </w:r>
          </w:p>
        </w:tc>
        <w:tc>
          <w:tcPr>
            <w:tcW w:w="1311"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达到要求得25分，未达到要求扣10分</w:t>
            </w:r>
          </w:p>
        </w:tc>
        <w:tc>
          <w:tcPr>
            <w:tcW w:w="93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宣传推介广阳效果</w:t>
            </w:r>
          </w:p>
        </w:tc>
        <w:tc>
          <w:tcPr>
            <w:tcW w:w="262"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25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95</w:t>
            </w:r>
          </w:p>
        </w:tc>
        <w:tc>
          <w:tcPr>
            <w:tcW w:w="305"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kern w:val="2"/>
                <w:sz w:val="21"/>
                <w:szCs w:val="22"/>
                <w:lang w:val="en-US" w:eastAsia="zh-CN" w:bidi="ar-SA"/>
              </w:rPr>
              <w:t>%</w:t>
            </w:r>
          </w:p>
        </w:tc>
        <w:tc>
          <w:tcPr>
            <w:tcW w:w="703" w:type="pct"/>
            <w:tcBorders>
              <w:tl2br w:val="nil"/>
              <w:tr2bl w:val="nil"/>
            </w:tcBorders>
            <w:vAlign w:val="center"/>
          </w:tcPr>
          <w:p>
            <w:pPr>
              <w:spacing w:line="300" w:lineRule="exact"/>
              <w:jc w:val="left"/>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全媒体、新媒体播放报道期数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17" w:hRule="atLeast"/>
          <w:jc w:val="center"/>
        </w:trPr>
        <w:tc>
          <w:tcPr>
            <w:tcW w:w="295" w:type="pct"/>
            <w:vMerge w:val="continue"/>
            <w:tcBorders>
              <w:tl2br w:val="nil"/>
              <w:tr2bl w:val="nil"/>
            </w:tcBorders>
            <w:vAlign w:val="center"/>
          </w:tcPr>
          <w:p/>
        </w:tc>
        <w:tc>
          <w:tcPr>
            <w:tcW w:w="44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87"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人员的满意度</w:t>
            </w:r>
          </w:p>
        </w:tc>
        <w:tc>
          <w:tcPr>
            <w:tcW w:w="1311"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达到要求得25分，未达到要求扣10分</w:t>
            </w:r>
          </w:p>
        </w:tc>
        <w:tc>
          <w:tcPr>
            <w:tcW w:w="932"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满意群众占总人数的比例</w:t>
            </w:r>
          </w:p>
        </w:tc>
        <w:tc>
          <w:tcPr>
            <w:tcW w:w="262"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5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30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03"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实际调查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1.《时代广阳》运行经费绩效目标表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23"/>
        <w:gridCol w:w="2284"/>
        <w:gridCol w:w="1998"/>
        <w:gridCol w:w="3427"/>
        <w:gridCol w:w="1856"/>
        <w:gridCol w:w="21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4144" w:type="pct"/>
            <w:gridSpan w:val="5"/>
            <w:shd w:val="clear" w:color="auto" w:fill="auto"/>
            <w:vAlign w:val="center"/>
          </w:tcPr>
          <w:p>
            <w:pPr>
              <w:spacing w:line="300" w:lineRule="exact"/>
              <w:rPr>
                <w:rFonts w:ascii="Times New Roman" w:hAnsi="Times New Roman" w:eastAsia="仿宋_GB2312" w:cs="Times New Roman"/>
                <w:b/>
              </w:rPr>
            </w:pPr>
            <w:r>
              <w:rPr>
                <w:rFonts w:ascii="Times New Roman" w:hAnsi="Times New Roman" w:eastAsia="仿宋_GB2312" w:cs="Times New Roman"/>
                <w:b/>
              </w:rPr>
              <w:t>1.《时代广阳》运行经费，印刷费用、设备维护费用</w:t>
            </w:r>
          </w:p>
          <w:p>
            <w:pPr>
              <w:spacing w:line="300" w:lineRule="exact"/>
              <w:rPr>
                <w:rFonts w:ascii="Times New Roman" w:hAnsi="Times New Roman" w:eastAsia="仿宋_GB2312" w:cs="Times New Roman"/>
                <w:b/>
              </w:rPr>
            </w:pPr>
            <w:r>
              <w:rPr>
                <w:rFonts w:ascii="Times New Roman" w:hAnsi="Times New Roman" w:eastAsia="仿宋_GB2312" w:cs="Times New Roman"/>
                <w:b/>
              </w:rPr>
              <w:t>2.全面深入多渠道的宣传贯彻习近平新时代中国特色社会主义思想和党的十九大精神，能够长期坚持报纸高质量出版，为全区各级各部门宣传特色亮点工作，为领导决策提供</w:t>
            </w:r>
            <w:r>
              <w:rPr>
                <w:rFonts w:hint="eastAsia" w:ascii="Times New Roman" w:hAnsi="Times New Roman" w:eastAsia="仿宋_GB2312" w:cs="Times New Roman"/>
                <w:b/>
                <w:lang w:eastAsia="zh-CN"/>
              </w:rPr>
              <w:t>有力保障</w:t>
            </w:r>
            <w:r>
              <w:rPr>
                <w:rFonts w:ascii="Times New Roman" w:hAnsi="Times New Roman" w:eastAsia="仿宋_GB2312" w:cs="Times New Roman"/>
                <w:b/>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806"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70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1209"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655"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768" w:type="pct"/>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数量指标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报纸印刷期数</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全年报纸印刷期数</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52期</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廊广融字【2021】14号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质量指标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宣传材料发放率</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全区宣传材料发放率</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100%</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时效指标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工作完成及时率</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工作任务完成的及时率</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100%</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成本指标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资金成本</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资金成本</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≤10万元</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廊广融字【2021】14号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81" w:hRule="atLeast"/>
          <w:jc w:val="center"/>
        </w:trPr>
        <w:tc>
          <w:tcPr>
            <w:tcW w:w="855" w:type="pct"/>
            <w:vMerge w:val="continue"/>
            <w:shd w:val="clear" w:color="auto" w:fill="auto"/>
            <w:vAlign w:val="center"/>
          </w:tcP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社会效益指标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宣传广阳相关政策使各单位及民众知晓程度</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宣传广阳相关政策使各单位及民众知晓程度</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提高</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全区知晓程度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524" w:hRule="atLeast"/>
          <w:jc w:val="center"/>
        </w:trPr>
        <w:tc>
          <w:tcPr>
            <w:tcW w:w="855" w:type="pc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806" w:type="pct"/>
            <w:shd w:val="clear" w:color="auto" w:fill="auto"/>
            <w:vAlign w:val="center"/>
          </w:tcPr>
          <w:p>
            <w:pPr>
              <w:pStyle w:val="14"/>
              <w:rPr>
                <w:rFonts w:hint="eastAsia" w:ascii="仿宋" w:hAnsi="仿宋" w:eastAsia="仿宋" w:cs="仿宋"/>
              </w:rPr>
            </w:pPr>
            <w:r>
              <w:rPr>
                <w:rFonts w:hint="eastAsia" w:ascii="仿宋" w:hAnsi="仿宋" w:eastAsia="仿宋" w:cs="仿宋"/>
              </w:rPr>
              <w:t>服务对象满意度指标</w:t>
            </w:r>
          </w:p>
        </w:tc>
        <w:tc>
          <w:tcPr>
            <w:tcW w:w="705" w:type="pct"/>
            <w:shd w:val="clear" w:color="auto" w:fill="auto"/>
            <w:vAlign w:val="center"/>
          </w:tcPr>
          <w:p>
            <w:pPr>
              <w:pStyle w:val="14"/>
              <w:rPr>
                <w:rFonts w:hint="eastAsia" w:ascii="仿宋" w:hAnsi="仿宋" w:eastAsia="仿宋" w:cs="仿宋"/>
              </w:rPr>
            </w:pPr>
            <w:r>
              <w:rPr>
                <w:rFonts w:hint="eastAsia" w:ascii="仿宋" w:hAnsi="仿宋" w:eastAsia="仿宋" w:cs="仿宋"/>
              </w:rPr>
              <w:t>全区阅读时代广阳报纸满意度</w:t>
            </w:r>
          </w:p>
        </w:tc>
        <w:tc>
          <w:tcPr>
            <w:tcW w:w="1209" w:type="pct"/>
            <w:shd w:val="clear" w:color="auto" w:fill="auto"/>
            <w:vAlign w:val="center"/>
          </w:tcPr>
          <w:p>
            <w:pPr>
              <w:pStyle w:val="14"/>
              <w:rPr>
                <w:rFonts w:hint="eastAsia" w:ascii="仿宋" w:hAnsi="仿宋" w:eastAsia="仿宋" w:cs="仿宋"/>
              </w:rPr>
            </w:pPr>
            <w:r>
              <w:rPr>
                <w:rFonts w:hint="eastAsia" w:ascii="仿宋" w:hAnsi="仿宋" w:eastAsia="仿宋" w:cs="仿宋"/>
              </w:rPr>
              <w:t>全区阅读时代广阳报纸满意度</w:t>
            </w:r>
          </w:p>
        </w:tc>
        <w:tc>
          <w:tcPr>
            <w:tcW w:w="655" w:type="pct"/>
            <w:shd w:val="clear" w:color="auto" w:fill="auto"/>
            <w:vAlign w:val="center"/>
          </w:tcPr>
          <w:p>
            <w:pPr>
              <w:pStyle w:val="14"/>
              <w:rPr>
                <w:rFonts w:hint="eastAsia" w:ascii="仿宋" w:hAnsi="仿宋" w:eastAsia="仿宋" w:cs="仿宋"/>
              </w:rPr>
            </w:pPr>
            <w:r>
              <w:rPr>
                <w:rFonts w:hint="eastAsia" w:ascii="仿宋" w:hAnsi="仿宋" w:eastAsia="仿宋" w:cs="仿宋"/>
              </w:rPr>
              <w:t>≥95%</w:t>
            </w:r>
          </w:p>
        </w:tc>
        <w:tc>
          <w:tcPr>
            <w:tcW w:w="768" w:type="pct"/>
            <w:shd w:val="clear" w:color="auto" w:fill="auto"/>
            <w:vAlign w:val="center"/>
          </w:tcPr>
          <w:p>
            <w:pPr>
              <w:pStyle w:val="14"/>
              <w:rPr>
                <w:rFonts w:hint="eastAsia" w:ascii="仿宋" w:hAnsi="仿宋" w:eastAsia="仿宋" w:cs="仿宋"/>
              </w:rPr>
            </w:pPr>
            <w:r>
              <w:rPr>
                <w:rFonts w:hint="eastAsia" w:ascii="仿宋" w:hAnsi="仿宋" w:eastAsia="仿宋" w:cs="仿宋"/>
              </w:rPr>
              <w:t>电话回访</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2.招聘专业技术人员经费绩效目标表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b/>
              </w:rPr>
            </w:pPr>
            <w:r>
              <w:t>主要用于人员工资、保险的支出，保障办公正常运转。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数量指标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保障人数</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保障办公人数</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18人</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质量指标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工资发放的准确性</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工资发放数据的准确性</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100%</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时效指标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工资发放的及时性</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保障工资及时发放</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按要求及时发放</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发放凭证回单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vMerge w:val="continue"/>
            <w:shd w:val="clear" w:color="auto" w:fill="auto"/>
            <w:vAlign w:val="center"/>
          </w:tcP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成本指标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人员工资及保险</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聘用人员工资及保险</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≤155.05万元</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测算结果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社会效益指标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加强工作人员归属感</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通过按时发放工资，增强工作人员归属感，保障工作正常开展。</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保障工作正常开展</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依据办公需要，维持公共正常运转。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58"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服务对象满意度指标</w:t>
            </w:r>
          </w:p>
        </w:tc>
        <w:tc>
          <w:tcPr>
            <w:tcW w:w="198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工作单位对专业技术人员满意度</w:t>
            </w:r>
          </w:p>
        </w:tc>
        <w:tc>
          <w:tcPr>
            <w:tcW w:w="3402"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通过调查干部职工对专业技术人员的满意度</w:t>
            </w:r>
          </w:p>
        </w:tc>
        <w:tc>
          <w:tcPr>
            <w:tcW w:w="1843"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≥95%</w:t>
            </w:r>
          </w:p>
        </w:tc>
        <w:tc>
          <w:tcPr>
            <w:tcW w:w="2155" w:type="dxa"/>
            <w:shd w:val="clear" w:color="auto" w:fill="auto"/>
            <w:vAlign w:val="center"/>
          </w:tcPr>
          <w:p>
            <w:pPr>
              <w:pStyle w:val="14"/>
              <w:rPr>
                <w:rFonts w:hint="eastAsia" w:ascii="仿宋" w:hAnsi="仿宋" w:eastAsia="仿宋" w:cs="仿宋"/>
                <w:kern w:val="0"/>
                <w:sz w:val="21"/>
                <w:szCs w:val="24"/>
                <w:lang w:val="en-US" w:eastAsia="uk-UA" w:bidi="ar-SA"/>
              </w:rPr>
            </w:pPr>
            <w:r>
              <w:rPr>
                <w:rFonts w:hint="eastAsia" w:ascii="仿宋" w:hAnsi="仿宋" w:eastAsia="仿宋" w:cs="仿宋"/>
              </w:rPr>
              <w:t>实地调查</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lang w:val="en-US" w:eastAsia="zh-CN"/>
        </w:rPr>
        <w:t>廊坊市广阳区融媒体中心</w:t>
      </w:r>
      <w:r>
        <w:t xml:space="preserve">                                                                                                     单位：万元</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6"/>
        <w:gridCol w:w="887"/>
        <w:gridCol w:w="1040"/>
        <w:gridCol w:w="1040"/>
        <w:gridCol w:w="649"/>
        <w:gridCol w:w="780"/>
        <w:gridCol w:w="780"/>
        <w:gridCol w:w="884"/>
        <w:gridCol w:w="884"/>
        <w:gridCol w:w="884"/>
        <w:gridCol w:w="884"/>
        <w:gridCol w:w="884"/>
        <w:gridCol w:w="885"/>
        <w:gridCol w:w="885"/>
        <w:gridCol w:w="908"/>
        <w:gridCol w:w="8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68" w:type="pct"/>
            <w:gridSpan w:val="2"/>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政府采购项目来源</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采购物品名称</w:t>
            </w:r>
          </w:p>
        </w:tc>
        <w:tc>
          <w:tcPr>
            <w:tcW w:w="367"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政府采购目录序号</w:t>
            </w:r>
          </w:p>
        </w:tc>
        <w:tc>
          <w:tcPr>
            <w:tcW w:w="229"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计量  单位</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数量</w:t>
            </w:r>
          </w:p>
        </w:tc>
        <w:tc>
          <w:tcPr>
            <w:tcW w:w="275"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单价</w:t>
            </w:r>
          </w:p>
        </w:tc>
        <w:tc>
          <w:tcPr>
            <w:tcW w:w="2504" w:type="pct"/>
            <w:gridSpan w:val="8"/>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政府采购金额（当年部门预算安排资金）</w:t>
            </w:r>
          </w:p>
        </w:tc>
        <w:tc>
          <w:tcPr>
            <w:tcW w:w="312" w:type="pct"/>
            <w:vMerge w:val="restar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5"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项目名称</w:t>
            </w:r>
          </w:p>
        </w:tc>
        <w:tc>
          <w:tcPr>
            <w:tcW w:w="313"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预算    资金</w:t>
            </w:r>
          </w:p>
        </w:tc>
        <w:tc>
          <w:tcPr>
            <w:tcW w:w="367"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367"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29"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275"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合计</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一般公共预算拨款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基金预算拨款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国有资本经营预算拨款</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财政专户核拨</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单位    资金</w:t>
            </w:r>
          </w:p>
        </w:tc>
        <w:tc>
          <w:tcPr>
            <w:tcW w:w="312"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财政拨    款结转</w:t>
            </w:r>
          </w:p>
        </w:tc>
        <w:tc>
          <w:tcPr>
            <w:tcW w:w="318" w:type="pct"/>
            <w:vAlign w:val="center"/>
          </w:tcPr>
          <w:p>
            <w:pPr>
              <w:pStyle w:val="12"/>
              <w:keepNext w:val="0"/>
              <w:keepLines w:val="0"/>
              <w:pageBreakBefore w:val="0"/>
              <w:kinsoku/>
              <w:wordWrap/>
              <w:overflowPunct/>
              <w:topLinePunct w:val="0"/>
              <w:autoSpaceDE/>
              <w:autoSpaceDN/>
              <w:bidi w:val="0"/>
              <w:adjustRightInd/>
              <w:snapToGrid/>
              <w:spacing w:line="500" w:lineRule="exact"/>
              <w:textAlignment w:val="auto"/>
            </w:pPr>
            <w:r>
              <w:t>非财政    拨款结    转结余</w:t>
            </w:r>
          </w:p>
        </w:tc>
        <w:tc>
          <w:tcPr>
            <w:tcW w:w="312" w:type="pct"/>
            <w:vMerge w:val="continue"/>
          </w:tcPr>
          <w:p>
            <w:pPr>
              <w:keepNext w:val="0"/>
              <w:keepLines w:val="0"/>
              <w:pageBreakBefore w:val="0"/>
              <w:kinsoku/>
              <w:wordWrap/>
              <w:overflowPunct/>
              <w:topLinePunct w:val="0"/>
              <w:autoSpaceDE/>
              <w:autoSpaceDN/>
              <w:bidi w:val="0"/>
              <w:adjustRightInd/>
              <w:snapToGrid/>
              <w:spacing w:line="5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r>
              <w:t>合  计</w:t>
            </w:r>
          </w:p>
        </w:tc>
        <w:tc>
          <w:tcPr>
            <w:tcW w:w="313"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5"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313"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367" w:type="pct"/>
            <w:vAlign w:val="center"/>
          </w:tcPr>
          <w:p>
            <w:pPr>
              <w:pStyle w:val="18"/>
              <w:keepNext w:val="0"/>
              <w:keepLines w:val="0"/>
              <w:pageBreakBefore w:val="0"/>
              <w:kinsoku/>
              <w:wordWrap/>
              <w:overflowPunct/>
              <w:topLinePunct w:val="0"/>
              <w:autoSpaceDE/>
              <w:autoSpaceDN/>
              <w:bidi w:val="0"/>
              <w:adjustRightInd/>
              <w:snapToGrid/>
              <w:spacing w:line="500" w:lineRule="exact"/>
              <w:textAlignment w:val="auto"/>
            </w:pPr>
          </w:p>
        </w:tc>
        <w:tc>
          <w:tcPr>
            <w:tcW w:w="229" w:type="pct"/>
            <w:vAlign w:val="center"/>
          </w:tcPr>
          <w:p>
            <w:pPr>
              <w:pStyle w:val="16"/>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275"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8"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c>
          <w:tcPr>
            <w:tcW w:w="312" w:type="pct"/>
            <w:vAlign w:val="center"/>
          </w:tcPr>
          <w:p>
            <w:pPr>
              <w:pStyle w:val="17"/>
              <w:keepNext w:val="0"/>
              <w:keepLines w:val="0"/>
              <w:pageBreakBefore w:val="0"/>
              <w:kinsoku/>
              <w:wordWrap/>
              <w:overflowPunct/>
              <w:topLinePunct w:val="0"/>
              <w:autoSpaceDE/>
              <w:autoSpaceDN/>
              <w:bidi w:val="0"/>
              <w:adjustRightInd/>
              <w:snapToGrid/>
              <w:spacing w:line="500" w:lineRule="exact"/>
              <w:textAlignment w:val="auto"/>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融媒体中心</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58.13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hint="default" w:ascii="Times New Roman" w:hAnsi="Times New Roman" w:eastAsia="仿宋_GB2312" w:cs="Times New Roman"/>
                <w:kern w:val="0"/>
                <w:sz w:val="22"/>
                <w:lang w:val="en-US" w:eastAsia="zh-CN"/>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lang w:val="en-US" w:eastAsia="zh-CN"/>
              </w:rPr>
              <w:t>融媒体中心</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58.13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426.6</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12.7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r>
              <w:rPr>
                <w:rFonts w:ascii="Times New Roman" w:hAnsi="Times New Roman" w:eastAsia="仿宋_GB2312" w:cs="Times New Roman"/>
                <w:sz w:val="22"/>
              </w:rPr>
              <w:t>39.77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944233"/>
    <w:rsid w:val="00B40732"/>
    <w:rsid w:val="00B80935"/>
    <w:rsid w:val="00D347CC"/>
    <w:rsid w:val="00DC72B4"/>
    <w:rsid w:val="0CEC1180"/>
    <w:rsid w:val="12A15C55"/>
    <w:rsid w:val="1C120AAA"/>
    <w:rsid w:val="452D597D"/>
    <w:rsid w:val="4E681CEF"/>
    <w:rsid w:val="57EE15EC"/>
    <w:rsid w:val="62894195"/>
    <w:rsid w:val="73693C55"/>
    <w:rsid w:val="78B963ED"/>
    <w:rsid w:val="7B866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0</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2024-05-15T02:38:52Z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5A41BC9AA2EB491FA6BD14D93D1BA10C</vt:lpwstr>
  </property>
</Properties>
</file>