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bookmarkStart w:id="11" w:name="_GoBack"/>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第四职业中学</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2年部门预算信息公开</w:t>
      </w:r>
      <w:r>
        <w:rPr>
          <w:rFonts w:hint="eastAsia" w:ascii="Times New Roman" w:hAnsi="Times New Roman" w:eastAsia="方正小标宋简体" w:cs="Times New Roman"/>
          <w:sz w:val="44"/>
          <w:szCs w:val="44"/>
        </w:rPr>
        <w:t>情况说明</w:t>
      </w:r>
      <w:bookmarkEnd w:id="11"/>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仿宋_GB2312" w:hAnsi="Times New Roman" w:eastAsia="仿宋_GB2312" w:cs="Times New Roman"/>
          <w:sz w:val="32"/>
          <w:szCs w:val="32"/>
        </w:rPr>
        <w:t>第四职业中学</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84" w:lineRule="exact"/>
        <w:ind w:firstLine="640" w:firstLineChars="200"/>
        <w:rPr>
          <w:rFonts w:ascii="Times New Roman" w:hAnsi="Times New Roman" w:eastAsia="楷体_GB2312" w:cs="Times New Roman"/>
          <w:b/>
          <w:sz w:val="32"/>
          <w:szCs w:val="32"/>
        </w:rPr>
      </w:pPr>
      <w:r>
        <w:rPr>
          <w:rFonts w:hint="eastAsia" w:ascii="仿宋_GB2312" w:hAnsi="Times New Roman" w:eastAsia="仿宋_GB2312" w:cs="Times New Roman"/>
          <w:bCs/>
          <w:sz w:val="32"/>
          <w:szCs w:val="32"/>
        </w:rPr>
        <w:t>廊坊市第四职业中学于1956年建校，为</w:t>
      </w:r>
      <w:r>
        <w:rPr>
          <w:rFonts w:hint="eastAsia" w:ascii="仿宋_GB2312" w:hAnsi="Times New Roman" w:eastAsia="仿宋_GB2312" w:cs="Times New Roman"/>
          <w:bCs/>
          <w:sz w:val="32"/>
          <w:szCs w:val="32"/>
          <w:lang w:eastAsia="zh-CN"/>
        </w:rPr>
        <w:t>教育部</w:t>
      </w:r>
      <w:r>
        <w:rPr>
          <w:rFonts w:hint="eastAsia" w:ascii="仿宋_GB2312" w:hAnsi="Times New Roman" w:eastAsia="仿宋_GB2312" w:cs="Times New Roman"/>
          <w:bCs/>
          <w:sz w:val="32"/>
          <w:szCs w:val="32"/>
        </w:rPr>
        <w:t>允许建立的一所职业高中学校。现有在编在岗教师19人，在校学生1889人。为加快发展中等职业教育，促进教育公平和劳动者素质提高，国家完善政策，对我校学生进行职业高中学历及学生综合素质的培养，促进中职教育发展。</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hint="eastAsia" w:ascii="仿宋_GB2312" w:hAnsi="Times New Roman" w:eastAsia="仿宋_GB2312" w:cs="Times New Roman"/>
                <w:bCs/>
              </w:rPr>
            </w:pPr>
            <w:r>
              <w:rPr>
                <w:rFonts w:hint="eastAsia" w:ascii="仿宋_GB2312" w:hAnsi="Times New Roman" w:eastAsia="仿宋_GB2312" w:cs="Times New Roman"/>
                <w:bCs/>
              </w:rPr>
              <w:t>廊坊市第四职业中学</w:t>
            </w:r>
          </w:p>
        </w:tc>
        <w:tc>
          <w:tcPr>
            <w:tcW w:w="1134" w:type="dxa"/>
            <w:shd w:val="clear" w:color="auto" w:fill="auto"/>
            <w:vAlign w:val="center"/>
          </w:tcPr>
          <w:p>
            <w:pPr>
              <w:spacing w:line="584" w:lineRule="exact"/>
              <w:jc w:val="center"/>
              <w:rPr>
                <w:rFonts w:hint="eastAsia" w:ascii="仿宋_GB2312" w:hAnsi="Times New Roman" w:eastAsia="仿宋_GB2312" w:cs="Times New Roman"/>
                <w:bCs/>
              </w:rPr>
            </w:pPr>
            <w:r>
              <w:rPr>
                <w:rFonts w:hint="eastAsia" w:ascii="仿宋_GB2312" w:hAnsi="Times New Roman" w:eastAsia="仿宋_GB2312" w:cs="Times New Roman"/>
                <w:bCs/>
              </w:rPr>
              <w:t>全额事业</w:t>
            </w:r>
          </w:p>
        </w:tc>
        <w:tc>
          <w:tcPr>
            <w:tcW w:w="1276" w:type="dxa"/>
            <w:shd w:val="clear" w:color="auto" w:fill="auto"/>
            <w:vAlign w:val="center"/>
          </w:tcPr>
          <w:p>
            <w:pPr>
              <w:spacing w:line="584" w:lineRule="exact"/>
              <w:jc w:val="center"/>
              <w:rPr>
                <w:rFonts w:hint="eastAsia" w:ascii="仿宋_GB2312" w:hAnsi="Times New Roman" w:eastAsia="仿宋_GB2312" w:cs="Times New Roman"/>
                <w:bCs/>
              </w:rPr>
            </w:pPr>
            <w:r>
              <w:rPr>
                <w:rFonts w:hint="eastAsia" w:ascii="仿宋_GB2312" w:hAnsi="Times New Roman" w:eastAsia="仿宋_GB2312" w:cs="Times New Roman"/>
                <w:bCs/>
              </w:rPr>
              <w:t>副科级</w:t>
            </w:r>
          </w:p>
        </w:tc>
        <w:tc>
          <w:tcPr>
            <w:tcW w:w="2902" w:type="dxa"/>
            <w:shd w:val="clear" w:color="auto" w:fill="auto"/>
            <w:vAlign w:val="center"/>
          </w:tcPr>
          <w:p>
            <w:pPr>
              <w:spacing w:line="584" w:lineRule="exact"/>
              <w:jc w:val="center"/>
              <w:rPr>
                <w:rFonts w:hint="eastAsia" w:ascii="仿宋_GB2312" w:hAnsi="黑体" w:eastAsia="仿宋_GB2312" w:cs="Times New Roman"/>
                <w:bCs/>
                <w:szCs w:val="21"/>
              </w:rPr>
            </w:pPr>
            <w:r>
              <w:rPr>
                <w:rFonts w:hint="eastAsia" w:ascii="仿宋_GB2312" w:hAnsi="黑体" w:eastAsia="仿宋_GB2312" w:cs="Times New Roman"/>
                <w:bCs/>
                <w:szCs w:val="21"/>
              </w:rPr>
              <w:t>财政性资金基本保证</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第四职业中学</w:t>
      </w:r>
      <w:r>
        <w:rPr>
          <w:rFonts w:ascii="Times New Roman" w:hAnsi="Times New Roman" w:eastAsia="仿宋_GB2312" w:cs="Times New Roman"/>
          <w:sz w:val="32"/>
          <w:szCs w:val="32"/>
        </w:rPr>
        <w:t>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rPr>
        <w:t>1007.92</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1007.92</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第四职业中学2022</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rPr>
        <w:t>1007.92</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392.56</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387.32</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5.24</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615.36</w:t>
      </w:r>
      <w:r>
        <w:rPr>
          <w:rFonts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rPr>
        <w:t>1007.92</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1年预算增加</w:t>
      </w:r>
      <w:r>
        <w:rPr>
          <w:rFonts w:hint="eastAsia" w:ascii="Times New Roman" w:hAnsi="Times New Roman" w:eastAsia="仿宋_GB2312" w:cs="Times New Roman"/>
          <w:sz w:val="32"/>
          <w:szCs w:val="32"/>
        </w:rPr>
        <w:t>231.60</w:t>
      </w:r>
      <w:r>
        <w:rPr>
          <w:rFonts w:ascii="Times New Roman" w:hAnsi="Times New Roman" w:eastAsia="仿宋_GB2312" w:cs="Times New Roman"/>
          <w:sz w:val="32"/>
          <w:szCs w:val="32"/>
        </w:rPr>
        <w:t>万元，其中：基本支出减少</w:t>
      </w:r>
      <w:r>
        <w:rPr>
          <w:rFonts w:hint="eastAsia" w:ascii="Times New Roman" w:hAnsi="Times New Roman" w:eastAsia="仿宋_GB2312" w:cs="Times New Roman"/>
          <w:sz w:val="32"/>
          <w:szCs w:val="32"/>
        </w:rPr>
        <w:t>61.5</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人员和公用</w:t>
      </w:r>
      <w:r>
        <w:rPr>
          <w:rFonts w:ascii="Times New Roman" w:hAnsi="Times New Roman" w:eastAsia="仿宋_GB2312" w:cs="Times New Roman"/>
          <w:sz w:val="32"/>
          <w:szCs w:val="32"/>
        </w:rPr>
        <w:t>支出；项目支出增加</w:t>
      </w:r>
      <w:r>
        <w:rPr>
          <w:rFonts w:hint="eastAsia" w:ascii="Times New Roman" w:hAnsi="Times New Roman" w:eastAsia="仿宋_GB2312" w:cs="Times New Roman"/>
          <w:sz w:val="32"/>
          <w:szCs w:val="32"/>
        </w:rPr>
        <w:t>293.1</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中职教育生均经费</w:t>
      </w:r>
      <w:r>
        <w:rPr>
          <w:rFonts w:ascii="Times New Roman" w:hAnsi="Times New Roman" w:eastAsia="仿宋_GB2312" w:cs="Times New Roman"/>
          <w:sz w:val="32"/>
          <w:szCs w:val="32"/>
        </w:rPr>
        <w:t>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autoSpaceDE w:val="0"/>
        <w:autoSpaceDN w:val="0"/>
        <w:adjustRightInd w:val="0"/>
        <w:spacing w:line="584" w:lineRule="exact"/>
        <w:ind w:firstLine="627" w:firstLineChars="196"/>
        <w:jc w:val="left"/>
        <w:rPr>
          <w:rFonts w:ascii="黑体" w:hAnsi="黑体" w:eastAsia="黑体" w:cs="Times New Roman"/>
          <w:bCs/>
          <w:sz w:val="32"/>
          <w:szCs w:val="32"/>
        </w:rPr>
      </w:pPr>
      <w:r>
        <w:rPr>
          <w:rFonts w:ascii="黑体" w:hAnsi="黑体" w:eastAsia="黑体" w:cs="Times New Roman"/>
          <w:bCs/>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校</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1年相比持平，无增减变化。</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keepNext w:val="0"/>
        <w:keepLines w:val="0"/>
        <w:pageBreakBefore w:val="0"/>
        <w:widowControl w:val="0"/>
        <w:kinsoku/>
        <w:wordWrap/>
        <w:overflowPunct/>
        <w:topLinePunct w:val="0"/>
        <w:autoSpaceDE/>
        <w:autoSpaceDN/>
        <w:bidi w:val="0"/>
        <w:adjustRightInd/>
        <w:snapToGrid/>
        <w:spacing w:line="584" w:lineRule="exact"/>
        <w:ind w:firstLine="643" w:firstLineChars="200"/>
        <w:textAlignment w:val="auto"/>
        <w:rPr>
          <w:rFonts w:hint="eastAsia" w:ascii="楷体_GB2312" w:eastAsia="楷体_GB2312" w:cs="Times New Roman"/>
          <w:b/>
          <w:sz w:val="32"/>
          <w:szCs w:val="32"/>
        </w:rPr>
      </w:pPr>
      <w:r>
        <w:rPr>
          <w:rFonts w:hint="eastAsia" w:ascii="楷体_GB2312" w:eastAsia="楷体_GB2312" w:cs="Times New Roman"/>
          <w:b/>
          <w:sz w:val="32"/>
          <w:szCs w:val="32"/>
        </w:rPr>
        <w:t>（一）总体绩效目标</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推进职业教育均衡发展，建立学校校舍安全保障机制，改善学校办学条件，提高素质教育水平，开展丰富多彩的教学活动。促进公共教育资源向农村和经济欠发达地区倾斜。</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提高职业教育公用经费保障水平，改善办学条件，均衡配置教育资源，缩小城乡、区域、校际之间办学差距，推进标准化学校建设，实施数字化校园建设，加强学校文化建设，落实学生资助政策。</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、发展中等职业教育  </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免除中等职业学生学杂费，提高公用经费保障水平。</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对贫困家庭的学生进行助学金补助，对品学兼优的学生进行奖学金奖励。</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改善学校办学条件。</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保障学校公用经费水平逐年提高，解决入学难问题。</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保障学生入学率。</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、改善学校办学条件</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保障学校基本教学条件，改善学校生活设施，保障后勤社会化服务。</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开展学生社会实践活动，建立学生实践教育基地，推进学校教育信息化。</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使职业教育学校教学设施和生活设施满足基本教学需要，保障后勤社会化服务资金充足，使学校能够正常运转，教师数量、素质、结构基本适应教学需要。</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、提升教育教学保障水平</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保证教学设备设施配备齐全，保障学生校园安全，支持贫困学生和爱心家园学生完成学业。</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改善办学条件，配置职业教育资源</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、开展教师教研及学生德育活动</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开展各类课题研究、校本研究，加强教师培训和教学交流，加强德育培训与研究，举办各类教育教学活动。</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提高教师教学水平，调动教师积极性，培养专家型教师人才，提高学生的综合素质。</w:t>
      </w:r>
    </w:p>
    <w:p>
      <w:pPr>
        <w:keepNext w:val="0"/>
        <w:keepLines w:val="0"/>
        <w:pageBreakBefore w:val="0"/>
        <w:widowControl w:val="0"/>
        <w:kinsoku/>
        <w:wordWrap/>
        <w:overflowPunct/>
        <w:topLinePunct w:val="0"/>
        <w:autoSpaceDE/>
        <w:autoSpaceDN/>
        <w:bidi w:val="0"/>
        <w:adjustRightInd/>
        <w:snapToGrid/>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（二）分项绩效目标</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绩效目标：</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对2022年符合享受免学费的标准的学生免除学费，对因免除学费导致学校收入减少部分，申请财政预算资金，该资金用于保证学校正常运转，教学正常开展，促进中职教育发展。</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绩效指标：按照产出指标、效益指标、满意度指标执行标准执行。</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绩效目标：</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对2022年符合领取助学金标准的学生及时足额发放助学金，用以帮助家庭经济困难学生，促进中职教育发展，满足经济社会对高素质劳动者和技能型人才的需要。</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绩效指标：按照产出指标、效益指标、满意度指标执行标准执行。</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绩效目标：</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对2022年在校学生2000人，按照高职院校生均公用经费标准申请财政预算资金，通过合理、合规使用资金达到保证学校正常运转，改善高职院校基本办学条件，促进中职教育发展。</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绩效指标：按照产出指标、效益指标、满意度指标执行标准执行。</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绩效目标：</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保障中职学校运转，改善高职院校基本办学条件，加快发展中等职业教育，促进教育公平和劳动者素质提高。</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绩效指标：按照产出指标、效益指标、满意度指标执行标准执行。</w:t>
      </w:r>
    </w:p>
    <w:p>
      <w:pPr>
        <w:keepNext w:val="0"/>
        <w:keepLines w:val="0"/>
        <w:pageBreakBefore w:val="0"/>
        <w:widowControl w:val="0"/>
        <w:kinsoku/>
        <w:wordWrap/>
        <w:overflowPunct/>
        <w:topLinePunct w:val="0"/>
        <w:autoSpaceDE/>
        <w:autoSpaceDN/>
        <w:bidi w:val="0"/>
        <w:adjustRightInd/>
        <w:snapToGrid/>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（三）工作保障措施</w:t>
      </w:r>
    </w:p>
    <w:p>
      <w:pPr>
        <w:pStyle w:val="22"/>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根据《廊坊市广阳区教育和体育局职能配置、内设机构和人员编制规定》， 廊坊市第四职业中学主要工作保障措施如下：</w:t>
      </w:r>
    </w:p>
    <w:p>
      <w:pPr>
        <w:pStyle w:val="22"/>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、贯彻执行党和国家的教育方针、政策、法律法规，制</w:t>
      </w:r>
      <w:r>
        <w:rPr>
          <w:rFonts w:hint="eastAsia" w:ascii="仿宋_GB2312" w:hAnsi="仿宋_GB2312" w:eastAsia="仿宋_GB2312" w:cs="仿宋_GB2312"/>
          <w:sz w:val="32"/>
          <w:szCs w:val="32"/>
          <w:lang w:eastAsia="zh-CN"/>
        </w:rPr>
        <w:t>订</w:t>
      </w:r>
      <w:r>
        <w:rPr>
          <w:rFonts w:hint="eastAsia" w:ascii="仿宋_GB2312" w:hAnsi="仿宋_GB2312" w:eastAsia="仿宋_GB2312" w:cs="仿宋_GB2312"/>
          <w:sz w:val="32"/>
          <w:szCs w:val="32"/>
        </w:rPr>
        <w:t>我校的长远规划和年度计划，并组织实施。</w:t>
      </w:r>
    </w:p>
    <w:p>
      <w:pPr>
        <w:pStyle w:val="22"/>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、负责教育基本信息的统计、分析。</w:t>
      </w:r>
    </w:p>
    <w:p>
      <w:pPr>
        <w:pStyle w:val="22"/>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、负责中职教育的管理。推进职业教育均衡发展和促进教育公平，全面实施素质教育。</w:t>
      </w:r>
    </w:p>
    <w:p>
      <w:pPr>
        <w:pStyle w:val="22"/>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、负责学校教师队伍的建设和管理，推进教育系统人事制度改革。</w:t>
      </w:r>
    </w:p>
    <w:p>
      <w:pPr>
        <w:pStyle w:val="22"/>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负责本部门教育经费的统筹管理，教育经费预决算工作，教育经费的管理和使用；负责统筹规划和管理学校基本建设和设施的配置及计划统计工作。</w:t>
      </w:r>
    </w:p>
    <w:p>
      <w:pPr>
        <w:pStyle w:val="22"/>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、管理学校的党建、思想政治、宣传统战和维护稳定以及德育、体育、卫生防疫与艺术教育、国防教育工作；负责学校的安全监督管理。</w:t>
      </w:r>
    </w:p>
    <w:p>
      <w:pPr>
        <w:pStyle w:val="22"/>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、负责做好学校的招生、考试工作；负责管理本校教师学历教育及考试工作。</w:t>
      </w:r>
    </w:p>
    <w:p>
      <w:pPr>
        <w:pStyle w:val="22"/>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、负责组织开展学校教育的督导评估、检查验收、质量监测等工作。</w:t>
      </w:r>
    </w:p>
    <w:p>
      <w:pPr>
        <w:pStyle w:val="22"/>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、负责学校党的政治建设、思想建设、组织建设、作风建设、纪律建设和制度建设。</w:t>
      </w:r>
    </w:p>
    <w:p>
      <w:pPr>
        <w:pStyle w:val="22"/>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、负责学校学生和教师的思想政治工作，学校思想政治队伍建设和德育课程教育教学。</w:t>
      </w:r>
    </w:p>
    <w:p>
      <w:pPr>
        <w:pStyle w:val="22"/>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、负责学校安全稳定工作。</w:t>
      </w:r>
    </w:p>
    <w:p>
      <w:pPr>
        <w:pStyle w:val="22"/>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、做好本校体育事业发展规划、全民健身计划，开展群众性体育活动。</w:t>
      </w:r>
    </w:p>
    <w:p>
      <w:pPr>
        <w:pStyle w:val="22"/>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、做好上级部门交办的其他事项。</w:t>
      </w: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745"/>
        <w:gridCol w:w="1166"/>
        <w:gridCol w:w="1878"/>
        <w:gridCol w:w="2644"/>
        <w:gridCol w:w="2436"/>
        <w:gridCol w:w="658"/>
        <w:gridCol w:w="835"/>
        <w:gridCol w:w="639"/>
        <w:gridCol w:w="2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271"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424"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683"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961"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886"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775" w:type="pct"/>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997"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271" w:type="pct"/>
            <w:vMerge w:val="continue"/>
            <w:tcBorders>
              <w:tl2br w:val="nil"/>
              <w:tr2bl w:val="nil"/>
            </w:tcBorders>
            <w:vAlign w:val="center"/>
          </w:tcPr>
          <w:p/>
        </w:tc>
        <w:tc>
          <w:tcPr>
            <w:tcW w:w="424" w:type="pct"/>
            <w:vMerge w:val="continue"/>
            <w:tcBorders>
              <w:tl2br w:val="nil"/>
              <w:tr2bl w:val="nil"/>
            </w:tcBorders>
            <w:vAlign w:val="center"/>
          </w:tcPr>
          <w:p/>
        </w:tc>
        <w:tc>
          <w:tcPr>
            <w:tcW w:w="683" w:type="pct"/>
            <w:vMerge w:val="continue"/>
            <w:tcBorders>
              <w:tl2br w:val="nil"/>
              <w:tr2bl w:val="nil"/>
            </w:tcBorders>
            <w:vAlign w:val="center"/>
          </w:tcPr>
          <w:p/>
        </w:tc>
        <w:tc>
          <w:tcPr>
            <w:tcW w:w="961" w:type="pct"/>
            <w:vMerge w:val="continue"/>
            <w:tcBorders>
              <w:tl2br w:val="nil"/>
              <w:tr2bl w:val="nil"/>
            </w:tcBorders>
            <w:vAlign w:val="center"/>
          </w:tcPr>
          <w:p/>
        </w:tc>
        <w:tc>
          <w:tcPr>
            <w:tcW w:w="886" w:type="pct"/>
            <w:vMerge w:val="continue"/>
            <w:tcBorders>
              <w:tl2br w:val="nil"/>
              <w:tr2bl w:val="nil"/>
            </w:tcBorders>
            <w:vAlign w:val="center"/>
          </w:tcPr>
          <w:p/>
        </w:tc>
        <w:tc>
          <w:tcPr>
            <w:tcW w:w="239" w:type="pc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304" w:type="pc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232" w:type="pc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997" w:type="pct"/>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271" w:type="pct"/>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部门产出</w:t>
            </w:r>
          </w:p>
        </w:tc>
        <w:tc>
          <w:tcPr>
            <w:tcW w:w="424" w:type="pc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683"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按文件要求需完成的数量指标</w:t>
            </w:r>
          </w:p>
        </w:tc>
        <w:tc>
          <w:tcPr>
            <w:tcW w:w="961"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20分，每减少10人扣1分，扣完为止。</w:t>
            </w:r>
          </w:p>
        </w:tc>
        <w:tc>
          <w:tcPr>
            <w:tcW w:w="886"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按文件要求需完成的数量指标</w:t>
            </w:r>
          </w:p>
        </w:tc>
        <w:tc>
          <w:tcPr>
            <w:tcW w:w="239"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文字描述</w:t>
            </w:r>
          </w:p>
        </w:tc>
        <w:tc>
          <w:tcPr>
            <w:tcW w:w="304"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p>
        </w:tc>
        <w:tc>
          <w:tcPr>
            <w:tcW w:w="232" w:type="pct"/>
            <w:tcBorders>
              <w:tl2br w:val="nil"/>
              <w:tr2bl w:val="nil"/>
            </w:tcBorders>
            <w:vAlign w:val="center"/>
          </w:tcPr>
          <w:p>
            <w:pPr>
              <w:widowControl/>
              <w:adjustRightInd w:val="0"/>
              <w:snapToGrid w:val="0"/>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文件要求</w:t>
            </w:r>
          </w:p>
        </w:tc>
        <w:tc>
          <w:tcPr>
            <w:tcW w:w="997"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廊坊市财政局 廊坊市教育局关于提前下达2022年中央学生资助经费预算的通知（廊财教[2021]44号）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271" w:type="pct"/>
            <w:vMerge w:val="continue"/>
            <w:tcBorders>
              <w:tl2br w:val="nil"/>
              <w:tr2bl w:val="nil"/>
            </w:tcBorders>
            <w:vAlign w:val="center"/>
          </w:tcPr>
          <w:p/>
        </w:tc>
        <w:tc>
          <w:tcPr>
            <w:tcW w:w="424" w:type="pc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683"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认定的准确率</w:t>
            </w:r>
          </w:p>
        </w:tc>
        <w:tc>
          <w:tcPr>
            <w:tcW w:w="961"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20分符合文件标准得满分，否则不得分。</w:t>
            </w:r>
          </w:p>
        </w:tc>
        <w:tc>
          <w:tcPr>
            <w:tcW w:w="886"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对于符合文件规定的标准要求的准确率</w:t>
            </w:r>
          </w:p>
        </w:tc>
        <w:tc>
          <w:tcPr>
            <w:tcW w:w="239" w:type="pct"/>
            <w:tcBorders>
              <w:tl2br w:val="nil"/>
              <w:tr2bl w:val="nil"/>
            </w:tcBorders>
            <w:vAlign w:val="center"/>
          </w:tcPr>
          <w:p>
            <w:pPr>
              <w:widowControl/>
              <w:adjustRightInd w:val="0"/>
              <w:snapToGrid w:val="0"/>
              <w:jc w:val="center"/>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w:t>
            </w:r>
          </w:p>
        </w:tc>
        <w:tc>
          <w:tcPr>
            <w:tcW w:w="304" w:type="pct"/>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100</w:t>
            </w:r>
          </w:p>
        </w:tc>
        <w:tc>
          <w:tcPr>
            <w:tcW w:w="232" w:type="pct"/>
            <w:tcBorders>
              <w:tl2br w:val="nil"/>
              <w:tr2bl w:val="nil"/>
            </w:tcBorders>
            <w:vAlign w:val="center"/>
          </w:tcPr>
          <w:p>
            <w:pPr>
              <w:widowControl/>
              <w:adjustRightInd w:val="0"/>
              <w:snapToGrid w:val="0"/>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w:t>
            </w:r>
          </w:p>
        </w:tc>
        <w:tc>
          <w:tcPr>
            <w:tcW w:w="997" w:type="pct"/>
            <w:tcBorders>
              <w:tl2br w:val="nil"/>
              <w:tr2bl w:val="nil"/>
            </w:tcBorders>
            <w:vAlign w:val="center"/>
          </w:tcPr>
          <w:p>
            <w:pPr>
              <w:widowControl/>
              <w:adjustRightInd w:val="0"/>
              <w:snapToGrid w:val="0"/>
              <w:rPr>
                <w:rFonts w:hint="eastAsia" w:ascii="仿宋_GB2312" w:hAnsi="仿宋_GB2312" w:eastAsia="仿宋_GB2312" w:cs="仿宋_GB2312"/>
                <w:b w:val="0"/>
                <w:bCs w:val="0"/>
              </w:rPr>
            </w:pPr>
            <w:r>
              <w:rPr>
                <w:rFonts w:hint="eastAsia" w:ascii="仿宋_GB2312" w:hAnsi="仿宋_GB2312" w:eastAsia="仿宋_GB2312" w:cs="仿宋_GB2312"/>
                <w:b w:val="0"/>
                <w:bCs w:val="0"/>
              </w:rPr>
              <w:t>廊坊市财政局 廊坊市教育局关于提前下达2022年中央学生资助经费预算的通知（廊财教[2021]44号）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271" w:type="pct"/>
            <w:vMerge w:val="continue"/>
            <w:tcBorders>
              <w:tl2br w:val="nil"/>
              <w:tr2bl w:val="nil"/>
            </w:tcBorders>
            <w:vAlign w:val="center"/>
          </w:tcPr>
          <w:p/>
        </w:tc>
        <w:tc>
          <w:tcPr>
            <w:tcW w:w="424" w:type="pc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683"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完成的及时率</w:t>
            </w:r>
          </w:p>
        </w:tc>
        <w:tc>
          <w:tcPr>
            <w:tcW w:w="961"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10分及时完成得满分，否则不得分。</w:t>
            </w:r>
          </w:p>
        </w:tc>
        <w:tc>
          <w:tcPr>
            <w:tcW w:w="886"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对于符合文件在对应的学期及时减免的及时率</w:t>
            </w:r>
          </w:p>
        </w:tc>
        <w:tc>
          <w:tcPr>
            <w:tcW w:w="239"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文字描述</w:t>
            </w:r>
          </w:p>
        </w:tc>
        <w:tc>
          <w:tcPr>
            <w:tcW w:w="304"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p>
        </w:tc>
        <w:tc>
          <w:tcPr>
            <w:tcW w:w="232"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及时</w:t>
            </w:r>
          </w:p>
        </w:tc>
        <w:tc>
          <w:tcPr>
            <w:tcW w:w="997"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271" w:type="pct"/>
            <w:vMerge w:val="continue"/>
            <w:tcBorders>
              <w:tl2br w:val="nil"/>
              <w:tr2bl w:val="nil"/>
            </w:tcBorders>
            <w:vAlign w:val="center"/>
          </w:tcPr>
          <w:p/>
        </w:tc>
        <w:tc>
          <w:tcPr>
            <w:tcW w:w="424" w:type="pc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成本</w:t>
            </w:r>
          </w:p>
        </w:tc>
        <w:tc>
          <w:tcPr>
            <w:tcW w:w="683"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预算资金申请的每名学生免除的学费总额区级财政承担金额</w:t>
            </w:r>
          </w:p>
        </w:tc>
        <w:tc>
          <w:tcPr>
            <w:tcW w:w="961"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10分符合文件标准得满分，否则不得分。</w:t>
            </w:r>
          </w:p>
        </w:tc>
        <w:tc>
          <w:tcPr>
            <w:tcW w:w="886"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预算资金申请的每名学生免除的总额区级财政承担金额等于400元/生</w:t>
            </w:r>
          </w:p>
        </w:tc>
        <w:tc>
          <w:tcPr>
            <w:tcW w:w="239" w:type="pct"/>
            <w:tcBorders>
              <w:tl2br w:val="nil"/>
              <w:tr2bl w:val="nil"/>
            </w:tcBorders>
            <w:vAlign w:val="center"/>
          </w:tcPr>
          <w:p>
            <w:pPr>
              <w:widowControl/>
              <w:adjustRightInd w:val="0"/>
              <w:snapToGrid w:val="0"/>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文字描述</w:t>
            </w:r>
          </w:p>
        </w:tc>
        <w:tc>
          <w:tcPr>
            <w:tcW w:w="304" w:type="pct"/>
            <w:tcBorders>
              <w:tl2br w:val="nil"/>
              <w:tr2bl w:val="nil"/>
            </w:tcBorders>
            <w:vAlign w:val="center"/>
          </w:tcPr>
          <w:p>
            <w:pPr>
              <w:widowControl/>
              <w:adjustRightInd w:val="0"/>
              <w:snapToGrid w:val="0"/>
              <w:jc w:val="both"/>
              <w:rPr>
                <w:rFonts w:hint="eastAsia" w:ascii="仿宋_GB2312" w:hAnsi="仿宋_GB2312" w:eastAsia="仿宋_GB2312" w:cs="仿宋_GB2312"/>
              </w:rPr>
            </w:pPr>
          </w:p>
        </w:tc>
        <w:tc>
          <w:tcPr>
            <w:tcW w:w="232" w:type="pct"/>
            <w:tcBorders>
              <w:tl2br w:val="nil"/>
              <w:tr2bl w:val="nil"/>
            </w:tcBorders>
            <w:vAlign w:val="center"/>
          </w:tcPr>
          <w:p>
            <w:pPr>
              <w:widowControl/>
              <w:adjustRightInd w:val="0"/>
              <w:snapToGrid w:val="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文件要求</w:t>
            </w:r>
          </w:p>
        </w:tc>
        <w:tc>
          <w:tcPr>
            <w:tcW w:w="997"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廊坊市财政局 廊坊市教育局关于提前下达2022年中央学生资助经费预算的通知（廊财教[2021]44号）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271" w:type="pct"/>
            <w:vMerge w:val="restart"/>
            <w:tcBorders>
              <w:tl2br w:val="nil"/>
              <w:tr2bl w:val="nil"/>
            </w:tcBorders>
            <w:vAlign w:val="center"/>
          </w:tcPr>
          <w:p>
            <w:pPr>
              <w:adjustRightInd w:val="0"/>
              <w:snapToGrid w:val="0"/>
              <w:jc w:val="center"/>
              <w:rPr>
                <w:rFonts w:ascii="方正书宋_GBK" w:eastAsia="方正书宋_GBK"/>
              </w:rPr>
            </w:pPr>
            <w:r>
              <w:rPr>
                <w:rFonts w:ascii="方正书宋_GBK" w:eastAsia="方正书宋_GBK"/>
              </w:rPr>
              <w:t>部门</w:t>
            </w:r>
            <w:r>
              <w:rPr>
                <w:rFonts w:hint="eastAsia" w:ascii="方正书宋_GBK" w:eastAsia="方正书宋_GBK"/>
              </w:rPr>
              <w:t>效果</w:t>
            </w:r>
          </w:p>
        </w:tc>
        <w:tc>
          <w:tcPr>
            <w:tcW w:w="424" w:type="pc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683"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入学率和巩固率</w:t>
            </w:r>
          </w:p>
        </w:tc>
        <w:tc>
          <w:tcPr>
            <w:tcW w:w="961"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20分大于等于90%得满分，否则不得分。</w:t>
            </w:r>
          </w:p>
        </w:tc>
        <w:tc>
          <w:tcPr>
            <w:tcW w:w="886"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提高中职学校的入学率和巩固率</w:t>
            </w:r>
          </w:p>
        </w:tc>
        <w:tc>
          <w:tcPr>
            <w:tcW w:w="239" w:type="pct"/>
            <w:tcBorders>
              <w:tl2br w:val="nil"/>
              <w:tr2bl w:val="nil"/>
            </w:tcBorders>
            <w:vAlign w:val="center"/>
          </w:tcPr>
          <w:p>
            <w:pPr>
              <w:widowControl/>
              <w:adjustRightInd w:val="0"/>
              <w:snapToGrid w:val="0"/>
              <w:jc w:val="both"/>
              <w:rPr>
                <w:rFonts w:hint="eastAsia" w:ascii="仿宋_GB2312" w:hAnsi="仿宋_GB2312" w:eastAsia="仿宋_GB2312" w:cs="仿宋_GB2312"/>
              </w:rPr>
            </w:pPr>
            <w:r>
              <w:rPr>
                <w:rFonts w:hint="eastAsia" w:ascii="仿宋_GB2312" w:hAnsi="仿宋_GB2312" w:eastAsia="仿宋_GB2312" w:cs="仿宋_GB2312"/>
              </w:rPr>
              <w:t>≧</w:t>
            </w:r>
          </w:p>
        </w:tc>
        <w:tc>
          <w:tcPr>
            <w:tcW w:w="304" w:type="pct"/>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90</w:t>
            </w:r>
          </w:p>
        </w:tc>
        <w:tc>
          <w:tcPr>
            <w:tcW w:w="232"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997"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冀财教【2012】224号文件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271" w:type="pct"/>
            <w:vMerge w:val="continue"/>
            <w:tcBorders>
              <w:tl2br w:val="nil"/>
              <w:tr2bl w:val="nil"/>
            </w:tcBorders>
            <w:vAlign w:val="center"/>
          </w:tcPr>
          <w:p/>
        </w:tc>
        <w:tc>
          <w:tcPr>
            <w:tcW w:w="424" w:type="pct"/>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683" w:type="pct"/>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在校学生的满意程度</w:t>
            </w:r>
          </w:p>
        </w:tc>
        <w:tc>
          <w:tcPr>
            <w:tcW w:w="961" w:type="pct"/>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20分大于等于90%得满分，否则不得分。</w:t>
            </w:r>
          </w:p>
        </w:tc>
        <w:tc>
          <w:tcPr>
            <w:tcW w:w="886" w:type="pct"/>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在校学生的满意程度</w:t>
            </w:r>
          </w:p>
        </w:tc>
        <w:tc>
          <w:tcPr>
            <w:tcW w:w="239"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w:t>
            </w:r>
          </w:p>
        </w:tc>
        <w:tc>
          <w:tcPr>
            <w:tcW w:w="304"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90</w:t>
            </w:r>
          </w:p>
        </w:tc>
        <w:tc>
          <w:tcPr>
            <w:tcW w:w="232"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w:t>
            </w:r>
          </w:p>
        </w:tc>
        <w:tc>
          <w:tcPr>
            <w:tcW w:w="997"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调查问卷</w:t>
            </w:r>
          </w:p>
        </w:tc>
      </w:tr>
    </w:tbl>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spacing w:before="0" w:after="0"/>
        <w:ind w:firstLine="560"/>
        <w:jc w:val="left"/>
        <w:outlineLvl w:val="3"/>
        <w:rPr>
          <w:rFonts w:hint="eastAsia" w:ascii="仿宋_GB2312" w:hAnsi="仿宋_GB2312" w:eastAsia="仿宋_GB2312" w:cs="仿宋_GB2312"/>
        </w:rPr>
      </w:pPr>
      <w:bookmarkStart w:id="0" w:name="_Toc_4_4_0000000004"/>
      <w:r>
        <w:rPr>
          <w:rFonts w:hint="eastAsia" w:ascii="仿宋_GB2312" w:hAnsi="仿宋_GB2312" w:eastAsia="仿宋_GB2312" w:cs="仿宋_GB2312"/>
          <w:color w:val="000000"/>
          <w:sz w:val="28"/>
        </w:rPr>
        <w:t>1.微机教室项目资金绩效目标表</w:t>
      </w:r>
      <w:bookmarkEnd w:id="0"/>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1.保障中职学校运转，改善高职院校基本办学条件，加快发展中等职业教育，促进教育公平和劳动者素质提高。</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CellMar>
            <w:top w:w="0" w:type="dxa"/>
            <w:left w:w="108" w:type="dxa"/>
            <w:bottom w:w="0" w:type="dxa"/>
            <w:right w:w="108" w:type="dxa"/>
          </w:tblCellMar>
        </w:tblPrEx>
        <w:trPr>
          <w:trHeight w:val="397" w:hRule="atLeast"/>
          <w:tblHeader/>
          <w:jc w:val="center"/>
        </w:trPr>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3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89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84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购买微机及其配套设施数量</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新建微机室所需配置微机及其配套设施数量</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61套</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廊坊市第四职业中学关于新建微机教室的请示和教育费附加管理办法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验收合格率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考察新建微机教室整体验收合格情况</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质量检测合格依据。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微机教室构建时效</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考察微机教室完成构建和验收的及时性</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项目完成成本</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考察新建微机教室资金使用情况</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≤70.48万元</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廊坊市第四职业中学关于新建微机教室的请示和教育费附加管理办法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支持现代职业教育高质量发展</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该资金用于学校正常运转，改善高职院校基本办学条件，支持现代职业教育高质量发展</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支持</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廊坊市第四职业中学关于新建微机教室的请示和教育费附加管理办法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1" w:name="_Toc_4_4_0000000005"/>
      <w:r>
        <w:rPr>
          <w:rFonts w:hint="eastAsia" w:ascii="仿宋_GB2312" w:hAnsi="仿宋_GB2312" w:eastAsia="仿宋_GB2312" w:cs="仿宋_GB2312"/>
          <w:color w:val="000000"/>
          <w:sz w:val="28"/>
        </w:rPr>
        <w:t>2.中等职业教育免学费[中央]绩效目标表</w:t>
      </w:r>
      <w:bookmarkEnd w:id="1"/>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1.职业第四中学对2022年符合享受免学费的标准的学生免除学费，对因免除学费导致学校收入减少部分，申请财政预算资金，该资金用于保证学校正常运转，教学正常开展，促进中职教育发展。</w:t>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p>
          <w:p>
            <w:pPr>
              <w:pStyle w:val="14"/>
              <w:rPr>
                <w:rFonts w:hint="eastAsia" w:ascii="仿宋_GB2312" w:hAnsi="仿宋_GB2312" w:eastAsia="仿宋_GB2312" w:cs="仿宋_GB2312"/>
              </w:rPr>
            </w:pP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427"/>
        <w:gridCol w:w="945"/>
        <w:gridCol w:w="19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4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945"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93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享受免学费的学生人数</w:t>
            </w:r>
          </w:p>
        </w:tc>
        <w:tc>
          <w:tcPr>
            <w:tcW w:w="24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按文件要求享受免学费的学生人数</w:t>
            </w:r>
          </w:p>
        </w:tc>
        <w:tc>
          <w:tcPr>
            <w:tcW w:w="94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1880人</w:t>
            </w:r>
          </w:p>
        </w:tc>
        <w:tc>
          <w:tcPr>
            <w:tcW w:w="193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廊坊市财政局 廊坊市教育局关于提前下达2022年中央学生资助经费预算的通知（廊财教[2021]44号）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免收学费的学生认定的准确率</w:t>
            </w:r>
          </w:p>
        </w:tc>
        <w:tc>
          <w:tcPr>
            <w:tcW w:w="24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对于符合免收学费的学生认定符合文件规定的标准</w:t>
            </w:r>
          </w:p>
        </w:tc>
        <w:tc>
          <w:tcPr>
            <w:tcW w:w="94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93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廊坊市财政局 廊坊市教育局关于提前下达2022年中央学生资助经费预算的通知（廊财教[2021]44号）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免收学生学费的及时率</w:t>
            </w:r>
          </w:p>
        </w:tc>
        <w:tc>
          <w:tcPr>
            <w:tcW w:w="24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对于符合免收学费的学生在对应的学期及时减免</w:t>
            </w:r>
          </w:p>
        </w:tc>
        <w:tc>
          <w:tcPr>
            <w:tcW w:w="94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93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预算资金申请的每名学生免除的学费总额区级财政承担金额</w:t>
            </w:r>
          </w:p>
        </w:tc>
        <w:tc>
          <w:tcPr>
            <w:tcW w:w="24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预算资金申请的每名学生免除的总额区级财政承担金额等于400元/生</w:t>
            </w:r>
          </w:p>
        </w:tc>
        <w:tc>
          <w:tcPr>
            <w:tcW w:w="94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894元</w:t>
            </w:r>
          </w:p>
        </w:tc>
        <w:tc>
          <w:tcPr>
            <w:tcW w:w="193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廊坊市财政局 廊坊市教育局关于提前下达2022年中央学生资助经费预算的通知（廊财教[2021]44号）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入学率和巩固率</w:t>
            </w:r>
          </w:p>
        </w:tc>
        <w:tc>
          <w:tcPr>
            <w:tcW w:w="24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提高中职学校的入学率和巩固率</w:t>
            </w:r>
          </w:p>
        </w:tc>
        <w:tc>
          <w:tcPr>
            <w:tcW w:w="94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193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冀财教【2012】224号文件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在校学生的满意程度</w:t>
            </w:r>
          </w:p>
        </w:tc>
        <w:tc>
          <w:tcPr>
            <w:tcW w:w="24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在校学生的满意程度</w:t>
            </w:r>
          </w:p>
        </w:tc>
        <w:tc>
          <w:tcPr>
            <w:tcW w:w="94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193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2" w:name="_Toc_4_4_0000000006"/>
      <w:r>
        <w:rPr>
          <w:rFonts w:hint="eastAsia" w:ascii="仿宋_GB2312" w:hAnsi="仿宋_GB2312" w:eastAsia="仿宋_GB2312" w:cs="仿宋_GB2312"/>
          <w:color w:val="000000"/>
          <w:sz w:val="28"/>
        </w:rPr>
        <w:t>3.中等职业教育免学费资金[省级]绩效目标表</w:t>
      </w:r>
      <w:bookmarkEnd w:id="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1.目标内容1保证学校正常运转，教学正常开展，促进中职教育发展</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382"/>
        <w:gridCol w:w="1020"/>
        <w:gridCol w:w="19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38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020"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90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享受免学费的学生人数</w:t>
            </w:r>
          </w:p>
        </w:tc>
        <w:tc>
          <w:tcPr>
            <w:tcW w:w="238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按文件要求享受免学费的学生人数</w:t>
            </w:r>
          </w:p>
        </w:tc>
        <w:tc>
          <w:tcPr>
            <w:tcW w:w="102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1880人</w:t>
            </w:r>
          </w:p>
        </w:tc>
        <w:tc>
          <w:tcPr>
            <w:tcW w:w="190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廊坊市财政局 廊坊市教育局关于提前下达2022年省级现代职业教育发展专项资金预算的通知（廊财教[2021]48号）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免收学费的学生认定的准确率</w:t>
            </w:r>
          </w:p>
        </w:tc>
        <w:tc>
          <w:tcPr>
            <w:tcW w:w="238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对于符合免收学费的学生认定符合文件规定的标准</w:t>
            </w:r>
          </w:p>
        </w:tc>
        <w:tc>
          <w:tcPr>
            <w:tcW w:w="102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90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廊坊市财政局 廊坊市教育局关于提前下达2022年省级现代职业教育发展专项资金预算的通知（廊财教[2021]48号）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免收学生学费的及时率</w:t>
            </w:r>
          </w:p>
        </w:tc>
        <w:tc>
          <w:tcPr>
            <w:tcW w:w="238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对于符合免收学费的学生在对应的学期及时减免</w:t>
            </w:r>
          </w:p>
        </w:tc>
        <w:tc>
          <w:tcPr>
            <w:tcW w:w="102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90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预算资金申请的每名学生免除的学费总额区级财政承担金额</w:t>
            </w:r>
          </w:p>
        </w:tc>
        <w:tc>
          <w:tcPr>
            <w:tcW w:w="238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预算资金申请的每名学生免除的总额区级财政承担金额等于400元/生</w:t>
            </w:r>
          </w:p>
        </w:tc>
        <w:tc>
          <w:tcPr>
            <w:tcW w:w="102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181元</w:t>
            </w:r>
          </w:p>
        </w:tc>
        <w:tc>
          <w:tcPr>
            <w:tcW w:w="190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廊坊市财政局 廊坊市教育局关于提前下达2022年省级现代职业教育发展专项资金预算的通知（廊财教[2021]48号）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入学率和巩固率</w:t>
            </w:r>
          </w:p>
        </w:tc>
        <w:tc>
          <w:tcPr>
            <w:tcW w:w="238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提高中职学校的入学率和巩固率</w:t>
            </w:r>
          </w:p>
        </w:tc>
        <w:tc>
          <w:tcPr>
            <w:tcW w:w="102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190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冀财教【2012】224号文件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在校学生的满意程度</w:t>
            </w:r>
          </w:p>
        </w:tc>
        <w:tc>
          <w:tcPr>
            <w:tcW w:w="238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在校学生的满意程度</w:t>
            </w:r>
          </w:p>
        </w:tc>
        <w:tc>
          <w:tcPr>
            <w:tcW w:w="102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190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3" w:name="_Toc_4_4_0000000007"/>
      <w:r>
        <w:rPr>
          <w:rFonts w:hint="eastAsia" w:ascii="仿宋_GB2312" w:hAnsi="仿宋_GB2312" w:eastAsia="仿宋_GB2312" w:cs="仿宋_GB2312"/>
          <w:color w:val="000000"/>
          <w:sz w:val="28"/>
        </w:rPr>
        <w:t>4.中等职业教育助学金[省级]绩效目标表</w:t>
      </w:r>
      <w:bookmarkEnd w:id="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920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920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1.目标内容1第四职业中学对2022年符合领取助学金标准的学生及时足额发放助学金，用以帮助家庭经济困难学生，促进中职教育发展，满足经济社会对高素质劳动者和技能型人才的需要。</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292"/>
        <w:gridCol w:w="1095"/>
        <w:gridCol w:w="31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29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095"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311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满足助学金领取标准的学生人数</w:t>
            </w:r>
          </w:p>
        </w:tc>
        <w:tc>
          <w:tcPr>
            <w:tcW w:w="229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按文件要求符合助学金领取标准的学生人数</w:t>
            </w:r>
          </w:p>
        </w:tc>
        <w:tc>
          <w:tcPr>
            <w:tcW w:w="109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67人</w:t>
            </w:r>
          </w:p>
        </w:tc>
        <w:tc>
          <w:tcPr>
            <w:tcW w:w="311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廊坊市财政局 廊坊市教育局关于提前下达2022年省级现代职业教育发展专项资金预算的通知（廊财教[2021]48号）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领取助学金的学生条件审核的准确率</w:t>
            </w:r>
          </w:p>
        </w:tc>
        <w:tc>
          <w:tcPr>
            <w:tcW w:w="229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对于符合领取助学金的学生条件审核符合文件规定的标准</w:t>
            </w:r>
          </w:p>
        </w:tc>
        <w:tc>
          <w:tcPr>
            <w:tcW w:w="109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311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廊坊市财政局 廊坊市教育局关于提前下达2022年省级现代职业教育发展专项资金预算的通知（廊财教[2021]48号）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学生助学金的发放及时率</w:t>
            </w:r>
          </w:p>
        </w:tc>
        <w:tc>
          <w:tcPr>
            <w:tcW w:w="229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对于符合领取助学金条件的学生在对应的学期及时补助资金</w:t>
            </w:r>
          </w:p>
        </w:tc>
        <w:tc>
          <w:tcPr>
            <w:tcW w:w="109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311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每名学生助学金总额中的区级财政承担金额</w:t>
            </w:r>
          </w:p>
        </w:tc>
        <w:tc>
          <w:tcPr>
            <w:tcW w:w="229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每名学生助学金总额中的区级财政承担金额等于400元/生</w:t>
            </w:r>
          </w:p>
        </w:tc>
        <w:tc>
          <w:tcPr>
            <w:tcW w:w="109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149元</w:t>
            </w:r>
          </w:p>
        </w:tc>
        <w:tc>
          <w:tcPr>
            <w:tcW w:w="311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廊坊市财政局 廊坊市教育局关于提前下达2022年省级现代职业教育发展专项资金预算的通知（廊财教[2021]48号）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家庭困难学生入学率</w:t>
            </w:r>
          </w:p>
        </w:tc>
        <w:tc>
          <w:tcPr>
            <w:tcW w:w="229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保证家庭困难学生入学率</w:t>
            </w:r>
          </w:p>
        </w:tc>
        <w:tc>
          <w:tcPr>
            <w:tcW w:w="109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≥98%</w:t>
            </w:r>
          </w:p>
        </w:tc>
        <w:tc>
          <w:tcPr>
            <w:tcW w:w="311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冀财教【2012】224号文件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受助学生、家长对补助情况的满意程度</w:t>
            </w:r>
          </w:p>
        </w:tc>
        <w:tc>
          <w:tcPr>
            <w:tcW w:w="229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受助学生、家长对补助情况的满意程度</w:t>
            </w:r>
          </w:p>
        </w:tc>
        <w:tc>
          <w:tcPr>
            <w:tcW w:w="109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311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问卷调查</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4" w:name="_Toc_4_4_0000000008"/>
      <w:r>
        <w:rPr>
          <w:rFonts w:hint="eastAsia" w:ascii="仿宋_GB2312" w:hAnsi="仿宋_GB2312" w:eastAsia="仿宋_GB2312" w:cs="仿宋_GB2312"/>
          <w:color w:val="000000"/>
          <w:sz w:val="28"/>
        </w:rPr>
        <w:t>5.中等职业教育助学金[中央]绩效目标表</w:t>
      </w:r>
      <w:bookmarkEnd w:id="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1.帮助家庭经济困难学生，满足经济社会对高素质劳动者和技能型人才的需要</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196"/>
        <w:gridCol w:w="1695"/>
        <w:gridCol w:w="2280"/>
        <w:gridCol w:w="838"/>
        <w:gridCol w:w="19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19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695"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280"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838"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95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19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69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满足助学金领取标准的学生人数</w:t>
            </w:r>
          </w:p>
        </w:tc>
        <w:tc>
          <w:tcPr>
            <w:tcW w:w="228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按文件要求符合助学金领取标准的学生人数</w:t>
            </w:r>
          </w:p>
        </w:tc>
        <w:tc>
          <w:tcPr>
            <w:tcW w:w="83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67人</w:t>
            </w:r>
          </w:p>
        </w:tc>
        <w:tc>
          <w:tcPr>
            <w:tcW w:w="195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廊坊市财政局 廊坊市教育局关于提前下达2022年中央学生资助经费预算的通知（廊财教[2021]44号）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19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69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领取助学金的学生条件审核的准确率</w:t>
            </w:r>
          </w:p>
        </w:tc>
        <w:tc>
          <w:tcPr>
            <w:tcW w:w="228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对于符合领取助学金的学生条件审核符合文件规定的标准</w:t>
            </w:r>
          </w:p>
        </w:tc>
        <w:tc>
          <w:tcPr>
            <w:tcW w:w="83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95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廊坊市财政局 廊坊市教育局关于提前下达2022年中央学生资助经费预算的通知（廊财教[2021]44号）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19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69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学生助学金的发放及时率</w:t>
            </w:r>
          </w:p>
        </w:tc>
        <w:tc>
          <w:tcPr>
            <w:tcW w:w="228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对于符合领取助学金条件的学生在对应的学期及时补助资金</w:t>
            </w:r>
          </w:p>
        </w:tc>
        <w:tc>
          <w:tcPr>
            <w:tcW w:w="83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95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19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69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每名学生助学金总额中的区级财政承担金额</w:t>
            </w:r>
          </w:p>
        </w:tc>
        <w:tc>
          <w:tcPr>
            <w:tcW w:w="228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每名学生助学金总额中的区级财政承担金额等于400元/生</w:t>
            </w:r>
          </w:p>
        </w:tc>
        <w:tc>
          <w:tcPr>
            <w:tcW w:w="83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1044.8元</w:t>
            </w:r>
          </w:p>
        </w:tc>
        <w:tc>
          <w:tcPr>
            <w:tcW w:w="195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廊坊市财政局 廊坊市教育局关于提前下达2022年中央学生资助经费预算的通知（廊财教[2021]44号）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19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69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家庭困难学生入学率</w:t>
            </w:r>
          </w:p>
        </w:tc>
        <w:tc>
          <w:tcPr>
            <w:tcW w:w="228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保证家庭困难学生入学率</w:t>
            </w:r>
          </w:p>
        </w:tc>
        <w:tc>
          <w:tcPr>
            <w:tcW w:w="83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≥98%</w:t>
            </w:r>
          </w:p>
        </w:tc>
        <w:tc>
          <w:tcPr>
            <w:tcW w:w="195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冀财教【2012】224号文件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19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69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受助学生、家长对补助情况的满意程度</w:t>
            </w:r>
          </w:p>
        </w:tc>
        <w:tc>
          <w:tcPr>
            <w:tcW w:w="228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受助学生、家长对补助情况的满意程度</w:t>
            </w:r>
          </w:p>
        </w:tc>
        <w:tc>
          <w:tcPr>
            <w:tcW w:w="83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195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问卷调查</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5" w:name="_Toc_4_4_0000000009"/>
      <w:r>
        <w:rPr>
          <w:rFonts w:hint="eastAsia" w:ascii="仿宋_GB2312" w:hAnsi="仿宋_GB2312" w:eastAsia="仿宋_GB2312" w:cs="仿宋_GB2312"/>
          <w:color w:val="000000"/>
          <w:sz w:val="28"/>
        </w:rPr>
        <w:t>6.中等职业免学费资金[区级]绩效目标表</w:t>
      </w:r>
      <w:bookmarkEnd w:id="5"/>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1.2022年符合享受免学费的标准的学生免除学费。</w:t>
            </w:r>
          </w:p>
          <w:p>
            <w:pPr>
              <w:pStyle w:val="14"/>
              <w:rPr>
                <w:rFonts w:hint="eastAsia" w:ascii="仿宋_GB2312" w:hAnsi="仿宋_GB2312" w:eastAsia="仿宋_GB2312" w:cs="仿宋_GB2312"/>
              </w:rPr>
            </w:pPr>
            <w:r>
              <w:rPr>
                <w:rFonts w:hint="eastAsia" w:ascii="仿宋_GB2312" w:hAnsi="仿宋_GB2312" w:eastAsia="仿宋_GB2312" w:cs="仿宋_GB2312"/>
              </w:rPr>
              <w:t>2.保证学校正常运转，教学正常开展。</w:t>
            </w:r>
          </w:p>
          <w:p>
            <w:pPr>
              <w:pStyle w:val="14"/>
              <w:rPr>
                <w:rFonts w:hint="eastAsia" w:ascii="仿宋_GB2312" w:hAnsi="仿宋_GB2312" w:eastAsia="仿宋_GB2312" w:cs="仿宋_GB2312"/>
              </w:rPr>
            </w:pPr>
            <w:r>
              <w:rPr>
                <w:rFonts w:hint="eastAsia" w:ascii="仿宋_GB2312" w:hAnsi="仿宋_GB2312" w:eastAsia="仿宋_GB2312" w:cs="仿宋_GB2312"/>
              </w:rPr>
              <w:t>3.促进中职教育发展。</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037"/>
        <w:gridCol w:w="1080"/>
        <w:gridCol w:w="21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03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080"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219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享受免学费的学生人数</w:t>
            </w:r>
          </w:p>
        </w:tc>
        <w:tc>
          <w:tcPr>
            <w:tcW w:w="203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按文件要求享受免学费的学生人数</w:t>
            </w:r>
          </w:p>
        </w:tc>
        <w:tc>
          <w:tcPr>
            <w:tcW w:w="108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1880人</w:t>
            </w:r>
          </w:p>
        </w:tc>
        <w:tc>
          <w:tcPr>
            <w:tcW w:w="21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河北省财政厅等三部门关于印发《河北省现代职业教育发展专项资金管理办法》的通知（冀财教[2020]87号）</w:t>
            </w:r>
          </w:p>
          <w:p>
            <w:pPr>
              <w:pStyle w:val="14"/>
              <w:rPr>
                <w:rFonts w:hint="eastAsia"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免收学费的学生认定的准确率</w:t>
            </w:r>
          </w:p>
        </w:tc>
        <w:tc>
          <w:tcPr>
            <w:tcW w:w="203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对于符合免收学费的学生认定符合文件规定的标准</w:t>
            </w:r>
          </w:p>
        </w:tc>
        <w:tc>
          <w:tcPr>
            <w:tcW w:w="108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1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河北省财政厅等三部门关于印发《河北省现代职业教育发展专项资金管理办法》的通知（冀财教[2020]87号）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免收学生学费的及时率</w:t>
            </w:r>
          </w:p>
        </w:tc>
        <w:tc>
          <w:tcPr>
            <w:tcW w:w="203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对于符合免收学费的学生在对应的学期及时减免</w:t>
            </w:r>
          </w:p>
        </w:tc>
        <w:tc>
          <w:tcPr>
            <w:tcW w:w="108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1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预算资金申请的每名学生免除的学费总额区级财政承担金额</w:t>
            </w:r>
          </w:p>
        </w:tc>
        <w:tc>
          <w:tcPr>
            <w:tcW w:w="203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预算资金申请的每名学生免除的总额区级财政承担金额等于400元/生</w:t>
            </w:r>
          </w:p>
        </w:tc>
        <w:tc>
          <w:tcPr>
            <w:tcW w:w="108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 xml:space="preserve">400元 </w:t>
            </w:r>
          </w:p>
        </w:tc>
        <w:tc>
          <w:tcPr>
            <w:tcW w:w="21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河北省财政厅等三部门关于印发《河北省现代职业教育发展专项资金管理办法》的通知（冀财教[2020]87号）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入学率和巩固率</w:t>
            </w:r>
          </w:p>
        </w:tc>
        <w:tc>
          <w:tcPr>
            <w:tcW w:w="203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提高中职学校的入学率和巩固率</w:t>
            </w:r>
          </w:p>
        </w:tc>
        <w:tc>
          <w:tcPr>
            <w:tcW w:w="108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21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冀财教【2012】224号文件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在校学生的满意程度</w:t>
            </w:r>
          </w:p>
        </w:tc>
        <w:tc>
          <w:tcPr>
            <w:tcW w:w="203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在校学生的满意程度</w:t>
            </w:r>
          </w:p>
        </w:tc>
        <w:tc>
          <w:tcPr>
            <w:tcW w:w="108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21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问卷调查</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6" w:name="_Toc_4_4_0000000010"/>
      <w:r>
        <w:rPr>
          <w:rFonts w:hint="eastAsia" w:ascii="仿宋_GB2312" w:hAnsi="仿宋_GB2312" w:eastAsia="仿宋_GB2312" w:cs="仿宋_GB2312"/>
          <w:color w:val="000000"/>
          <w:sz w:val="28"/>
        </w:rPr>
        <w:t>7.中等职业助学金[区级]绩效目标表</w:t>
      </w:r>
      <w:bookmarkEnd w:id="6"/>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1.帮助家庭经济困难学生。</w:t>
            </w:r>
          </w:p>
          <w:p>
            <w:pPr>
              <w:pStyle w:val="14"/>
              <w:rPr>
                <w:rFonts w:hint="eastAsia" w:ascii="仿宋_GB2312" w:hAnsi="仿宋_GB2312" w:eastAsia="仿宋_GB2312" w:cs="仿宋_GB2312"/>
              </w:rPr>
            </w:pPr>
            <w:r>
              <w:rPr>
                <w:rFonts w:hint="eastAsia" w:ascii="仿宋_GB2312" w:hAnsi="仿宋_GB2312" w:eastAsia="仿宋_GB2312" w:cs="仿宋_GB2312"/>
              </w:rPr>
              <w:t>2.加快发展中等职业教育.</w:t>
            </w:r>
          </w:p>
          <w:p>
            <w:pPr>
              <w:pStyle w:val="14"/>
              <w:rPr>
                <w:rFonts w:hint="eastAsia" w:ascii="仿宋_GB2312" w:hAnsi="仿宋_GB2312" w:eastAsia="仿宋_GB2312" w:cs="仿宋_GB2312"/>
              </w:rPr>
            </w:pPr>
            <w:r>
              <w:rPr>
                <w:rFonts w:hint="eastAsia" w:ascii="仿宋_GB2312" w:hAnsi="仿宋_GB2312" w:eastAsia="仿宋_GB2312" w:cs="仿宋_GB2312"/>
              </w:rPr>
              <w:t>3.促进教育公平和劳动者素质提高。</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534"/>
        <w:gridCol w:w="2220"/>
        <w:gridCol w:w="900"/>
        <w:gridCol w:w="19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534"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220"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900"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98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53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满足助学金领取标准的学生人数</w:t>
            </w:r>
          </w:p>
        </w:tc>
        <w:tc>
          <w:tcPr>
            <w:tcW w:w="222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按文件要求符合助学金领取标准的学生人数</w:t>
            </w:r>
          </w:p>
        </w:tc>
        <w:tc>
          <w:tcPr>
            <w:tcW w:w="90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67人</w:t>
            </w:r>
          </w:p>
        </w:tc>
        <w:tc>
          <w:tcPr>
            <w:tcW w:w="198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河北省财政厅等三部门关于印发《河北省现代职业教育发展专项资金管理办法》的通知（冀财教[2020]87号）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53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领取助学金的学生条件审核的准确率</w:t>
            </w:r>
          </w:p>
        </w:tc>
        <w:tc>
          <w:tcPr>
            <w:tcW w:w="222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对于符合领取助学金的学生条件审核符合文件规定的标准</w:t>
            </w:r>
          </w:p>
        </w:tc>
        <w:tc>
          <w:tcPr>
            <w:tcW w:w="90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98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河北省财政厅等三部门关于印发《河北省现代职业教育发展专项资金管理办法》的通知（冀财教[2020]87号）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53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学生助学金的发放及时率</w:t>
            </w:r>
          </w:p>
        </w:tc>
        <w:tc>
          <w:tcPr>
            <w:tcW w:w="222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对于符合领取助学金条件的学生在对应的学期及时补助资金</w:t>
            </w:r>
          </w:p>
        </w:tc>
        <w:tc>
          <w:tcPr>
            <w:tcW w:w="90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98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53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每名学生助学金总额中的区级财政承担金额</w:t>
            </w:r>
          </w:p>
        </w:tc>
        <w:tc>
          <w:tcPr>
            <w:tcW w:w="222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每名学生助学金总额中的区级财政承担金额等于400元/生</w:t>
            </w:r>
          </w:p>
        </w:tc>
        <w:tc>
          <w:tcPr>
            <w:tcW w:w="90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400元</w:t>
            </w:r>
          </w:p>
        </w:tc>
        <w:tc>
          <w:tcPr>
            <w:tcW w:w="198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河北省财政厅等三部门关于印发《河北省现代职业教育发展专项资金管理办法》的通知（冀财教[2020]87号）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53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家庭困难学生入学率</w:t>
            </w:r>
          </w:p>
        </w:tc>
        <w:tc>
          <w:tcPr>
            <w:tcW w:w="222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保证家庭困难学生入学率</w:t>
            </w:r>
          </w:p>
        </w:tc>
        <w:tc>
          <w:tcPr>
            <w:tcW w:w="90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≥98%</w:t>
            </w:r>
          </w:p>
        </w:tc>
        <w:tc>
          <w:tcPr>
            <w:tcW w:w="198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冀财教【2012】224号文件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53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受助学生、家长对补助情况的满意程度</w:t>
            </w:r>
          </w:p>
        </w:tc>
        <w:tc>
          <w:tcPr>
            <w:tcW w:w="222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受助学生、家长对补助情况的满意程度</w:t>
            </w:r>
          </w:p>
        </w:tc>
        <w:tc>
          <w:tcPr>
            <w:tcW w:w="90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198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问卷调查</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7" w:name="_Toc_4_4_0000000011"/>
      <w:r>
        <w:rPr>
          <w:rFonts w:hint="eastAsia" w:ascii="仿宋_GB2312" w:hAnsi="仿宋_GB2312" w:eastAsia="仿宋_GB2312" w:cs="仿宋_GB2312"/>
          <w:color w:val="000000"/>
          <w:sz w:val="28"/>
        </w:rPr>
        <w:t>8.中职生均公用经费绩效目标表</w:t>
      </w:r>
      <w:bookmarkEnd w:id="7"/>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989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989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1.按照高职院校生均公用经费标准申请财政预算资金，通过合理、合规使用资金达到保证学校正常运转。</w:t>
            </w:r>
          </w:p>
          <w:p>
            <w:pPr>
              <w:pStyle w:val="14"/>
              <w:rPr>
                <w:rFonts w:hint="eastAsia" w:ascii="仿宋_GB2312" w:hAnsi="仿宋_GB2312" w:eastAsia="仿宋_GB2312" w:cs="仿宋_GB2312"/>
              </w:rPr>
            </w:pPr>
            <w:r>
              <w:rPr>
                <w:rFonts w:hint="eastAsia" w:ascii="仿宋_GB2312" w:hAnsi="仿宋_GB2312" w:eastAsia="仿宋_GB2312" w:cs="仿宋_GB2312"/>
              </w:rPr>
              <w:t>2.按照高职院校生均公用经费标准申请财政预算资金，通过合理、合规使用资金，改善高职院校基本办学条件。</w:t>
            </w:r>
          </w:p>
          <w:p>
            <w:pPr>
              <w:pStyle w:val="14"/>
              <w:rPr>
                <w:rFonts w:hint="eastAsia" w:ascii="仿宋_GB2312" w:hAnsi="仿宋_GB2312" w:eastAsia="仿宋_GB2312" w:cs="仿宋_GB2312"/>
              </w:rPr>
            </w:pPr>
            <w:r>
              <w:rPr>
                <w:rFonts w:hint="eastAsia" w:ascii="仿宋_GB2312" w:hAnsi="仿宋_GB2312" w:eastAsia="仿宋_GB2312" w:cs="仿宋_GB2312"/>
              </w:rPr>
              <w:t>3.按照高职院校生均公用经费标准申请财政预算资金，通过合理、合规使用资金，促进中职教育发展。</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232"/>
        <w:gridCol w:w="1005"/>
        <w:gridCol w:w="39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23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005"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39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22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100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2000人</w:t>
            </w:r>
          </w:p>
        </w:tc>
        <w:tc>
          <w:tcPr>
            <w:tcW w:w="39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河北省财政厅等三部门关于印发《河北省现代职业教育发展专项资金管理办法》的通知（冀财教[2020]87号）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22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100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39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河北省财政厅等三部门关于印发《河北省现代职业教育发展专项资金管理办法》的通知（冀财教[2020]87号）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22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100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w:t>
            </w:r>
          </w:p>
        </w:tc>
        <w:tc>
          <w:tcPr>
            <w:tcW w:w="39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22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使用生均公用经费，用于保障学校正常运转的项目支出成本等于1000元/生</w:t>
            </w:r>
          </w:p>
        </w:tc>
        <w:tc>
          <w:tcPr>
            <w:tcW w:w="100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1000元/生/年</w:t>
            </w:r>
          </w:p>
        </w:tc>
        <w:tc>
          <w:tcPr>
            <w:tcW w:w="39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河北省财政厅等三部门关于印发《河北省现代职业教育发展专项资金管理办法》的通知（冀财教[2020]87号）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支持现代职业教育高质量发展</w:t>
            </w:r>
          </w:p>
        </w:tc>
        <w:tc>
          <w:tcPr>
            <w:tcW w:w="22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该资金用于学校正常运转，改善高职院校基本办学条件，支持现代职业教育高质量发展</w:t>
            </w:r>
          </w:p>
        </w:tc>
        <w:tc>
          <w:tcPr>
            <w:tcW w:w="100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支持</w:t>
            </w:r>
          </w:p>
        </w:tc>
        <w:tc>
          <w:tcPr>
            <w:tcW w:w="39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河北省财政厅等三部门关于印发《河北省现代职业教育发展专项资金管理办法》的通知（冀财教[2020]87号）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2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00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39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ind w:firstLine="560"/>
        <w:jc w:val="left"/>
        <w:outlineLvl w:val="3"/>
        <w:rPr>
          <w:rFonts w:hint="eastAsia" w:ascii="仿宋_GB2312" w:hAnsi="仿宋_GB2312" w:eastAsia="仿宋_GB2312" w:cs="仿宋_GB2312"/>
        </w:rPr>
      </w:pPr>
      <w:bookmarkStart w:id="8" w:name="_Toc_4_4_0000000012"/>
      <w:r>
        <w:rPr>
          <w:rFonts w:hint="eastAsia" w:ascii="仿宋_GB2312" w:hAnsi="仿宋_GB2312" w:eastAsia="仿宋_GB2312" w:cs="仿宋_GB2312"/>
          <w:color w:val="000000"/>
          <w:sz w:val="28"/>
        </w:rPr>
        <w:t>9.中职生均公用经费[省级]绩效目标表</w:t>
      </w:r>
      <w:bookmarkEnd w:id="8"/>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032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1032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1.目标内容1第四职业中学对2022年在校学生2000人，按照高职院校生均公用经费标准申请财政预算资金，通过合理、合规使用资金达到保证学校正常运转，改善高职院校基本办学条件，促进中职教育发展。</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86"/>
        <w:gridCol w:w="1066"/>
        <w:gridCol w:w="1829"/>
        <w:gridCol w:w="2292"/>
        <w:gridCol w:w="855"/>
        <w:gridCol w:w="46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08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06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829"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29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855"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4605"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06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82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229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85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2000人</w:t>
            </w:r>
          </w:p>
        </w:tc>
        <w:tc>
          <w:tcPr>
            <w:tcW w:w="460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廊坊市财政局 廊坊市教育局关于提前下达2022年省级现代职业教育发展专项资金预算的通知（廊财教[2021]48号）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Merge w:val="continue"/>
            <w:vAlign w:val="center"/>
          </w:tcPr>
          <w:p>
            <w:pPr>
              <w:rPr>
                <w:rFonts w:hint="eastAsia" w:ascii="仿宋_GB2312" w:hAnsi="仿宋_GB2312" w:eastAsia="仿宋_GB2312" w:cs="仿宋_GB2312"/>
              </w:rPr>
            </w:pPr>
          </w:p>
        </w:tc>
        <w:tc>
          <w:tcPr>
            <w:tcW w:w="106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82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229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85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460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廊坊市财政局 廊坊市教育局关于提前下达2022年省级现代职业教育发展专项资金预算的通知（廊财教[2021]48号）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Merge w:val="continue"/>
            <w:vAlign w:val="center"/>
          </w:tcPr>
          <w:p>
            <w:pPr>
              <w:rPr>
                <w:rFonts w:hint="eastAsia" w:ascii="仿宋_GB2312" w:hAnsi="仿宋_GB2312" w:eastAsia="仿宋_GB2312" w:cs="仿宋_GB2312"/>
              </w:rPr>
            </w:pPr>
          </w:p>
        </w:tc>
        <w:tc>
          <w:tcPr>
            <w:tcW w:w="106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82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229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85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460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Merge w:val="continue"/>
            <w:vAlign w:val="center"/>
          </w:tcPr>
          <w:p>
            <w:pPr>
              <w:rPr>
                <w:rFonts w:hint="eastAsia" w:ascii="仿宋_GB2312" w:hAnsi="仿宋_GB2312" w:eastAsia="仿宋_GB2312" w:cs="仿宋_GB2312"/>
              </w:rPr>
            </w:pPr>
          </w:p>
        </w:tc>
        <w:tc>
          <w:tcPr>
            <w:tcW w:w="106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82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229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使用生均公用经费，用于保障学校正常运转的项目支出成本等于1000元/生</w:t>
            </w:r>
          </w:p>
        </w:tc>
        <w:tc>
          <w:tcPr>
            <w:tcW w:w="85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303元</w:t>
            </w:r>
          </w:p>
        </w:tc>
        <w:tc>
          <w:tcPr>
            <w:tcW w:w="460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廊坊市财政局 廊坊市教育局关于提前下达2022年省级现代职业教育发展专项资金预算的通知（廊财教[2021]48号）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06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82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支持现代职业教育高质量发展</w:t>
            </w:r>
          </w:p>
        </w:tc>
        <w:tc>
          <w:tcPr>
            <w:tcW w:w="229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该资金用于学校正常运转，改善高职院校基本办学条件，支持现代职业教育高质量发展</w:t>
            </w:r>
          </w:p>
        </w:tc>
        <w:tc>
          <w:tcPr>
            <w:tcW w:w="85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支持</w:t>
            </w:r>
          </w:p>
        </w:tc>
        <w:tc>
          <w:tcPr>
            <w:tcW w:w="460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廊坊市财政局 廊坊市教育局关于提前下达2022年省级现代职业教育发展专项资金预算的通知（廊财教[2021]48号）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06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82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29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85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460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9"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2年，我部门安排政府采购预算</w:t>
      </w:r>
      <w:r>
        <w:rPr>
          <w:rFonts w:hint="eastAsia" w:ascii="Times New Roman" w:hAnsi="Times New Roman" w:eastAsia="仿宋_GB2312" w:cs="Times New Roman"/>
          <w:sz w:val="32"/>
          <w:szCs w:val="24"/>
        </w:rPr>
        <w:t>52</w:t>
      </w:r>
      <w:r>
        <w:rPr>
          <w:rFonts w:ascii="Times New Roman" w:hAnsi="Times New Roman" w:eastAsia="仿宋_GB2312" w:cs="Times New Roman"/>
          <w:sz w:val="32"/>
          <w:szCs w:val="24"/>
        </w:rPr>
        <w:t>万元。具体内容见下表。</w:t>
      </w:r>
    </w:p>
    <w:bookmarkEnd w:id="9"/>
    <w:p>
      <w:pPr>
        <w:jc w:val="center"/>
        <w:outlineLvl w:val="1"/>
        <w:rPr>
          <w:rFonts w:ascii="方正小标宋_GBK" w:eastAsia="方正小标宋_GBK" w:cs="Times New Roman"/>
          <w:sz w:val="32"/>
        </w:rPr>
      </w:pPr>
      <w:bookmarkStart w:id="10" w:name="_Toc64920910"/>
      <w:r>
        <w:rPr>
          <w:rFonts w:hint="eastAsia" w:ascii="方正小标宋_GBK" w:eastAsia="方正小标宋_GBK" w:cs="Times New Roman"/>
          <w:sz w:val="32"/>
        </w:rPr>
        <w:t>部门政府采购预算</w:t>
      </w:r>
      <w:bookmarkEnd w:id="10"/>
    </w:p>
    <w:p>
      <w:pPr>
        <w:outlineLvl w:val="1"/>
        <w:rPr>
          <w:rFonts w:ascii="方正小标宋_GBK" w:eastAsia="方正小标宋_GBK" w:cs="Times New Roman"/>
          <w:sz w:val="32"/>
        </w:rPr>
      </w:pPr>
      <w:r>
        <w:rPr>
          <w:rFonts w:hint="eastAsia"/>
        </w:rPr>
        <w:t>[485001]廊坊市第四职业中学</w:t>
      </w:r>
      <w:r>
        <w:t xml:space="preserve">                                                                                              单位：万元</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09"/>
        <w:gridCol w:w="893"/>
        <w:gridCol w:w="1043"/>
        <w:gridCol w:w="1043"/>
        <w:gridCol w:w="652"/>
        <w:gridCol w:w="782"/>
        <w:gridCol w:w="782"/>
        <w:gridCol w:w="887"/>
        <w:gridCol w:w="887"/>
        <w:gridCol w:w="887"/>
        <w:gridCol w:w="887"/>
        <w:gridCol w:w="887"/>
        <w:gridCol w:w="888"/>
        <w:gridCol w:w="888"/>
        <w:gridCol w:w="888"/>
        <w:gridCol w:w="8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71" w:type="pct"/>
            <w:gridSpan w:val="2"/>
            <w:vAlign w:val="center"/>
          </w:tcPr>
          <w:p>
            <w:pPr>
              <w:pStyle w:val="12"/>
            </w:pPr>
            <w:r>
              <w:t>政府采购项目来源</w:t>
            </w:r>
          </w:p>
        </w:tc>
        <w:tc>
          <w:tcPr>
            <w:tcW w:w="368" w:type="pct"/>
            <w:vMerge w:val="restart"/>
            <w:vAlign w:val="center"/>
          </w:tcPr>
          <w:p>
            <w:pPr>
              <w:pStyle w:val="12"/>
            </w:pPr>
            <w:r>
              <w:t>采购物品名称</w:t>
            </w:r>
          </w:p>
        </w:tc>
        <w:tc>
          <w:tcPr>
            <w:tcW w:w="368" w:type="pct"/>
            <w:vMerge w:val="restart"/>
            <w:vAlign w:val="center"/>
          </w:tcPr>
          <w:p>
            <w:pPr>
              <w:pStyle w:val="12"/>
            </w:pPr>
            <w:r>
              <w:t>政府采购目录序号</w:t>
            </w:r>
          </w:p>
        </w:tc>
        <w:tc>
          <w:tcPr>
            <w:tcW w:w="230" w:type="pct"/>
            <w:vMerge w:val="restart"/>
            <w:vAlign w:val="center"/>
          </w:tcPr>
          <w:p>
            <w:pPr>
              <w:pStyle w:val="12"/>
            </w:pPr>
            <w:r>
              <w:t>计量  单位</w:t>
            </w:r>
          </w:p>
        </w:tc>
        <w:tc>
          <w:tcPr>
            <w:tcW w:w="276" w:type="pct"/>
            <w:vMerge w:val="restart"/>
            <w:vAlign w:val="center"/>
          </w:tcPr>
          <w:p>
            <w:pPr>
              <w:pStyle w:val="12"/>
            </w:pPr>
            <w:r>
              <w:t>数量</w:t>
            </w:r>
          </w:p>
        </w:tc>
        <w:tc>
          <w:tcPr>
            <w:tcW w:w="276" w:type="pct"/>
            <w:vMerge w:val="restart"/>
            <w:vAlign w:val="center"/>
          </w:tcPr>
          <w:p>
            <w:pPr>
              <w:pStyle w:val="12"/>
            </w:pPr>
            <w:r>
              <w:t>单价</w:t>
            </w:r>
          </w:p>
        </w:tc>
        <w:tc>
          <w:tcPr>
            <w:tcW w:w="2503" w:type="pct"/>
            <w:gridSpan w:val="8"/>
            <w:vAlign w:val="center"/>
          </w:tcPr>
          <w:p>
            <w:pPr>
              <w:pStyle w:val="12"/>
            </w:pPr>
            <w:r>
              <w:t>政府采购金额（当年部门预算安排资金）</w:t>
            </w:r>
          </w:p>
        </w:tc>
        <w:tc>
          <w:tcPr>
            <w:tcW w:w="308" w:type="pct"/>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56" w:type="pct"/>
            <w:vAlign w:val="center"/>
          </w:tcPr>
          <w:p>
            <w:pPr>
              <w:pStyle w:val="12"/>
            </w:pPr>
            <w:r>
              <w:t>项目名称</w:t>
            </w:r>
          </w:p>
        </w:tc>
        <w:tc>
          <w:tcPr>
            <w:tcW w:w="314" w:type="pct"/>
            <w:vAlign w:val="center"/>
          </w:tcPr>
          <w:p>
            <w:pPr>
              <w:pStyle w:val="12"/>
            </w:pPr>
            <w:r>
              <w:t>预算    资金</w:t>
            </w:r>
          </w:p>
        </w:tc>
        <w:tc>
          <w:tcPr>
            <w:tcW w:w="368" w:type="pct"/>
            <w:vMerge w:val="continue"/>
          </w:tcPr>
          <w:p/>
        </w:tc>
        <w:tc>
          <w:tcPr>
            <w:tcW w:w="368" w:type="pct"/>
            <w:vMerge w:val="continue"/>
          </w:tcPr>
          <w:p/>
        </w:tc>
        <w:tc>
          <w:tcPr>
            <w:tcW w:w="230" w:type="pct"/>
            <w:vMerge w:val="continue"/>
          </w:tcPr>
          <w:p/>
        </w:tc>
        <w:tc>
          <w:tcPr>
            <w:tcW w:w="276" w:type="pct"/>
            <w:vMerge w:val="continue"/>
          </w:tcPr>
          <w:p/>
        </w:tc>
        <w:tc>
          <w:tcPr>
            <w:tcW w:w="276" w:type="pct"/>
            <w:vMerge w:val="continue"/>
          </w:tcPr>
          <w:p/>
        </w:tc>
        <w:tc>
          <w:tcPr>
            <w:tcW w:w="313" w:type="pct"/>
            <w:vAlign w:val="center"/>
          </w:tcPr>
          <w:p>
            <w:pPr>
              <w:pStyle w:val="12"/>
            </w:pPr>
            <w:r>
              <w:t>合计</w:t>
            </w:r>
          </w:p>
        </w:tc>
        <w:tc>
          <w:tcPr>
            <w:tcW w:w="313" w:type="pct"/>
            <w:vAlign w:val="center"/>
          </w:tcPr>
          <w:p>
            <w:pPr>
              <w:pStyle w:val="12"/>
            </w:pPr>
            <w:r>
              <w:t>一般公共预算拨款</w:t>
            </w:r>
          </w:p>
        </w:tc>
        <w:tc>
          <w:tcPr>
            <w:tcW w:w="313" w:type="pct"/>
            <w:vAlign w:val="center"/>
          </w:tcPr>
          <w:p>
            <w:pPr>
              <w:pStyle w:val="12"/>
            </w:pPr>
            <w:r>
              <w:t>基金预算拨款</w:t>
            </w:r>
          </w:p>
        </w:tc>
        <w:tc>
          <w:tcPr>
            <w:tcW w:w="313" w:type="pct"/>
            <w:vAlign w:val="center"/>
          </w:tcPr>
          <w:p>
            <w:pPr>
              <w:pStyle w:val="12"/>
            </w:pPr>
            <w:r>
              <w:t>国有资本经营预算拨款</w:t>
            </w:r>
          </w:p>
        </w:tc>
        <w:tc>
          <w:tcPr>
            <w:tcW w:w="313" w:type="pct"/>
            <w:vAlign w:val="center"/>
          </w:tcPr>
          <w:p>
            <w:pPr>
              <w:pStyle w:val="12"/>
            </w:pPr>
            <w:r>
              <w:t>财政专户核拨</w:t>
            </w:r>
          </w:p>
        </w:tc>
        <w:tc>
          <w:tcPr>
            <w:tcW w:w="313" w:type="pct"/>
            <w:vAlign w:val="center"/>
          </w:tcPr>
          <w:p>
            <w:pPr>
              <w:pStyle w:val="12"/>
            </w:pPr>
            <w:r>
              <w:t>单位    资金</w:t>
            </w:r>
          </w:p>
        </w:tc>
        <w:tc>
          <w:tcPr>
            <w:tcW w:w="313" w:type="pct"/>
            <w:vAlign w:val="center"/>
          </w:tcPr>
          <w:p>
            <w:pPr>
              <w:pStyle w:val="12"/>
            </w:pPr>
            <w:r>
              <w:t>财政拨    款结转</w:t>
            </w:r>
          </w:p>
        </w:tc>
        <w:tc>
          <w:tcPr>
            <w:tcW w:w="313" w:type="pct"/>
            <w:vAlign w:val="center"/>
          </w:tcPr>
          <w:p>
            <w:pPr>
              <w:pStyle w:val="12"/>
            </w:pPr>
            <w:r>
              <w:t>非财政    拨款结    转结余</w:t>
            </w:r>
          </w:p>
        </w:tc>
        <w:tc>
          <w:tcPr>
            <w:tcW w:w="308"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6" w:type="pct"/>
            <w:vAlign w:val="center"/>
          </w:tcPr>
          <w:p>
            <w:pPr>
              <w:pStyle w:val="16"/>
            </w:pPr>
            <w:r>
              <w:t>合  计</w:t>
            </w:r>
          </w:p>
        </w:tc>
        <w:tc>
          <w:tcPr>
            <w:tcW w:w="314" w:type="pct"/>
            <w:vAlign w:val="center"/>
          </w:tcPr>
          <w:p>
            <w:pPr>
              <w:pStyle w:val="17"/>
              <w:rPr>
                <w:lang w:eastAsia="zh-CN"/>
              </w:rPr>
            </w:pPr>
            <w:r>
              <w:rPr>
                <w:rFonts w:hint="eastAsia"/>
                <w:lang w:eastAsia="zh-CN"/>
              </w:rPr>
              <w:t>52</w:t>
            </w:r>
          </w:p>
        </w:tc>
        <w:tc>
          <w:tcPr>
            <w:tcW w:w="368" w:type="pct"/>
            <w:vAlign w:val="center"/>
          </w:tcPr>
          <w:p>
            <w:pPr>
              <w:pStyle w:val="18"/>
            </w:pPr>
          </w:p>
        </w:tc>
        <w:tc>
          <w:tcPr>
            <w:tcW w:w="368" w:type="pct"/>
            <w:vAlign w:val="center"/>
          </w:tcPr>
          <w:p>
            <w:pPr>
              <w:pStyle w:val="18"/>
            </w:pPr>
          </w:p>
        </w:tc>
        <w:tc>
          <w:tcPr>
            <w:tcW w:w="230" w:type="pct"/>
            <w:vAlign w:val="center"/>
          </w:tcPr>
          <w:p>
            <w:pPr>
              <w:pStyle w:val="16"/>
            </w:pPr>
          </w:p>
        </w:tc>
        <w:tc>
          <w:tcPr>
            <w:tcW w:w="276" w:type="pct"/>
            <w:vAlign w:val="center"/>
          </w:tcPr>
          <w:p>
            <w:pPr>
              <w:pStyle w:val="17"/>
            </w:pPr>
          </w:p>
        </w:tc>
        <w:tc>
          <w:tcPr>
            <w:tcW w:w="276"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08"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356" w:type="pct"/>
            <w:vAlign w:val="center"/>
          </w:tcPr>
          <w:p>
            <w:pPr>
              <w:pStyle w:val="16"/>
              <w:rPr>
                <w:rFonts w:hint="eastAsia" w:eastAsiaTheme="minorEastAsia"/>
                <w:lang w:eastAsia="zh-CN"/>
              </w:rPr>
            </w:pPr>
            <w:r>
              <w:rPr>
                <w:rFonts w:hint="eastAsia" w:eastAsiaTheme="minorEastAsia"/>
                <w:lang w:eastAsia="zh-CN"/>
              </w:rPr>
              <w:t>宿舍管理</w:t>
            </w:r>
          </w:p>
        </w:tc>
        <w:tc>
          <w:tcPr>
            <w:tcW w:w="314" w:type="pct"/>
            <w:vAlign w:val="center"/>
          </w:tcPr>
          <w:p>
            <w:pPr>
              <w:pStyle w:val="17"/>
              <w:rPr>
                <w:lang w:eastAsia="zh-CN"/>
              </w:rPr>
            </w:pPr>
            <w:r>
              <w:rPr>
                <w:rFonts w:hint="eastAsia"/>
                <w:lang w:eastAsia="zh-CN"/>
              </w:rPr>
              <w:t>52</w:t>
            </w:r>
          </w:p>
        </w:tc>
        <w:tc>
          <w:tcPr>
            <w:tcW w:w="368" w:type="pct"/>
            <w:vAlign w:val="center"/>
          </w:tcPr>
          <w:p>
            <w:pPr>
              <w:pStyle w:val="18"/>
              <w:rPr>
                <w:rFonts w:hint="eastAsia" w:eastAsiaTheme="minorEastAsia"/>
                <w:lang w:eastAsia="zh-CN"/>
              </w:rPr>
            </w:pPr>
            <w:r>
              <w:rPr>
                <w:rFonts w:hint="eastAsia" w:eastAsiaTheme="minorEastAsia"/>
                <w:lang w:eastAsia="zh-CN"/>
              </w:rPr>
              <w:t>宿舍管理服务</w:t>
            </w:r>
          </w:p>
        </w:tc>
        <w:tc>
          <w:tcPr>
            <w:tcW w:w="368" w:type="pct"/>
            <w:vAlign w:val="center"/>
          </w:tcPr>
          <w:p>
            <w:pPr>
              <w:pStyle w:val="18"/>
            </w:pPr>
          </w:p>
        </w:tc>
        <w:tc>
          <w:tcPr>
            <w:tcW w:w="230" w:type="pct"/>
            <w:vAlign w:val="center"/>
          </w:tcPr>
          <w:p>
            <w:pPr>
              <w:pStyle w:val="16"/>
              <w:rPr>
                <w:rFonts w:hint="eastAsia" w:eastAsiaTheme="minorEastAsia"/>
                <w:lang w:eastAsia="zh-CN"/>
              </w:rPr>
            </w:pPr>
            <w:r>
              <w:rPr>
                <w:rFonts w:hint="eastAsia" w:eastAsiaTheme="minorEastAsia"/>
                <w:lang w:eastAsia="zh-CN"/>
              </w:rPr>
              <w:t>个</w:t>
            </w:r>
          </w:p>
        </w:tc>
        <w:tc>
          <w:tcPr>
            <w:tcW w:w="276" w:type="pct"/>
            <w:vAlign w:val="center"/>
          </w:tcPr>
          <w:p>
            <w:pPr>
              <w:pStyle w:val="17"/>
              <w:rPr>
                <w:rFonts w:hint="eastAsia" w:eastAsiaTheme="minorEastAsia"/>
                <w:lang w:eastAsia="zh-CN"/>
              </w:rPr>
            </w:pPr>
            <w:r>
              <w:rPr>
                <w:rFonts w:hint="eastAsia" w:eastAsiaTheme="minorEastAsia"/>
                <w:lang w:eastAsia="zh-CN"/>
              </w:rPr>
              <w:t>1</w:t>
            </w:r>
          </w:p>
        </w:tc>
        <w:tc>
          <w:tcPr>
            <w:tcW w:w="276" w:type="pct"/>
            <w:vAlign w:val="center"/>
          </w:tcPr>
          <w:p>
            <w:pPr>
              <w:pStyle w:val="17"/>
              <w:rPr>
                <w:rFonts w:hint="eastAsia" w:eastAsiaTheme="minorEastAsia"/>
                <w:lang w:eastAsia="zh-CN"/>
              </w:rPr>
            </w:pPr>
            <w:r>
              <w:rPr>
                <w:rFonts w:hint="eastAsia" w:eastAsiaTheme="minorEastAsia"/>
                <w:lang w:eastAsia="zh-CN"/>
              </w:rPr>
              <w:t>52</w:t>
            </w:r>
          </w:p>
        </w:tc>
        <w:tc>
          <w:tcPr>
            <w:tcW w:w="313" w:type="pct"/>
            <w:vAlign w:val="center"/>
          </w:tcPr>
          <w:p>
            <w:pPr>
              <w:pStyle w:val="17"/>
              <w:rPr>
                <w:rFonts w:hint="eastAsia" w:eastAsiaTheme="minorEastAsia"/>
                <w:lang w:eastAsia="zh-CN"/>
              </w:rPr>
            </w:pPr>
            <w:r>
              <w:rPr>
                <w:rFonts w:hint="eastAsia" w:eastAsiaTheme="minorEastAsia"/>
                <w:lang w:eastAsia="zh-CN"/>
              </w:rPr>
              <w:t>52</w:t>
            </w:r>
          </w:p>
        </w:tc>
        <w:tc>
          <w:tcPr>
            <w:tcW w:w="313" w:type="pct"/>
            <w:vAlign w:val="center"/>
          </w:tcPr>
          <w:p>
            <w:pPr>
              <w:pStyle w:val="17"/>
              <w:rPr>
                <w:rFonts w:hint="eastAsia" w:eastAsiaTheme="minorEastAsia"/>
                <w:lang w:eastAsia="zh-CN"/>
              </w:rPr>
            </w:pPr>
            <w:r>
              <w:rPr>
                <w:rFonts w:hint="eastAsia" w:eastAsiaTheme="minorEastAsia"/>
                <w:lang w:eastAsia="zh-CN"/>
              </w:rPr>
              <w:t>52</w:t>
            </w: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08" w:type="pct"/>
            <w:vAlign w:val="center"/>
          </w:tcPr>
          <w:p>
            <w:pPr>
              <w:pStyle w:val="17"/>
              <w:rPr>
                <w:rFonts w:hint="eastAsia" w:eastAsiaTheme="minorEastAsia"/>
                <w:lang w:eastAsia="zh-CN"/>
              </w:rPr>
            </w:pPr>
            <w:r>
              <w:rPr>
                <w:rFonts w:hint="eastAsia" w:eastAsiaTheme="minorEastAsia"/>
                <w:lang w:eastAsia="zh-CN"/>
              </w:rPr>
              <w:t>52</w:t>
            </w: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方正仿宋_GBK" w:hAns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第四职业中学</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446.45</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，本年度我部门拟购置固定资产</w:t>
      </w:r>
      <w:r>
        <w:rPr>
          <w:rFonts w:hint="eastAsia" w:ascii="Times New Roman" w:hAnsi="Times New Roman" w:eastAsia="仿宋_GB2312" w:cs="Times New Roman"/>
          <w:sz w:val="32"/>
          <w:szCs w:val="32"/>
        </w:rPr>
        <w:t>总额为0万元，</w:t>
      </w:r>
      <w:r>
        <w:rPr>
          <w:rFonts w:ascii="Times New Roman" w:hAnsi="Times New Roman" w:eastAsia="仿宋_GB2312" w:cs="Times New Roman"/>
          <w:sz w:val="32"/>
          <w:szCs w:val="32"/>
        </w:rPr>
        <w:t>详见</w:t>
      </w:r>
      <w:r>
        <w:rPr>
          <w:rFonts w:hint="eastAsia" w:ascii="Times New Roman" w:hAnsi="Times New Roman" w:eastAsia="仿宋_GB2312" w:cs="Times New Roman"/>
          <w:sz w:val="32"/>
          <w:szCs w:val="32"/>
        </w:rPr>
        <w:t>政府采购</w:t>
      </w:r>
      <w:r>
        <w:rPr>
          <w:rFonts w:ascii="Times New Roman" w:hAnsi="Times New Roman" w:eastAsia="仿宋_GB2312" w:cs="Times New Roman"/>
          <w:sz w:val="32"/>
          <w:szCs w:val="32"/>
        </w:rPr>
        <w:t>预算表。</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sz w:val="32"/>
                <w:szCs w:val="32"/>
              </w:rPr>
              <w:t>廊坊市</w:t>
            </w:r>
            <w:r>
              <w:rPr>
                <w:rFonts w:hint="eastAsia" w:ascii="Times New Roman" w:hAnsi="Times New Roman" w:eastAsia="仿宋_GB2312" w:cs="Times New Roman"/>
                <w:b/>
                <w:bCs/>
                <w:sz w:val="32"/>
                <w:szCs w:val="32"/>
              </w:rPr>
              <w:t>第四职业中学</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第四职业中学</w:t>
            </w:r>
          </w:p>
        </w:tc>
        <w:tc>
          <w:tcPr>
            <w:tcW w:w="5103" w:type="dxa"/>
            <w:tcBorders>
              <w:top w:val="nil"/>
              <w:left w:val="nil"/>
              <w:bottom w:val="nil"/>
              <w:right w:val="nil"/>
            </w:tcBorders>
            <w:shd w:val="clear" w:color="auto" w:fill="auto"/>
            <w:noWrap/>
            <w:vAlign w:val="center"/>
          </w:tcPr>
          <w:p>
            <w:pPr>
              <w:widowControl/>
              <w:spacing w:line="584" w:lineRule="exact"/>
              <w:ind w:firstLine="1760" w:firstLineChars="800"/>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446.45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446.45</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2</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00046F"/>
    <w:rsid w:val="000230E6"/>
    <w:rsid w:val="000F6018"/>
    <w:rsid w:val="001049C6"/>
    <w:rsid w:val="00155329"/>
    <w:rsid w:val="0025632D"/>
    <w:rsid w:val="003059E0"/>
    <w:rsid w:val="00390353"/>
    <w:rsid w:val="00450E0D"/>
    <w:rsid w:val="004A54AA"/>
    <w:rsid w:val="004E28EB"/>
    <w:rsid w:val="005007B3"/>
    <w:rsid w:val="005744A9"/>
    <w:rsid w:val="005A4C92"/>
    <w:rsid w:val="005C2A1D"/>
    <w:rsid w:val="00673B6A"/>
    <w:rsid w:val="006875EB"/>
    <w:rsid w:val="006C58AE"/>
    <w:rsid w:val="006F77A9"/>
    <w:rsid w:val="00724F2E"/>
    <w:rsid w:val="0073068F"/>
    <w:rsid w:val="00762BBF"/>
    <w:rsid w:val="00820339"/>
    <w:rsid w:val="00824B5A"/>
    <w:rsid w:val="00865DDB"/>
    <w:rsid w:val="00944233"/>
    <w:rsid w:val="00A175B2"/>
    <w:rsid w:val="00AE07E6"/>
    <w:rsid w:val="00B40732"/>
    <w:rsid w:val="00B46C86"/>
    <w:rsid w:val="00B80935"/>
    <w:rsid w:val="00BA71B0"/>
    <w:rsid w:val="00D347CC"/>
    <w:rsid w:val="00DC4BCC"/>
    <w:rsid w:val="00DC72B4"/>
    <w:rsid w:val="00E522AE"/>
    <w:rsid w:val="00EB6ED3"/>
    <w:rsid w:val="00F307AB"/>
    <w:rsid w:val="00F41BED"/>
    <w:rsid w:val="00FB7354"/>
    <w:rsid w:val="00FC4BB7"/>
    <w:rsid w:val="01B02961"/>
    <w:rsid w:val="0CEC1180"/>
    <w:rsid w:val="1219256A"/>
    <w:rsid w:val="411E03D9"/>
    <w:rsid w:val="78DA6FB3"/>
    <w:rsid w:val="7D6934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uiPriority w:val="0"/>
    <w:rPr>
      <w:vertAlign w:val="superscript"/>
    </w:rPr>
  </w:style>
  <w:style w:type="paragraph" w:customStyle="1" w:styleId="11">
    <w:name w:val="Defaul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styleId="19">
    <w:name w:val="List Paragraph"/>
    <w:basedOn w:val="1"/>
    <w:unhideWhenUsed/>
    <w:qFormat/>
    <w:uiPriority w:val="99"/>
    <w:pPr>
      <w:ind w:firstLine="420" w:firstLineChars="200"/>
    </w:pPr>
  </w:style>
  <w:style w:type="paragraph" w:customStyle="1" w:styleId="20">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725</Words>
  <Characters>4133</Characters>
  <Lines>34</Lines>
  <Paragraphs>9</Paragraphs>
  <TotalTime>3</TotalTime>
  <ScaleCrop>false</ScaleCrop>
  <LinksUpToDate>false</LinksUpToDate>
  <CharactersWithSpaces>4849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111</cp:lastModifiedBy>
  <cp:lastPrinted>2018-01-30T06:12:00Z</cp:lastPrinted>
  <dcterms:modified xsi:type="dcterms:W3CDTF">2024-07-18T02:25:26Z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DF24B5B4798744A7B63BE6368E3C9895</vt:lpwstr>
  </property>
</Properties>
</file>