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bookmarkStart w:id="13" w:name="_GoBack"/>
      <w:r>
        <w:rPr>
          <w:rFonts w:hint="eastAsia" w:ascii="Times New Roman" w:hAnsi="Times New Roman" w:eastAsia="方正小标宋简体" w:cs="Times New Roman"/>
          <w:sz w:val="44"/>
          <w:szCs w:val="44"/>
        </w:rPr>
        <w:t>第六中学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13"/>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pStyle w:val="19"/>
        <w:widowControl/>
        <w:numPr>
          <w:ilvl w:val="0"/>
          <w:numId w:val="1"/>
        </w:numPr>
        <w:adjustRightInd w:val="0"/>
        <w:spacing w:line="579" w:lineRule="exact"/>
        <w:ind w:left="0"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正确</w:t>
      </w:r>
      <w:r>
        <w:rPr>
          <w:rFonts w:hint="eastAsia" w:ascii="仿宋_GB2312" w:eastAsia="仿宋_GB2312" w:cs="宋体" w:hAnsiTheme="majorEastAsia"/>
          <w:sz w:val="32"/>
          <w:szCs w:val="32"/>
        </w:rPr>
        <w:t>贯彻</w:t>
      </w:r>
      <w:r>
        <w:rPr>
          <w:rFonts w:hint="eastAsia" w:ascii="仿宋_GB2312" w:eastAsia="仿宋_GB2312" w:cs="___WRD_EMBED_SUB_38" w:hAnsiTheme="majorEastAsia"/>
          <w:sz w:val="32"/>
          <w:szCs w:val="32"/>
        </w:rPr>
        <w:t>执行</w:t>
      </w:r>
      <w:r>
        <w:rPr>
          <w:rFonts w:hint="eastAsia" w:ascii="仿宋_GB2312" w:eastAsia="仿宋_GB2312" w:cs="宋体" w:hAnsiTheme="majorEastAsia"/>
          <w:sz w:val="32"/>
          <w:szCs w:val="32"/>
        </w:rPr>
        <w:t>党</w:t>
      </w:r>
      <w:r>
        <w:rPr>
          <w:rFonts w:hint="eastAsia" w:ascii="仿宋_GB2312" w:eastAsia="仿宋_GB2312" w:cs="___WRD_EMBED_SUB_38" w:hAnsiTheme="majorEastAsia"/>
          <w:sz w:val="32"/>
          <w:szCs w:val="32"/>
        </w:rPr>
        <w:t>的教育方</w:t>
      </w:r>
      <w:r>
        <w:rPr>
          <w:rFonts w:hint="eastAsia" w:ascii="仿宋_GB2312" w:eastAsia="仿宋_GB2312" w:cs="宋体" w:hAnsiTheme="majorEastAsia"/>
          <w:sz w:val="32"/>
          <w:szCs w:val="32"/>
        </w:rPr>
        <w:t>针</w:t>
      </w:r>
      <w:r>
        <w:rPr>
          <w:rFonts w:hint="eastAsia" w:ascii="仿宋_GB2312" w:eastAsia="仿宋_GB2312" w:cs="___WRD_EMBED_SUB_38" w:hAnsiTheme="majorEastAsia"/>
          <w:sz w:val="32"/>
          <w:szCs w:val="32"/>
        </w:rPr>
        <w:t>、政</w:t>
      </w:r>
      <w:r>
        <w:rPr>
          <w:rFonts w:hint="eastAsia" w:ascii="仿宋_GB2312" w:eastAsia="仿宋_GB2312" w:cs="宋体" w:hAnsiTheme="majorEastAsia"/>
          <w:sz w:val="32"/>
          <w:szCs w:val="32"/>
        </w:rPr>
        <w:t>策</w:t>
      </w:r>
      <w:r>
        <w:rPr>
          <w:rFonts w:hint="eastAsia" w:ascii="仿宋_GB2312" w:eastAsia="仿宋_GB2312" w:cs="___WRD_EMBED_SUB_38" w:hAnsiTheme="majorEastAsia"/>
          <w:sz w:val="32"/>
          <w:szCs w:val="32"/>
        </w:rPr>
        <w:t>、法规。</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（二）维护学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的教学</w:t>
      </w:r>
      <w:r>
        <w:rPr>
          <w:rFonts w:hint="eastAsia" w:ascii="仿宋_GB2312" w:eastAsia="仿宋_GB2312" w:cs="宋体" w:hAnsiTheme="majorEastAsia"/>
          <w:sz w:val="32"/>
          <w:szCs w:val="32"/>
        </w:rPr>
        <w:t>秩序</w:t>
      </w:r>
      <w:r>
        <w:rPr>
          <w:rFonts w:hint="eastAsia" w:ascii="仿宋_GB2312" w:eastAsia="仿宋_GB2312" w:cs="___WRD_EMBED_SUB_38" w:hAnsiTheme="majorEastAsia"/>
          <w:sz w:val="32"/>
          <w:szCs w:val="32"/>
        </w:rPr>
        <w:t>，为学生</w:t>
      </w:r>
      <w:r>
        <w:rPr>
          <w:rFonts w:hint="eastAsia" w:ascii="仿宋_GB2312" w:eastAsia="仿宋_GB2312" w:cs="宋体" w:hAnsiTheme="majorEastAsia"/>
          <w:sz w:val="32"/>
          <w:szCs w:val="32"/>
        </w:rPr>
        <w:t>创造</w:t>
      </w:r>
      <w:r>
        <w:rPr>
          <w:rFonts w:hint="eastAsia" w:ascii="仿宋_GB2312" w:eastAsia="仿宋_GB2312" w:cs="___WRD_EMBED_SUB_38" w:hAnsiTheme="majorEastAsia"/>
          <w:sz w:val="32"/>
          <w:szCs w:val="32"/>
        </w:rPr>
        <w:t>良好的学</w:t>
      </w:r>
      <w:r>
        <w:rPr>
          <w:rFonts w:hint="eastAsia" w:ascii="仿宋_GB2312" w:eastAsia="仿宋_GB2312" w:cs="宋体" w:hAnsiTheme="majorEastAsia"/>
          <w:sz w:val="32"/>
          <w:szCs w:val="32"/>
        </w:rPr>
        <w:t>习环</w:t>
      </w:r>
      <w:r>
        <w:rPr>
          <w:rFonts w:hint="eastAsia" w:ascii="仿宋_GB2312" w:eastAsia="仿宋_GB2312" w:cs="___WRD_EMBED_SUB_38" w:hAnsiTheme="majorEastAsia"/>
          <w:sz w:val="32"/>
          <w:szCs w:val="32"/>
        </w:rPr>
        <w:t>境。</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（三）积</w:t>
      </w:r>
      <w:r>
        <w:rPr>
          <w:rFonts w:hint="eastAsia" w:ascii="仿宋_GB2312" w:eastAsia="仿宋_GB2312" w:cs="宋体" w:hAnsiTheme="majorEastAsia"/>
          <w:sz w:val="32"/>
          <w:szCs w:val="32"/>
        </w:rPr>
        <w:t>极稳妥地推</w:t>
      </w:r>
      <w:r>
        <w:rPr>
          <w:rFonts w:hint="eastAsia" w:ascii="仿宋_GB2312" w:eastAsia="仿宋_GB2312" w:cs="___WRD_EMBED_SUB_38" w:hAnsiTheme="majorEastAsia"/>
          <w:sz w:val="32"/>
          <w:szCs w:val="32"/>
        </w:rPr>
        <w:t>进教育改革，按教育规</w:t>
      </w:r>
      <w:r>
        <w:rPr>
          <w:rFonts w:hint="eastAsia" w:ascii="仿宋_GB2312" w:eastAsia="仿宋_GB2312" w:cs="宋体" w:hAnsiTheme="majorEastAsia"/>
          <w:sz w:val="32"/>
          <w:szCs w:val="32"/>
        </w:rPr>
        <w:t>律</w:t>
      </w:r>
      <w:r>
        <w:rPr>
          <w:rFonts w:hint="eastAsia" w:ascii="仿宋_GB2312" w:eastAsia="仿宋_GB2312" w:cs="___WRD_EMBED_SUB_38" w:hAnsiTheme="majorEastAsia"/>
          <w:sz w:val="32"/>
          <w:szCs w:val="32"/>
        </w:rPr>
        <w:t>办事，不</w:t>
      </w:r>
      <w:r>
        <w:rPr>
          <w:rFonts w:hint="eastAsia" w:ascii="仿宋_GB2312" w:eastAsia="仿宋_GB2312" w:cs="宋体" w:hAnsiTheme="majorEastAsia"/>
          <w:sz w:val="32"/>
          <w:szCs w:val="32"/>
        </w:rPr>
        <w:t>断</w:t>
      </w:r>
      <w:r>
        <w:rPr>
          <w:rFonts w:hint="eastAsia" w:ascii="仿宋_GB2312" w:eastAsia="仿宋_GB2312" w:cs="___WRD_EMBED_SUB_38" w:hAnsiTheme="majorEastAsia"/>
          <w:sz w:val="32"/>
          <w:szCs w:val="32"/>
        </w:rPr>
        <w:t>提</w:t>
      </w:r>
      <w:r>
        <w:rPr>
          <w:rFonts w:hint="eastAsia" w:ascii="仿宋_GB2312" w:eastAsia="仿宋_GB2312" w:cs="宋体" w:hAnsiTheme="majorEastAsia"/>
          <w:sz w:val="32"/>
          <w:szCs w:val="32"/>
        </w:rPr>
        <w:t>高</w:t>
      </w:r>
      <w:r>
        <w:rPr>
          <w:rFonts w:hint="eastAsia" w:ascii="仿宋_GB2312" w:eastAsia="仿宋_GB2312" w:cs="___WRD_EMBED_SUB_38" w:hAnsiTheme="majorEastAsia"/>
          <w:sz w:val="32"/>
          <w:szCs w:val="32"/>
        </w:rPr>
        <w:t>教育质量。</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（四）根据学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规</w:t>
      </w:r>
      <w:r>
        <w:rPr>
          <w:rFonts w:hint="eastAsia" w:ascii="仿宋_GB2312" w:eastAsia="仿宋_GB2312" w:cs="宋体" w:hAnsiTheme="majorEastAsia"/>
          <w:sz w:val="32"/>
          <w:szCs w:val="32"/>
        </w:rPr>
        <w:t>模</w:t>
      </w:r>
      <w:r>
        <w:rPr>
          <w:rFonts w:hint="eastAsia" w:ascii="仿宋_GB2312" w:eastAsia="仿宋_GB2312" w:cs="___WRD_EMBED_SUB_38" w:hAnsiTheme="majorEastAsia"/>
          <w:sz w:val="32"/>
          <w:szCs w:val="32"/>
        </w:rPr>
        <w:t>，设置学</w:t>
      </w:r>
      <w:r>
        <w:rPr>
          <w:rFonts w:hint="eastAsia" w:ascii="仿宋_GB2312" w:eastAsia="仿宋_GB2312" w:cs="宋体" w:hAnsiTheme="majorEastAsia"/>
          <w:sz w:val="32"/>
          <w:szCs w:val="32"/>
        </w:rPr>
        <w:t>校</w:t>
      </w:r>
      <w:r>
        <w:rPr>
          <w:rFonts w:hint="eastAsia" w:ascii="仿宋_GB2312" w:eastAsia="仿宋_GB2312" w:cs="___WRD_EMBED_SUB_38" w:hAnsiTheme="majorEastAsia"/>
          <w:sz w:val="32"/>
          <w:szCs w:val="32"/>
        </w:rPr>
        <w:t>管理机构，建立</w:t>
      </w:r>
      <w:r>
        <w:rPr>
          <w:rFonts w:hint="eastAsia" w:ascii="仿宋_GB2312" w:eastAsia="仿宋_GB2312" w:cs="宋体" w:hAnsiTheme="majorEastAsia"/>
          <w:sz w:val="32"/>
          <w:szCs w:val="32"/>
        </w:rPr>
        <w:t>健</w:t>
      </w:r>
      <w:r>
        <w:rPr>
          <w:rFonts w:hint="eastAsia" w:ascii="仿宋_GB2312" w:eastAsia="仿宋_GB2312" w:cs="___WRD_EMBED_SUB_38" w:hAnsiTheme="majorEastAsia"/>
          <w:sz w:val="32"/>
          <w:szCs w:val="32"/>
        </w:rPr>
        <w:t>全各项规</w:t>
      </w:r>
      <w:r>
        <w:rPr>
          <w:rFonts w:hint="eastAsia" w:ascii="仿宋_GB2312" w:eastAsia="仿宋_GB2312" w:cs="宋体" w:hAnsiTheme="majorEastAsia"/>
          <w:sz w:val="32"/>
          <w:szCs w:val="32"/>
        </w:rPr>
        <w:t>章</w:t>
      </w:r>
      <w:r>
        <w:rPr>
          <w:rFonts w:hint="eastAsia" w:ascii="仿宋_GB2312" w:eastAsia="仿宋_GB2312" w:cs="___WRD_EMBED_SUB_38" w:hAnsiTheme="majorEastAsia"/>
          <w:sz w:val="32"/>
          <w:szCs w:val="32"/>
        </w:rPr>
        <w:t>制度和</w:t>
      </w:r>
      <w:r>
        <w:rPr>
          <w:rFonts w:hint="eastAsia" w:ascii="仿宋_GB2312" w:eastAsia="仿宋_GB2312" w:cs="宋体" w:hAnsiTheme="majorEastAsia"/>
          <w:sz w:val="32"/>
          <w:szCs w:val="32"/>
        </w:rPr>
        <w:t>岗</w:t>
      </w:r>
      <w:r>
        <w:rPr>
          <w:rFonts w:hint="eastAsia" w:ascii="仿宋_GB2312" w:eastAsia="仿宋_GB2312" w:cs="___WRD_EMBED_SUB_38" w:hAnsiTheme="majorEastAsia"/>
          <w:sz w:val="32"/>
          <w:szCs w:val="32"/>
        </w:rPr>
        <w:t>位责任制。</w:t>
      </w:r>
    </w:p>
    <w:p>
      <w:pPr>
        <w:pStyle w:val="19"/>
        <w:widowControl/>
        <w:adjustRightInd w:val="0"/>
        <w:snapToGrid w:val="0"/>
        <w:spacing w:line="579" w:lineRule="exact"/>
        <w:ind w:firstLine="640"/>
        <w:rPr>
          <w:rFonts w:hint="eastAsia" w:ascii="仿宋_GB2312" w:eastAsia="仿宋_GB2312" w:hAnsiTheme="majorEastAsia"/>
          <w:sz w:val="32"/>
          <w:szCs w:val="32"/>
        </w:rPr>
      </w:pPr>
      <w:r>
        <w:rPr>
          <w:rFonts w:hint="eastAsia" w:ascii="仿宋_GB2312" w:eastAsia="仿宋_GB2312" w:hAnsiTheme="majorEastAsia"/>
          <w:sz w:val="32"/>
          <w:szCs w:val="32"/>
        </w:rPr>
        <w:t>（五）坚持教书育人，服务育人，环境育人方针，加强对学生的思想品德教育，使学生的德智体美劳全面发展。</w:t>
      </w:r>
    </w:p>
    <w:p>
      <w:pPr>
        <w:pStyle w:val="19"/>
        <w:widowControl/>
        <w:adjustRightInd w:val="0"/>
        <w:spacing w:line="579" w:lineRule="exact"/>
        <w:ind w:firstLine="640"/>
        <w:jc w:val="left"/>
        <w:rPr>
          <w:rFonts w:hint="eastAsia" w:ascii="仿宋_GB2312" w:eastAsia="仿宋_GB2312" w:hAnsiTheme="majorEastAsia"/>
          <w:sz w:val="32"/>
          <w:szCs w:val="32"/>
        </w:rPr>
      </w:pPr>
      <w:r>
        <w:rPr>
          <w:rFonts w:hint="eastAsia" w:ascii="仿宋_GB2312" w:eastAsia="仿宋_GB2312" w:hAnsiTheme="majorEastAsia"/>
          <w:sz w:val="32"/>
          <w:szCs w:val="32"/>
        </w:rPr>
        <w:t>（六）</w:t>
      </w:r>
      <w:r>
        <w:rPr>
          <w:rFonts w:hint="eastAsia" w:ascii="仿宋_GB2312" w:eastAsia="仿宋_GB2312" w:cs="宋体" w:hAnsiTheme="majorEastAsia"/>
          <w:sz w:val="32"/>
          <w:szCs w:val="32"/>
        </w:rPr>
        <w:t>抓</w:t>
      </w:r>
      <w:r>
        <w:rPr>
          <w:rFonts w:hint="eastAsia" w:ascii="仿宋_GB2312" w:eastAsia="仿宋_GB2312" w:cs="___WRD_EMBED_SUB_38" w:hAnsiTheme="majorEastAsia"/>
          <w:sz w:val="32"/>
          <w:szCs w:val="32"/>
        </w:rPr>
        <w:t>好教</w:t>
      </w:r>
      <w:r>
        <w:rPr>
          <w:rFonts w:hint="eastAsia" w:ascii="仿宋_GB2312" w:eastAsia="仿宋_GB2312" w:cs="宋体" w:hAnsiTheme="majorEastAsia"/>
          <w:sz w:val="32"/>
          <w:szCs w:val="32"/>
        </w:rPr>
        <w:t>师队伍</w:t>
      </w:r>
      <w:r>
        <w:rPr>
          <w:rFonts w:hint="eastAsia" w:ascii="仿宋_GB2312" w:eastAsia="仿宋_GB2312" w:cs="___WRD_EMBED_SUB_38" w:hAnsiTheme="majorEastAsia"/>
          <w:sz w:val="32"/>
          <w:szCs w:val="32"/>
        </w:rPr>
        <w:t>建设，使</w:t>
      </w:r>
      <w:r>
        <w:rPr>
          <w:rFonts w:hint="eastAsia" w:ascii="仿宋_GB2312" w:eastAsia="仿宋_GB2312" w:cs="宋体" w:hAnsiTheme="majorEastAsia"/>
          <w:sz w:val="32"/>
          <w:szCs w:val="32"/>
        </w:rPr>
        <w:t>每</w:t>
      </w:r>
      <w:r>
        <w:rPr>
          <w:rFonts w:hint="eastAsia" w:ascii="仿宋_GB2312" w:eastAsia="仿宋_GB2312" w:cs="___WRD_EMBED_SUB_38" w:hAnsiTheme="majorEastAsia"/>
          <w:sz w:val="32"/>
          <w:szCs w:val="32"/>
        </w:rPr>
        <w:t>个教</w:t>
      </w:r>
      <w:r>
        <w:rPr>
          <w:rFonts w:hint="eastAsia" w:ascii="仿宋_GB2312" w:eastAsia="仿宋_GB2312" w:cs="宋体" w:hAnsiTheme="majorEastAsia"/>
          <w:sz w:val="32"/>
          <w:szCs w:val="32"/>
        </w:rPr>
        <w:t>师都热心</w:t>
      </w:r>
      <w:r>
        <w:rPr>
          <w:rFonts w:hint="eastAsia" w:ascii="仿宋_GB2312" w:eastAsia="仿宋_GB2312" w:cs="___WRD_EMBED_SUB_38" w:hAnsiTheme="majorEastAsia"/>
          <w:sz w:val="32"/>
          <w:szCs w:val="32"/>
        </w:rPr>
        <w:t>于教育事业。</w:t>
      </w:r>
    </w:p>
    <w:p>
      <w:pPr>
        <w:pStyle w:val="19"/>
        <w:adjustRightInd w:val="0"/>
        <w:spacing w:line="579" w:lineRule="exact"/>
        <w:ind w:firstLine="640"/>
        <w:rPr>
          <w:rFonts w:hint="eastAsia" w:ascii="仿宋_GB2312" w:hAnsi="Times New Roman" w:eastAsia="仿宋_GB2312" w:cs="Times New Roman"/>
          <w:sz w:val="32"/>
          <w:szCs w:val="32"/>
        </w:rPr>
      </w:pPr>
      <w:r>
        <w:rPr>
          <w:rFonts w:hint="eastAsia" w:ascii="仿宋_GB2312" w:eastAsia="仿宋_GB2312" w:hAnsiTheme="majorEastAsia"/>
          <w:sz w:val="32"/>
          <w:szCs w:val="32"/>
        </w:rPr>
        <w:t>（七）</w:t>
      </w:r>
      <w:r>
        <w:rPr>
          <w:rFonts w:hint="eastAsia" w:ascii="仿宋_GB2312" w:eastAsia="仿宋_GB2312" w:cs="宋体" w:hAnsiTheme="majorEastAsia"/>
          <w:sz w:val="32"/>
          <w:szCs w:val="32"/>
        </w:rPr>
        <w:t>做</w:t>
      </w:r>
      <w:r>
        <w:rPr>
          <w:rFonts w:hint="eastAsia" w:ascii="仿宋_GB2312" w:eastAsia="仿宋_GB2312" w:cs="___WRD_EMBED_SUB_38" w:hAnsiTheme="majorEastAsia"/>
          <w:sz w:val="32"/>
          <w:szCs w:val="32"/>
        </w:rPr>
        <w:t>好安全</w:t>
      </w:r>
      <w:r>
        <w:rPr>
          <w:rFonts w:hint="eastAsia" w:ascii="仿宋_GB2312" w:eastAsia="仿宋_GB2312" w:cs="宋体" w:hAnsiTheme="majorEastAsia"/>
          <w:sz w:val="32"/>
          <w:szCs w:val="32"/>
        </w:rPr>
        <w:t>防</w:t>
      </w:r>
      <w:r>
        <w:rPr>
          <w:rFonts w:hint="eastAsia" w:ascii="仿宋_GB2312" w:eastAsia="仿宋_GB2312" w:cs="___WRD_EMBED_SUB_38" w:hAnsiTheme="majorEastAsia"/>
          <w:sz w:val="32"/>
          <w:szCs w:val="32"/>
        </w:rPr>
        <w:t>范，保证学生的人</w:t>
      </w:r>
      <w:r>
        <w:rPr>
          <w:rFonts w:hint="eastAsia" w:ascii="仿宋_GB2312" w:eastAsia="仿宋_GB2312" w:cs="宋体" w:hAnsiTheme="majorEastAsia"/>
          <w:sz w:val="32"/>
          <w:szCs w:val="32"/>
        </w:rPr>
        <w:t>身</w:t>
      </w:r>
      <w:r>
        <w:rPr>
          <w:rFonts w:hint="eastAsia" w:ascii="仿宋_GB2312" w:eastAsia="仿宋_GB2312" w:cs="___WRD_EMBED_SUB_38" w:hAnsiTheme="majorEastAsia"/>
          <w:sz w:val="32"/>
          <w:szCs w:val="32"/>
        </w:rPr>
        <w:t>安全</w:t>
      </w:r>
      <w:r>
        <w:rPr>
          <w:rFonts w:hint="eastAsia" w:ascii="仿宋_GB2312" w:eastAsia="仿宋_GB2312" w:hAnsiTheme="majorEastAsia"/>
          <w:sz w:val="32"/>
          <w:szCs w:val="32"/>
        </w:rPr>
        <w:t>。</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711"/>
        <w:gridCol w:w="1559"/>
        <w:gridCol w:w="1276"/>
        <w:gridCol w:w="32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711"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209"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711" w:type="dxa"/>
            <w:vMerge w:val="continue"/>
            <w:shd w:val="clear" w:color="auto" w:fill="auto"/>
            <w:vAlign w:val="center"/>
          </w:tcPr>
          <w:p>
            <w:pPr>
              <w:spacing w:line="579" w:lineRule="exact"/>
            </w:pPr>
          </w:p>
        </w:tc>
        <w:tc>
          <w:tcPr>
            <w:tcW w:w="1559"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3209"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廊坊市第六中学</w:t>
            </w:r>
          </w:p>
        </w:tc>
        <w:tc>
          <w:tcPr>
            <w:tcW w:w="155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事业单位</w:t>
            </w:r>
          </w:p>
        </w:tc>
        <w:tc>
          <w:tcPr>
            <w:tcW w:w="1276" w:type="dxa"/>
            <w:shd w:val="clear" w:color="auto" w:fill="auto"/>
            <w:vAlign w:val="center"/>
          </w:tcPr>
          <w:p>
            <w:pPr>
              <w:spacing w:line="579"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3209" w:type="dxa"/>
            <w:shd w:val="clear" w:color="auto" w:fill="auto"/>
            <w:vAlign w:val="center"/>
          </w:tcPr>
          <w:p>
            <w:pPr>
              <w:spacing w:line="579"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209" w:type="dxa"/>
            <w:shd w:val="clear" w:color="auto" w:fill="auto"/>
            <w:vAlign w:val="center"/>
          </w:tcPr>
          <w:p>
            <w:pPr>
              <w:spacing w:line="579"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711" w:type="dxa"/>
            <w:shd w:val="clear" w:color="auto" w:fill="auto"/>
            <w:vAlign w:val="center"/>
          </w:tcPr>
          <w:p>
            <w:pPr>
              <w:spacing w:line="579" w:lineRule="exact"/>
              <w:jc w:val="left"/>
              <w:rPr>
                <w:rFonts w:ascii="Times New Roman" w:hAnsi="Times New Roman" w:eastAsia="仿宋_GB2312" w:cs="Times New Roman"/>
              </w:rPr>
            </w:pPr>
          </w:p>
        </w:tc>
        <w:tc>
          <w:tcPr>
            <w:tcW w:w="1559" w:type="dxa"/>
            <w:shd w:val="clear" w:color="auto" w:fill="auto"/>
            <w:vAlign w:val="center"/>
          </w:tcPr>
          <w:p>
            <w:pPr>
              <w:spacing w:line="579" w:lineRule="exact"/>
              <w:jc w:val="center"/>
              <w:rPr>
                <w:rFonts w:ascii="Times New Roman" w:hAnsi="Times New Roman" w:eastAsia="仿宋_GB2312" w:cs="Times New Roman"/>
              </w:rPr>
            </w:pPr>
          </w:p>
        </w:tc>
        <w:tc>
          <w:tcPr>
            <w:tcW w:w="1276" w:type="dxa"/>
            <w:shd w:val="clear" w:color="auto" w:fill="auto"/>
            <w:vAlign w:val="center"/>
          </w:tcPr>
          <w:p>
            <w:pPr>
              <w:spacing w:line="579" w:lineRule="exact"/>
              <w:jc w:val="center"/>
              <w:rPr>
                <w:rFonts w:ascii="Times New Roman" w:hAnsi="Times New Roman" w:eastAsia="仿宋_GB2312" w:cs="Times New Roman"/>
              </w:rPr>
            </w:pPr>
          </w:p>
        </w:tc>
        <w:tc>
          <w:tcPr>
            <w:tcW w:w="3209" w:type="dxa"/>
            <w:shd w:val="clear" w:color="auto" w:fill="auto"/>
            <w:vAlign w:val="center"/>
          </w:tcPr>
          <w:p>
            <w:pPr>
              <w:spacing w:line="579" w:lineRule="exact"/>
              <w:jc w:val="center"/>
              <w:rPr>
                <w:rFonts w:ascii="Times New Roman" w:hAnsi="Times New Roman" w:eastAsia="仿宋_GB2312" w:cs="Times New Roman"/>
              </w:rPr>
            </w:pP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3.33万元</w:t>
      </w:r>
      <w:r>
        <w:rPr>
          <w:rFonts w:ascii="Times New Roman" w:hAnsi="Times New Roman" w:eastAsia="仿宋_GB2312" w:cs="Times New Roman"/>
          <w:sz w:val="32"/>
          <w:szCs w:val="32"/>
        </w:rPr>
        <w:t>（有则写，无则填0万元）。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第六中学2022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4966.7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2718.42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2683.23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35.19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2248.28</w:t>
      </w:r>
      <w:r>
        <w:rPr>
          <w:rFonts w:ascii="Times New Roman" w:hAnsi="Times New Roman" w:eastAsia="仿宋_GB2312" w:cs="Times New Roman"/>
          <w:sz w:val="32"/>
          <w:szCs w:val="32"/>
        </w:rPr>
        <w:t>万元。</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4963.37</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1680.73</w:t>
      </w:r>
      <w:r>
        <w:rPr>
          <w:rFonts w:ascii="Times New Roman" w:hAnsi="Times New Roman" w:eastAsia="仿宋_GB2312" w:cs="Times New Roman"/>
          <w:sz w:val="32"/>
          <w:szCs w:val="32"/>
        </w:rPr>
        <w:t>万元，其中：基本支出减少</w:t>
      </w:r>
      <w:r>
        <w:rPr>
          <w:rFonts w:hint="eastAsia" w:ascii="Times New Roman" w:hAnsi="Times New Roman" w:eastAsia="仿宋_GB2312" w:cs="Times New Roman"/>
          <w:sz w:val="32"/>
          <w:szCs w:val="32"/>
        </w:rPr>
        <w:t>205.59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人员支出减少</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1889.65</w:t>
      </w:r>
      <w:r>
        <w:rPr>
          <w:rFonts w:ascii="Times New Roman" w:hAnsi="Times New Roman" w:eastAsia="仿宋_GB2312" w:cs="Times New Roman"/>
          <w:sz w:val="32"/>
          <w:szCs w:val="32"/>
        </w:rPr>
        <w:t>万元，主要为生均公用经费项目支出。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2年，我单位机关运行经费共计安排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numPr>
          <w:ilvl w:val="0"/>
          <w:numId w:val="2"/>
        </w:num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keepNext w:val="0"/>
        <w:keepLines w:val="0"/>
        <w:pageBreakBefore w:val="0"/>
        <w:widowControl w:val="0"/>
        <w:kinsoku/>
        <w:wordWrap/>
        <w:overflowPunct/>
        <w:topLinePunct w:val="0"/>
        <w:autoSpaceDE/>
        <w:autoSpaceDN/>
        <w:bidi w:val="0"/>
        <w:adjustRightInd/>
        <w:snapToGrid/>
        <w:spacing w:line="584" w:lineRule="exact"/>
        <w:ind w:firstLine="640" w:firstLineChars="200"/>
        <w:textAlignment w:val="auto"/>
        <w:rPr>
          <w:rFonts w:ascii="Times New Roman" w:hAnsi="Times New Roman" w:eastAsia="黑体" w:cs="Times New Roman"/>
          <w:sz w:val="32"/>
          <w:szCs w:val="32"/>
        </w:rPr>
      </w:pPr>
      <w:bookmarkStart w:id="0" w:name="_Toc_2_2_0000000001"/>
      <w:r>
        <w:rPr>
          <w:rFonts w:hint="eastAsia" w:ascii="Times New Roman" w:hAnsi="Times New Roman" w:eastAsia="黑体" w:cs="Times New Roman"/>
          <w:sz w:val="32"/>
          <w:szCs w:val="32"/>
        </w:rPr>
        <w:t>第一部分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部门整体绩效目标</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r>
        <w:rPr>
          <w:rFonts w:hint="eastAsia" w:ascii="楷体" w:hAnsi="楷体" w:eastAsia="楷体" w:cs="楷体"/>
          <w:b/>
          <w:bCs/>
          <w:color w:val="000000"/>
          <w:sz w:val="32"/>
          <w:szCs w:val="32"/>
          <w:lang w:eastAsia="zh-CN"/>
        </w:rPr>
        <w:t>（一）</w:t>
      </w:r>
      <w:r>
        <w:rPr>
          <w:rFonts w:hint="eastAsia" w:ascii="楷体" w:hAnsi="楷体" w:eastAsia="楷体" w:cs="楷体"/>
          <w:b/>
          <w:bCs/>
          <w:color w:val="000000"/>
          <w:sz w:val="32"/>
          <w:szCs w:val="32"/>
        </w:rPr>
        <w:t>总体绩效目标</w:t>
      </w:r>
      <w:bookmarkEnd w:id="0"/>
    </w:p>
    <w:p>
      <w:pPr>
        <w:pStyle w:val="20"/>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bookmarkStart w:id="1" w:name="_Toc_2_2_0000000002"/>
      <w:r>
        <w:rPr>
          <w:rFonts w:hint="eastAsia" w:ascii="楷体" w:hAnsi="楷体" w:eastAsia="楷体" w:cs="楷体"/>
          <w:b/>
          <w:bCs/>
          <w:color w:val="000000"/>
          <w:sz w:val="32"/>
          <w:szCs w:val="32"/>
          <w:lang w:eastAsia="zh-CN"/>
        </w:rPr>
        <w:t>（二）</w:t>
      </w:r>
      <w:r>
        <w:rPr>
          <w:rFonts w:hint="eastAsia" w:ascii="楷体" w:hAnsi="楷体" w:eastAsia="楷体" w:cs="楷体"/>
          <w:b/>
          <w:bCs/>
          <w:color w:val="000000"/>
          <w:sz w:val="32"/>
          <w:szCs w:val="32"/>
        </w:rPr>
        <w:t>分项绩效目标</w:t>
      </w:r>
      <w:bookmarkEnd w:id="1"/>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1、提高义务教育水平，免除城市区中小学生学杂费，提供免费教科书，解决大班额问题及入学难问题。对贫困中小学生进行补助。</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2、按质按量完成教育教学方面的各项任务，稳步提升学校的教育教学质量，学生综合素质评价优秀率达到85%,合格率达到100%。</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4、提升学校基础设施设备的整体水平。加强学校基础设施设备的维护,确保校园安全,落实校园防火及其他安全隐患的预防工作。确保校园各设施设备的正常运行。</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6、学校的文化宣传整体布局,建成学校校史馆,完成各班级、各科室及教师办公室的文化宣传布置。加大学校办学理念、目标的宣传,形成具有特色的校园文化氛围。</w:t>
      </w:r>
    </w:p>
    <w:p>
      <w:pPr>
        <w:pStyle w:val="21"/>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7、办人民满意的学校,教师、学生、家长整体满意度达到90%以上。</w:t>
      </w:r>
    </w:p>
    <w:p>
      <w:pPr>
        <w:keepNext w:val="0"/>
        <w:keepLines w:val="0"/>
        <w:pageBreakBefore w:val="0"/>
        <w:widowControl w:val="0"/>
        <w:kinsoku/>
        <w:wordWrap/>
        <w:overflowPunct/>
        <w:topLinePunct w:val="0"/>
        <w:autoSpaceDE/>
        <w:autoSpaceDN/>
        <w:bidi w:val="0"/>
        <w:adjustRightInd/>
        <w:snapToGrid/>
        <w:spacing w:before="10" w:after="10" w:line="584" w:lineRule="exact"/>
        <w:ind w:firstLine="560"/>
        <w:jc w:val="left"/>
        <w:textAlignment w:val="auto"/>
        <w:outlineLvl w:val="1"/>
        <w:rPr>
          <w:rFonts w:hint="eastAsia" w:ascii="楷体" w:hAnsi="楷体" w:eastAsia="楷体" w:cs="楷体"/>
          <w:b/>
          <w:bCs/>
          <w:sz w:val="32"/>
          <w:szCs w:val="32"/>
        </w:rPr>
      </w:pPr>
      <w:bookmarkStart w:id="2" w:name="_Toc_2_2_0000000003"/>
      <w:r>
        <w:rPr>
          <w:rFonts w:hint="eastAsia" w:ascii="楷体" w:hAnsi="楷体" w:eastAsia="楷体" w:cs="楷体"/>
          <w:b/>
          <w:bCs/>
          <w:color w:val="000000"/>
          <w:sz w:val="32"/>
          <w:szCs w:val="32"/>
          <w:lang w:eastAsia="zh-CN"/>
        </w:rPr>
        <w:t>（三）</w:t>
      </w:r>
      <w:r>
        <w:rPr>
          <w:rFonts w:hint="eastAsia" w:ascii="楷体" w:hAnsi="楷体" w:eastAsia="楷体" w:cs="楷体"/>
          <w:b/>
          <w:bCs/>
          <w:color w:val="000000"/>
          <w:sz w:val="32"/>
          <w:szCs w:val="32"/>
        </w:rPr>
        <w:t>工作保障措施</w:t>
      </w:r>
      <w:bookmarkEnd w:id="2"/>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1、成立学校监督小组，监督学校工作，强化工作落实。</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、加强政治理论学习，强化党风廉政建设。做好师德传承活动，落实老中青传帮带。弘扬办学精神。加强师德宣传与学习活动。开展形式多样、扎实有效的师德教育活动。</w:t>
      </w:r>
    </w:p>
    <w:p>
      <w:pPr>
        <w:pStyle w:val="22"/>
        <w:keepNext w:val="0"/>
        <w:keepLines w:val="0"/>
        <w:pageBreakBefore w:val="0"/>
        <w:widowControl w:val="0"/>
        <w:kinsoku/>
        <w:wordWrap/>
        <w:overflowPunct/>
        <w:topLinePunct w:val="0"/>
        <w:autoSpaceDE/>
        <w:autoSpaceDN/>
        <w:bidi w:val="0"/>
        <w:adjustRightInd/>
        <w:snapToGrid/>
        <w:spacing w:line="584"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逐步制订、完善相关制度，规范教师师德。加强校本培训和继续教育工作，提升教师能力。落实教师评价工作，完善考核机制。搭建教师发展平台。</w:t>
      </w:r>
    </w:p>
    <w:p>
      <w:pPr>
        <w:overflowPunct w:val="0"/>
        <w:adjustRightInd w:val="0"/>
        <w:snapToGrid w:val="0"/>
        <w:spacing w:afterLines="50" w:line="579"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1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632"/>
        <w:gridCol w:w="708"/>
        <w:gridCol w:w="1912"/>
        <w:gridCol w:w="2633"/>
        <w:gridCol w:w="2551"/>
        <w:gridCol w:w="567"/>
        <w:gridCol w:w="567"/>
        <w:gridCol w:w="731"/>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63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一级指标</w:t>
            </w:r>
          </w:p>
        </w:tc>
        <w:tc>
          <w:tcPr>
            <w:tcW w:w="70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二级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191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三级</w:t>
            </w:r>
          </w:p>
          <w:p>
            <w:pPr>
              <w:widowControl/>
              <w:adjustRightInd w:val="0"/>
              <w:snapToGrid w:val="0"/>
              <w:spacing w:line="240" w:lineRule="auto"/>
              <w:jc w:val="center"/>
              <w:rPr>
                <w:rFonts w:ascii="方正书宋_GBK" w:eastAsia="方正书宋_GBK"/>
                <w:b/>
              </w:rPr>
            </w:pPr>
            <w:r>
              <w:rPr>
                <w:rFonts w:ascii="方正书宋_GBK" w:eastAsia="方正书宋_GBK"/>
                <w:b/>
              </w:rPr>
              <w:t>指标</w:t>
            </w:r>
          </w:p>
        </w:tc>
        <w:tc>
          <w:tcPr>
            <w:tcW w:w="2633"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评（扣）分标准</w:t>
            </w:r>
          </w:p>
        </w:tc>
        <w:tc>
          <w:tcPr>
            <w:tcW w:w="2551"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绩效指标</w:t>
            </w:r>
          </w:p>
          <w:p>
            <w:pPr>
              <w:widowControl/>
              <w:adjustRightInd w:val="0"/>
              <w:snapToGrid w:val="0"/>
              <w:spacing w:line="240" w:lineRule="auto"/>
              <w:jc w:val="center"/>
              <w:rPr>
                <w:rFonts w:ascii="方正书宋_GBK" w:eastAsia="方正书宋_GBK"/>
                <w:b/>
              </w:rPr>
            </w:pPr>
            <w:r>
              <w:rPr>
                <w:rFonts w:ascii="方正书宋_GBK" w:eastAsia="方正书宋_GBK"/>
                <w:b/>
              </w:rPr>
              <w:t>描述</w:t>
            </w:r>
          </w:p>
        </w:tc>
        <w:tc>
          <w:tcPr>
            <w:tcW w:w="1865" w:type="dxa"/>
            <w:gridSpan w:val="3"/>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tc>
        <w:tc>
          <w:tcPr>
            <w:tcW w:w="1680" w:type="dxa"/>
            <w:vMerge w:val="restart"/>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指标值</w:t>
            </w:r>
          </w:p>
          <w:p>
            <w:pPr>
              <w:widowControl/>
              <w:adjustRightInd w:val="0"/>
              <w:snapToGrid w:val="0"/>
              <w:spacing w:line="240" w:lineRule="auto"/>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632" w:type="dxa"/>
            <w:vMerge w:val="continue"/>
            <w:tcBorders>
              <w:tl2br w:val="nil"/>
              <w:tr2bl w:val="nil"/>
            </w:tcBorders>
            <w:vAlign w:val="center"/>
          </w:tcPr>
          <w:p>
            <w:pPr>
              <w:spacing w:line="240" w:lineRule="auto"/>
            </w:pPr>
          </w:p>
        </w:tc>
        <w:tc>
          <w:tcPr>
            <w:tcW w:w="708" w:type="dxa"/>
            <w:vMerge w:val="continue"/>
            <w:tcBorders>
              <w:tl2br w:val="nil"/>
              <w:tr2bl w:val="nil"/>
            </w:tcBorders>
            <w:vAlign w:val="center"/>
          </w:tcPr>
          <w:p>
            <w:pPr>
              <w:spacing w:line="240" w:lineRule="auto"/>
            </w:pPr>
          </w:p>
        </w:tc>
        <w:tc>
          <w:tcPr>
            <w:tcW w:w="1912" w:type="dxa"/>
            <w:vMerge w:val="continue"/>
            <w:tcBorders>
              <w:tl2br w:val="nil"/>
              <w:tr2bl w:val="nil"/>
            </w:tcBorders>
            <w:vAlign w:val="center"/>
          </w:tcPr>
          <w:p>
            <w:pPr>
              <w:spacing w:line="240" w:lineRule="auto"/>
            </w:pPr>
          </w:p>
        </w:tc>
        <w:tc>
          <w:tcPr>
            <w:tcW w:w="2633" w:type="dxa"/>
            <w:vMerge w:val="continue"/>
            <w:tcBorders>
              <w:tl2br w:val="nil"/>
              <w:tr2bl w:val="nil"/>
            </w:tcBorders>
            <w:vAlign w:val="center"/>
          </w:tcPr>
          <w:p>
            <w:pPr>
              <w:spacing w:line="240" w:lineRule="auto"/>
            </w:pPr>
          </w:p>
        </w:tc>
        <w:tc>
          <w:tcPr>
            <w:tcW w:w="2551" w:type="dxa"/>
            <w:vMerge w:val="continue"/>
            <w:tcBorders>
              <w:tl2br w:val="nil"/>
              <w:tr2bl w:val="nil"/>
            </w:tcBorders>
            <w:vAlign w:val="center"/>
          </w:tcPr>
          <w:p>
            <w:pPr>
              <w:spacing w:line="240" w:lineRule="auto"/>
            </w:pP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符号</w:t>
            </w:r>
          </w:p>
        </w:tc>
        <w:tc>
          <w:tcPr>
            <w:tcW w:w="567"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值</w:t>
            </w:r>
          </w:p>
        </w:tc>
        <w:tc>
          <w:tcPr>
            <w:tcW w:w="731" w:type="dxa"/>
            <w:tcBorders>
              <w:tl2br w:val="nil"/>
              <w:tr2bl w:val="nil"/>
            </w:tcBorders>
            <w:vAlign w:val="center"/>
          </w:tcPr>
          <w:p>
            <w:pPr>
              <w:widowControl/>
              <w:adjustRightInd w:val="0"/>
              <w:snapToGrid w:val="0"/>
              <w:spacing w:line="240" w:lineRule="auto"/>
              <w:jc w:val="center"/>
              <w:rPr>
                <w:rFonts w:ascii="方正书宋_GBK" w:eastAsia="方正书宋_GBK"/>
                <w:b/>
              </w:rPr>
            </w:pPr>
            <w:r>
              <w:rPr>
                <w:rFonts w:ascii="方正书宋_GBK" w:eastAsia="方正书宋_GBK"/>
                <w:b/>
              </w:rPr>
              <w:t>单位</w:t>
            </w:r>
          </w:p>
        </w:tc>
        <w:tc>
          <w:tcPr>
            <w:tcW w:w="1680" w:type="dxa"/>
            <w:vMerge w:val="continue"/>
            <w:tcBorders>
              <w:tl2br w:val="nil"/>
              <w:tr2bl w:val="nil"/>
            </w:tcBorders>
            <w:vAlign w:val="center"/>
          </w:tcPr>
          <w:p>
            <w:pPr>
              <w:spacing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632"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部门产出</w:t>
            </w:r>
          </w:p>
        </w:tc>
        <w:tc>
          <w:tcPr>
            <w:tcW w:w="708" w:type="dxa"/>
            <w:vMerge w:val="restart"/>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数量</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20分毕业生合格率100</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初中生毕业生合格率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rPr>
            </w:pPr>
            <w:r>
              <w:rPr>
                <w:rFonts w:hint="eastAsia" w:ascii="仿宋_GB2312" w:hAnsi="仿宋_GB2312" w:eastAsia="仿宋_GB2312" w:cs="仿宋_GB2312"/>
                <w:lang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07" w:hRule="atLeast"/>
          <w:jc w:val="center"/>
        </w:trPr>
        <w:tc>
          <w:tcPr>
            <w:tcW w:w="632"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708" w:type="dxa"/>
            <w:vMerge w:val="continue"/>
            <w:tcBorders>
              <w:tl2br w:val="nil"/>
              <w:tr2bl w:val="nil"/>
            </w:tcBorders>
            <w:vAlign w:val="center"/>
          </w:tcPr>
          <w:p>
            <w:pPr>
              <w:widowControl/>
              <w:adjustRightInd w:val="0"/>
              <w:snapToGrid w:val="0"/>
              <w:spacing w:line="240" w:lineRule="auto"/>
              <w:jc w:val="center"/>
              <w:rPr>
                <w:rFonts w:ascii="方正书宋_GBK" w:eastAsia="方正书宋_GBK"/>
              </w:rPr>
            </w:pPr>
          </w:p>
        </w:tc>
        <w:tc>
          <w:tcPr>
            <w:tcW w:w="1912"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10分不低于95%得满分，否则不得分5每减少1%</w:t>
            </w:r>
          </w:p>
        </w:tc>
        <w:tc>
          <w:tcPr>
            <w:tcW w:w="2551"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lang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质量</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2633" w:type="dxa"/>
            <w:tcBorders>
              <w:tl2br w:val="nil"/>
              <w:tr2bl w:val="nil"/>
            </w:tcBorders>
            <w:vAlign w:val="center"/>
          </w:tcPr>
          <w:p>
            <w:pPr>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20分合格率100%得满分，否则不得分</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采购物资、建设工程合格率</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textAlignment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时效</w:t>
            </w:r>
          </w:p>
        </w:tc>
        <w:tc>
          <w:tcPr>
            <w:tcW w:w="1912"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2633"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10分及时完成得满分，否则不得分</w:t>
            </w:r>
          </w:p>
        </w:tc>
        <w:tc>
          <w:tcPr>
            <w:tcW w:w="2551" w:type="dxa"/>
            <w:tcBorders>
              <w:tl2br w:val="nil"/>
              <w:tr2bl w:val="nil"/>
            </w:tcBorders>
            <w:vAlign w:val="center"/>
          </w:tcPr>
          <w:p>
            <w:pPr>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学校的各项工作任务及时完成情况</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67" w:type="dxa"/>
            <w:tcBorders>
              <w:tl2br w:val="nil"/>
              <w:tr2bl w:val="nil"/>
            </w:tcBorders>
            <w:vAlign w:val="center"/>
          </w:tcPr>
          <w:p>
            <w:pPr>
              <w:widowControl/>
              <w:adjustRightInd w:val="0"/>
              <w:snapToGrid w:val="0"/>
              <w:spacing w:line="240" w:lineRule="auto"/>
              <w:jc w:val="both"/>
              <w:rPr>
                <w:rFonts w:hint="eastAsia" w:ascii="仿宋_GB2312" w:hAnsi="仿宋_GB2312" w:eastAsia="仿宋_GB2312" w:cs="仿宋_GB2312"/>
                <w:lang w:val="en-US" w:eastAsia="zh-CN"/>
              </w:rPr>
            </w:pPr>
          </w:p>
        </w:tc>
        <w:tc>
          <w:tcPr>
            <w:tcW w:w="731" w:type="dxa"/>
            <w:tcBorders>
              <w:tl2br w:val="nil"/>
              <w:tr2bl w:val="nil"/>
            </w:tcBorders>
            <w:vAlign w:val="center"/>
          </w:tcPr>
          <w:p>
            <w:pPr>
              <w:widowControl/>
              <w:adjustRightInd w:val="0"/>
              <w:snapToGrid w:val="0"/>
              <w:spacing w:line="240" w:lineRule="auto"/>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及时</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cantSplit/>
          <w:trHeight w:val="730"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成本</w:t>
            </w:r>
          </w:p>
        </w:tc>
        <w:tc>
          <w:tcPr>
            <w:tcW w:w="1912"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教育经费使用控制率</w:t>
            </w:r>
          </w:p>
        </w:tc>
        <w:tc>
          <w:tcPr>
            <w:tcW w:w="2633"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10分教育经费决算数不大于调整预算数得满分，否则不得分</w:t>
            </w:r>
          </w:p>
        </w:tc>
        <w:tc>
          <w:tcPr>
            <w:tcW w:w="2551"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支出的公用经费总额与预算安排的比率</w:t>
            </w:r>
          </w:p>
        </w:tc>
        <w:tc>
          <w:tcPr>
            <w:tcW w:w="567" w:type="dxa"/>
            <w:tcBorders>
              <w:tl2br w:val="nil"/>
              <w:tr2bl w:val="nil"/>
            </w:tcBorders>
            <w:vAlign w:val="center"/>
          </w:tcPr>
          <w:p>
            <w:pPr>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eastAsia="zh-CN"/>
              </w:rPr>
              <w:t>文字描述</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教育经费决算数不大于调整预算数</w:t>
            </w:r>
          </w:p>
        </w:tc>
        <w:tc>
          <w:tcPr>
            <w:tcW w:w="1680" w:type="dxa"/>
            <w:tcBorders>
              <w:tl2br w:val="nil"/>
              <w:tr2bl w:val="nil"/>
            </w:tcBorders>
            <w:vAlign w:val="center"/>
          </w:tcPr>
          <w:p>
            <w:pPr>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632" w:type="dxa"/>
            <w:vMerge w:val="restart"/>
            <w:tcBorders>
              <w:tl2br w:val="nil"/>
              <w:tr2bl w:val="nil"/>
            </w:tcBorders>
            <w:vAlign w:val="center"/>
          </w:tcPr>
          <w:p>
            <w:pPr>
              <w:adjustRightInd w:val="0"/>
              <w:snapToGrid w:val="0"/>
              <w:spacing w:line="240" w:lineRule="auto"/>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ascii="方正书宋_GBK" w:eastAsia="方正书宋_GBK"/>
              </w:rPr>
              <w:t>社会</w:t>
            </w:r>
          </w:p>
          <w:p>
            <w:pPr>
              <w:widowControl/>
              <w:adjustRightInd w:val="0"/>
              <w:snapToGrid w:val="0"/>
              <w:spacing w:line="240" w:lineRule="auto"/>
              <w:jc w:val="center"/>
              <w:rPr>
                <w:rFonts w:ascii="方正书宋_GBK" w:eastAsia="方正书宋_GBK"/>
              </w:rPr>
            </w:pPr>
            <w:r>
              <w:rPr>
                <w:rFonts w:ascii="方正书宋_GBK" w:eastAsia="方正书宋_GBK"/>
              </w:rPr>
              <w:t>效益</w:t>
            </w:r>
          </w:p>
        </w:tc>
        <w:tc>
          <w:tcPr>
            <w:tcW w:w="1912"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33" w:type="dxa"/>
            <w:tcBorders>
              <w:tl2br w:val="nil"/>
              <w:tr2bl w:val="nil"/>
            </w:tcBorders>
            <w:vAlign w:val="center"/>
          </w:tcPr>
          <w:p>
            <w:pPr>
              <w:adjustRightInd w:val="0"/>
              <w:snapToGrid w:val="0"/>
              <w:spacing w:line="240" w:lineRule="auto"/>
              <w:jc w:val="left"/>
              <w:rPr>
                <w:rFonts w:hint="eastAsia" w:ascii="仿宋_GB2312" w:hAnsi="仿宋_GB2312" w:eastAsia="仿宋_GB2312" w:cs="仿宋_GB2312"/>
              </w:rPr>
            </w:pPr>
            <w:r>
              <w:rPr>
                <w:rFonts w:hint="eastAsia" w:ascii="仿宋_GB2312" w:hAnsi="仿宋_GB2312" w:eastAsia="仿宋_GB2312" w:cs="仿宋_GB2312"/>
              </w:rPr>
              <w:t>10分学生、家长、社会对学校整体满意度达到95%得满分，每降低1%扣1分，扣完为止。</w:t>
            </w:r>
          </w:p>
        </w:tc>
        <w:tc>
          <w:tcPr>
            <w:tcW w:w="255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731"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2" w:type="dxa"/>
            <w:vMerge w:val="continue"/>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ascii="方正书宋_GBK" w:eastAsia="方正书宋_GBK"/>
              </w:rPr>
            </w:pPr>
            <w:r>
              <w:rPr>
                <w:rFonts w:hint="eastAsia" w:ascii="方正书宋_GBK" w:eastAsia="方正书宋_GBK"/>
              </w:rPr>
              <w:t>满意度</w:t>
            </w:r>
          </w:p>
        </w:tc>
        <w:tc>
          <w:tcPr>
            <w:tcW w:w="191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3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10分在校师生的满意度达到95%得满分，每降低1%扣1分，扣完为止。</w:t>
            </w:r>
          </w:p>
        </w:tc>
        <w:tc>
          <w:tcPr>
            <w:tcW w:w="255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95</w:t>
            </w:r>
          </w:p>
        </w:tc>
        <w:tc>
          <w:tcPr>
            <w:tcW w:w="73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rPr>
              <w:t>调查</w:t>
            </w:r>
            <w:r>
              <w:rPr>
                <w:rFonts w:hint="eastAsia" w:ascii="仿宋_GB2312" w:hAnsi="仿宋_GB2312" w:eastAsia="仿宋_GB2312" w:cs="仿宋_GB2312"/>
                <w:lang w:eastAsia="zh-CN"/>
              </w:rPr>
              <w:t>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632" w:type="dxa"/>
            <w:tcBorders>
              <w:tl2br w:val="nil"/>
              <w:tr2bl w:val="nil"/>
            </w:tcBorders>
            <w:vAlign w:val="center"/>
          </w:tcPr>
          <w:p>
            <w:pPr>
              <w:spacing w:line="240" w:lineRule="auto"/>
            </w:pPr>
          </w:p>
        </w:tc>
        <w:tc>
          <w:tcPr>
            <w:tcW w:w="708" w:type="dxa"/>
            <w:tcBorders>
              <w:tl2br w:val="nil"/>
              <w:tr2bl w:val="nil"/>
            </w:tcBorders>
            <w:vAlign w:val="center"/>
          </w:tcPr>
          <w:p>
            <w:pPr>
              <w:widowControl/>
              <w:adjustRightInd w:val="0"/>
              <w:snapToGrid w:val="0"/>
              <w:spacing w:line="240" w:lineRule="auto"/>
              <w:jc w:val="center"/>
              <w:rPr>
                <w:rFonts w:hint="eastAsia" w:ascii="方正书宋_GBK" w:eastAsia="方正书宋_GBK"/>
              </w:rPr>
            </w:pPr>
            <w:r>
              <w:rPr>
                <w:rFonts w:hint="eastAsia" w:ascii="方正书宋_GBK" w:eastAsia="方正书宋_GBK"/>
              </w:rPr>
              <w:t>满意度</w:t>
            </w:r>
          </w:p>
        </w:tc>
        <w:tc>
          <w:tcPr>
            <w:tcW w:w="1912"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33"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10分家长的满意度达到95%得满分，每降低1%扣1分，扣完为止。</w:t>
            </w:r>
          </w:p>
        </w:tc>
        <w:tc>
          <w:tcPr>
            <w:tcW w:w="2551" w:type="dxa"/>
            <w:tcBorders>
              <w:tl2br w:val="nil"/>
              <w:tr2bl w:val="nil"/>
            </w:tcBorders>
            <w:noWrap/>
            <w:vAlign w:val="center"/>
          </w:tcPr>
          <w:p>
            <w:pPr>
              <w:widowControl/>
              <w:adjustRightInd w:val="0"/>
              <w:snapToGrid w:val="0"/>
              <w:spacing w:line="240" w:lineRule="auto"/>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567" w:type="dxa"/>
            <w:tcBorders>
              <w:tl2br w:val="nil"/>
              <w:tr2bl w:val="nil"/>
            </w:tcBorders>
            <w:vAlign w:val="center"/>
          </w:tcPr>
          <w:p>
            <w:pPr>
              <w:widowControl/>
              <w:adjustRightInd w:val="0"/>
              <w:snapToGrid w:val="0"/>
              <w:spacing w:line="240" w:lineRule="auto"/>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567"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95</w:t>
            </w:r>
          </w:p>
        </w:tc>
        <w:tc>
          <w:tcPr>
            <w:tcW w:w="731"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rPr>
              <w:t>%</w:t>
            </w:r>
          </w:p>
        </w:tc>
        <w:tc>
          <w:tcPr>
            <w:tcW w:w="1680" w:type="dxa"/>
            <w:tcBorders>
              <w:tl2br w:val="nil"/>
              <w:tr2bl w:val="nil"/>
            </w:tcBorders>
            <w:vAlign w:val="center"/>
          </w:tcPr>
          <w:p>
            <w:pPr>
              <w:widowControl/>
              <w:adjustRightInd w:val="0"/>
              <w:snapToGrid w:val="0"/>
              <w:spacing w:line="240" w:lineRule="auto"/>
              <w:rPr>
                <w:rFonts w:hint="eastAsia" w:ascii="仿宋_GB2312" w:hAnsi="仿宋_GB2312" w:eastAsia="仿宋_GB2312" w:cs="仿宋_GB2312"/>
                <w:lang w:eastAsia="zh-CN"/>
              </w:rPr>
            </w:pPr>
            <w:r>
              <w:rPr>
                <w:rFonts w:hint="eastAsia" w:ascii="仿宋_GB2312" w:hAnsi="仿宋_GB2312" w:eastAsia="仿宋_GB2312" w:cs="仿宋_GB2312"/>
                <w:lang w:eastAsia="zh-CN"/>
              </w:rPr>
              <w:t>调查问卷</w:t>
            </w:r>
          </w:p>
        </w:tc>
      </w:tr>
    </w:tbl>
    <w:p>
      <w:pPr>
        <w:spacing w:line="579" w:lineRule="exact"/>
        <w:rPr>
          <w:rFonts w:ascii="仿宋_GB2312" w:eastAsia="仿宋_GB2312" w:cs="Times New Roman"/>
          <w:sz w:val="32"/>
          <w:szCs w:val="32"/>
        </w:rPr>
      </w:pP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hint="eastAsia" w:ascii="Times New Roman" w:hAnsi="Times New Roman" w:eastAsia="黑体" w:cs="Times New Roman"/>
          <w:sz w:val="32"/>
          <w:szCs w:val="32"/>
          <w:lang w:val="en-US" w:eastAsia="zh-CN"/>
        </w:rPr>
        <w:t xml:space="preserve"> </w:t>
      </w:r>
      <w:r>
        <w:rPr>
          <w:rFonts w:hint="eastAsia" w:ascii="Times New Roman" w:hAnsi="Times New Roman" w:eastAsia="黑体" w:cs="Times New Roman"/>
          <w:sz w:val="32"/>
          <w:szCs w:val="32"/>
        </w:rPr>
        <w:t>资金绩效目标</w:t>
      </w:r>
    </w:p>
    <w:p>
      <w:pPr>
        <w:spacing w:before="0" w:after="0"/>
        <w:ind w:firstLine="560"/>
        <w:jc w:val="left"/>
        <w:outlineLvl w:val="3"/>
        <w:rPr>
          <w:rFonts w:hint="eastAsia" w:ascii="仿宋_GB2312" w:hAnsi="仿宋_GB2312" w:eastAsia="仿宋_GB2312" w:cs="仿宋_GB2312"/>
        </w:rPr>
      </w:pPr>
      <w:bookmarkStart w:id="3" w:name="_Toc_4_4_0000000004"/>
      <w:r>
        <w:rPr>
          <w:rFonts w:hint="eastAsia" w:ascii="仿宋_GB2312" w:hAnsi="仿宋_GB2312" w:eastAsia="仿宋_GB2312" w:cs="仿宋_GB2312"/>
          <w:color w:val="000000"/>
          <w:sz w:val="28"/>
        </w:rPr>
        <w:t>1.2022年廊坊市第六中学校园展示屏项目资金绩效目标表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1.本项目建成后可以满足教育教学服务，给全校师生提供一个安全、舒适的工作和学习环境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电子显示屏</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考察完成电子显示屏</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1套</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按照实际施工验收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质量安全合格率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完成的及时性</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招投标文件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 xml:space="preserve">完成预算项目所需相关的费用   </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项目资金及相关手续费用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提高教育教学环境水平</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培养优秀的人才</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《中小学校设计规范》（GB50099_2011）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学生、家长满意度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考察学生、家长对校园电子屏信息发布的满意度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4" w:name="_Toc_4_4_0000000005"/>
      <w:r>
        <w:rPr>
          <w:rFonts w:hint="eastAsia" w:ascii="仿宋_GB2312" w:hAnsi="仿宋_GB2312" w:eastAsia="仿宋_GB2312" w:cs="仿宋_GB2312"/>
          <w:color w:val="000000"/>
          <w:sz w:val="28"/>
        </w:rPr>
        <w:t>2.薄弱环节改善与能力提升[中央]绩效目标表</w:t>
      </w:r>
      <w:bookmarkEnd w:id="4"/>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1.城市初中大班额得到缓解</w:t>
            </w:r>
          </w:p>
          <w:p>
            <w:pPr>
              <w:pStyle w:val="14"/>
              <w:rPr>
                <w:rFonts w:hint="eastAsia" w:ascii="仿宋_GB2312" w:hAnsi="仿宋_GB2312" w:eastAsia="仿宋_GB2312" w:cs="仿宋_GB2312"/>
              </w:rPr>
            </w:pPr>
            <w:r>
              <w:rPr>
                <w:rFonts w:hint="eastAsia" w:ascii="仿宋_GB2312" w:hAnsi="仿宋_GB2312" w:eastAsia="仿宋_GB2312" w:cs="仿宋_GB2312"/>
              </w:rPr>
              <w:t>2.城市初中办学条件进一步提升</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校园校舍建设学校所数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校园校舍建设学校所数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1所</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设备购置项目学校所数</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设备购置项目学校所数</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1所</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新建、改扩建工程验收合格率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购置设备合格率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国家相关质量安全标准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校园校舍建设完成及时率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设备采购及时率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设施设备采购成本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设施设备采购成本</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584万元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解决56人以上大班额比例问题</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符合中学班额标准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义务教育学校师生满意度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考察学生、家长对校园的满意度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项目建议书批复</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5" w:name="_Toc_4_4_0000000006"/>
      <w:r>
        <w:rPr>
          <w:rFonts w:hint="eastAsia" w:ascii="仿宋_GB2312" w:hAnsi="仿宋_GB2312" w:eastAsia="仿宋_GB2312" w:cs="仿宋_GB2312"/>
          <w:color w:val="000000"/>
          <w:sz w:val="28"/>
        </w:rPr>
        <w:t>3.城乡义务教育生均公用经费[区级]绩效目标表</w:t>
      </w:r>
      <w:bookmarkEnd w:id="5"/>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p>
          <w:p>
            <w:pPr>
              <w:pStyle w:val="14"/>
              <w:rPr>
                <w:rFonts w:hint="eastAsia" w:ascii="仿宋_GB2312" w:hAnsi="仿宋_GB2312" w:eastAsia="仿宋_GB2312" w:cs="仿宋_GB2312"/>
              </w:rPr>
            </w:pPr>
            <w:r>
              <w:rPr>
                <w:rFonts w:hint="eastAsia" w:ascii="仿宋_GB2312" w:hAnsi="仿宋_GB2312" w:eastAsia="仿宋_GB2312" w:cs="仿宋_GB2312"/>
              </w:rPr>
              <w:t>2.廊坊市第六中学对2022年在校学生3978人，按照义务教育生均公用经费标准申请财政预算资金，通过合理、合规使用资金达到保证学校正常运转，改善办学条件，促进义务教育发展。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78"/>
        <w:gridCol w:w="1576"/>
        <w:gridCol w:w="2165"/>
        <w:gridCol w:w="651"/>
        <w:gridCol w:w="249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7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5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5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49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7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5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1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65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249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6" w:name="_Toc_4_4_0000000007"/>
      <w:r>
        <w:rPr>
          <w:rFonts w:hint="eastAsia" w:ascii="仿宋_GB2312" w:hAnsi="仿宋_GB2312" w:eastAsia="仿宋_GB2312" w:cs="仿宋_GB2312"/>
          <w:color w:val="000000"/>
          <w:sz w:val="28"/>
        </w:rPr>
        <w:t>4.城乡义务教育生均公用经费[省级]绩效目标表</w:t>
      </w:r>
      <w:bookmarkEnd w:id="6"/>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872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872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1.目标内容:保障义务教育教学正常的进行，改善办公条件，提升教育环境。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0"/>
        <w:gridCol w:w="1265"/>
        <w:gridCol w:w="2368"/>
        <w:gridCol w:w="1030"/>
        <w:gridCol w:w="29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06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26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368"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03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9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1215人</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935元/生/年</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廊坊市财政局廊坊市教育局关于提前下达2022年城乡义务教育省级补助资金预算的通知廊财教[2021]61号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义务教育/学前教育高质量发展</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该资金用于学校正常运转，改善办学条件，促进义务教育/学前教育均衡发展及学生素质提高</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廊财政[2021]61号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06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26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368"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03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29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7" w:name="_Toc_4_4_0000000008"/>
      <w:r>
        <w:rPr>
          <w:rFonts w:hint="eastAsia" w:ascii="仿宋_GB2312" w:hAnsi="仿宋_GB2312" w:eastAsia="仿宋_GB2312" w:cs="仿宋_GB2312"/>
          <w:color w:val="000000"/>
          <w:sz w:val="28"/>
        </w:rPr>
        <w:t>5.城乡义务教育生均公用经费[中央]绩效目标表</w:t>
      </w:r>
      <w:bookmarkEnd w:id="7"/>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04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0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1.保障义务教育学校运转，改善学校基本办学条件，促进义务教育均衡发展及学生素质提高。</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2.廊坊市第六中学对2022年在校学生3978人，按照义务教育生均公用经费标准申请财政预算资金，通过合理、合规使用资金达到保证学校正常运转，改善办学条件，促进义务教育发展。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3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33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3978人</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使用生均公用经费，用于保障学校正常运转的项目支出成本等于XXX元/生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33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8" w:name="_Toc_4_4_0000000009"/>
      <w:r>
        <w:rPr>
          <w:rFonts w:hint="eastAsia" w:ascii="仿宋_GB2312" w:hAnsi="仿宋_GB2312" w:eastAsia="仿宋_GB2312" w:cs="仿宋_GB2312"/>
          <w:color w:val="000000"/>
          <w:sz w:val="28"/>
        </w:rPr>
        <w:t>6.合同制教师人员经费绩效目标表</w:t>
      </w:r>
      <w:bookmarkEnd w:id="8"/>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187"/>
        <w:gridCol w:w="1575"/>
        <w:gridCol w:w="154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18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57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4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保障2022合同制教师122人工资福利</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122人</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57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4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9" w:name="_Toc_4_4_0000000010"/>
      <w:r>
        <w:rPr>
          <w:rFonts w:hint="eastAsia" w:ascii="仿宋_GB2312" w:hAnsi="仿宋_GB2312" w:eastAsia="仿宋_GB2312" w:cs="仿宋_GB2312"/>
          <w:color w:val="000000"/>
          <w:sz w:val="28"/>
        </w:rPr>
        <w:t>7.教育经费绩效目标表</w:t>
      </w:r>
      <w:bookmarkEnd w:id="9"/>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≤42.86万元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0" w:name="_Toc_4_4_0000000011"/>
      <w:r>
        <w:rPr>
          <w:rFonts w:hint="eastAsia" w:ascii="仿宋_GB2312" w:hAnsi="仿宋_GB2312" w:eastAsia="仿宋_GB2312" w:cs="仿宋_GB2312"/>
          <w:color w:val="000000"/>
          <w:sz w:val="28"/>
        </w:rPr>
        <w:t>8.廊坊市第六中学墙体改造工程项目资金绩效目标表</w:t>
      </w:r>
      <w:bookmarkEnd w:id="1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1.达到美化校园内文化教育氛围，校园外教书育人形象。</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8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2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84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墙体改造</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墙体改造面积</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1691平米</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按照竣工工程量验收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工程验收合格率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符合国家相关质量安全标准</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符合国家相关质量验收标准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工程完工及时率</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按项目计划时间完成招标安装验收工作</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相关政府采购文件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预算价格</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项目资金及相关手续费用</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36.69万元</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提高学校对内对外形象</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有效提高学校对内对外形象</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竣工后社会调查问卷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对周边环境污染情况</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不造成周边环境污染</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杜绝粉尘飞沫污染</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环保局监督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pPr>
              <w:rPr>
                <w:rFonts w:hint="eastAsia" w:ascii="仿宋_GB2312" w:hAnsi="仿宋_GB2312" w:eastAsia="仿宋_GB2312" w:cs="仿宋_GB2312"/>
              </w:rPr>
            </w:pP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提高教育环境</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提高校园文化教育氛围</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达到预期目的</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竣工后学校师生调查问卷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学校师生满意度</w:t>
            </w:r>
          </w:p>
        </w:tc>
        <w:tc>
          <w:tcPr>
            <w:tcW w:w="28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学校师生满意度</w:t>
            </w:r>
          </w:p>
        </w:tc>
        <w:tc>
          <w:tcPr>
            <w:tcW w:w="12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84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竣工后调查问卷</w:t>
            </w:r>
          </w:p>
        </w:tc>
      </w:tr>
    </w:tbl>
    <w:p>
      <w:pPr>
        <w:autoSpaceDE w:val="0"/>
        <w:autoSpaceDN w:val="0"/>
        <w:adjustRightInd w:val="0"/>
        <w:spacing w:line="579" w:lineRule="exact"/>
        <w:ind w:firstLine="880" w:firstLineChars="200"/>
        <w:jc w:val="left"/>
        <w:rPr>
          <w:rFonts w:ascii="Times New Roman" w:hAnsi="Times New Roman" w:eastAsia="黑体" w:cs="Times New Roman"/>
          <w:sz w:val="44"/>
          <w:szCs w:val="44"/>
        </w:rPr>
      </w:pPr>
    </w:p>
    <w:p>
      <w:pPr>
        <w:autoSpaceDE w:val="0"/>
        <w:autoSpaceDN w:val="0"/>
        <w:adjustRightInd w:val="0"/>
        <w:spacing w:line="579" w:lineRule="exact"/>
        <w:jc w:val="left"/>
        <w:rPr>
          <w:rFonts w:ascii="Times New Roman" w:hAnsi="Times New Roman" w:eastAsia="黑体" w:cs="Times New Roman"/>
          <w:sz w:val="44"/>
          <w:szCs w:val="44"/>
        </w:rPr>
      </w:pP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1"/>
    <w:p>
      <w:pPr>
        <w:spacing w:line="579" w:lineRule="exact"/>
        <w:jc w:val="center"/>
        <w:outlineLvl w:val="1"/>
        <w:rPr>
          <w:rFonts w:ascii="方正小标宋_GBK" w:eastAsia="方正小标宋_GBK" w:cs="Times New Roman"/>
          <w:sz w:val="32"/>
        </w:rPr>
      </w:pPr>
      <w:bookmarkStart w:id="12" w:name="_Toc64920910"/>
      <w:r>
        <w:rPr>
          <w:rFonts w:hint="eastAsia" w:ascii="方正小标宋_GBK" w:eastAsia="方正小标宋_GBK" w:cs="Times New Roman"/>
          <w:sz w:val="32"/>
        </w:rPr>
        <w:t>部门政府采购预算</w:t>
      </w:r>
      <w:bookmarkEnd w:id="12"/>
    </w:p>
    <w:p>
      <w:pPr>
        <w:spacing w:line="579" w:lineRule="exact"/>
        <w:outlineLvl w:val="1"/>
        <w:rPr>
          <w:rFonts w:ascii="方正小标宋_GBK" w:eastAsia="方正小标宋_GBK" w:cs="Times New Roman"/>
          <w:sz w:val="32"/>
        </w:rPr>
      </w:pPr>
      <w:r>
        <w:t>廊坊市</w:t>
      </w:r>
      <w:r>
        <w:rPr>
          <w:rFonts w:hint="eastAsia"/>
        </w:rPr>
        <w:t>第六中学</w:t>
      </w:r>
      <w:r>
        <w:t>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第六中学</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4279.1887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sz w:val="32"/>
          <w:szCs w:val="32"/>
        </w:rPr>
      </w:pPr>
    </w:p>
    <w:tbl>
      <w:tblPr>
        <w:tblStyle w:val="8"/>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第六中学</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1年12月31日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24723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3810.8822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23723</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3787.2322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468.3065</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___WRD_EMBED_SUB_38">
    <w:altName w:val="宋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17</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E14EB"/>
    <w:multiLevelType w:val="singleLevel"/>
    <w:tmpl w:val="D8EE14EB"/>
    <w:lvl w:ilvl="0" w:tentative="0">
      <w:start w:val="5"/>
      <w:numFmt w:val="chineseCounting"/>
      <w:suff w:val="nothing"/>
      <w:lvlText w:val="%1、"/>
      <w:lvlJc w:val="left"/>
      <w:rPr>
        <w:rFonts w:hint="eastAsia"/>
      </w:rPr>
    </w:lvl>
  </w:abstractNum>
  <w:abstractNum w:abstractNumId="1">
    <w:nsid w:val="418C64C0"/>
    <w:multiLevelType w:val="multilevel"/>
    <w:tmpl w:val="418C64C0"/>
    <w:lvl w:ilvl="0" w:tentative="0">
      <w:start w:val="1"/>
      <w:numFmt w:val="japaneseCounting"/>
      <w:lvlText w:val="（%1）"/>
      <w:lvlJc w:val="left"/>
      <w:pPr>
        <w:ind w:left="1790" w:hanging="1080"/>
      </w:pPr>
      <w:rPr>
        <w:rFonts w:hint="default"/>
        <w:lang w:val="en-US"/>
      </w:rPr>
    </w:lvl>
    <w:lvl w:ilvl="1" w:tentative="0">
      <w:start w:val="1"/>
      <w:numFmt w:val="lowerLetter"/>
      <w:lvlText w:val="%2)"/>
      <w:lvlJc w:val="left"/>
      <w:pPr>
        <w:ind w:left="1550" w:hanging="420"/>
      </w:pPr>
    </w:lvl>
    <w:lvl w:ilvl="2" w:tentative="0">
      <w:start w:val="1"/>
      <w:numFmt w:val="lowerRoman"/>
      <w:lvlText w:val="%3."/>
      <w:lvlJc w:val="right"/>
      <w:pPr>
        <w:ind w:left="1970" w:hanging="420"/>
      </w:pPr>
    </w:lvl>
    <w:lvl w:ilvl="3" w:tentative="0">
      <w:start w:val="1"/>
      <w:numFmt w:val="decimal"/>
      <w:lvlText w:val="%4."/>
      <w:lvlJc w:val="left"/>
      <w:pPr>
        <w:ind w:left="2390" w:hanging="420"/>
      </w:pPr>
    </w:lvl>
    <w:lvl w:ilvl="4" w:tentative="0">
      <w:start w:val="1"/>
      <w:numFmt w:val="lowerLetter"/>
      <w:lvlText w:val="%5)"/>
      <w:lvlJc w:val="left"/>
      <w:pPr>
        <w:ind w:left="2810" w:hanging="420"/>
      </w:pPr>
    </w:lvl>
    <w:lvl w:ilvl="5" w:tentative="0">
      <w:start w:val="1"/>
      <w:numFmt w:val="lowerRoman"/>
      <w:lvlText w:val="%6."/>
      <w:lvlJc w:val="right"/>
      <w:pPr>
        <w:ind w:left="3230" w:hanging="420"/>
      </w:pPr>
    </w:lvl>
    <w:lvl w:ilvl="6" w:tentative="0">
      <w:start w:val="1"/>
      <w:numFmt w:val="decimal"/>
      <w:lvlText w:val="%7."/>
      <w:lvlJc w:val="left"/>
      <w:pPr>
        <w:ind w:left="3650" w:hanging="420"/>
      </w:pPr>
    </w:lvl>
    <w:lvl w:ilvl="7" w:tentative="0">
      <w:start w:val="1"/>
      <w:numFmt w:val="lowerLetter"/>
      <w:lvlText w:val="%8)"/>
      <w:lvlJc w:val="left"/>
      <w:pPr>
        <w:ind w:left="4070" w:hanging="420"/>
      </w:pPr>
    </w:lvl>
    <w:lvl w:ilvl="8" w:tentative="0">
      <w:start w:val="1"/>
      <w:numFmt w:val="lowerRoman"/>
      <w:lvlText w:val="%9."/>
      <w:lvlJc w:val="right"/>
      <w:pPr>
        <w:ind w:left="44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1B7D"/>
    <w:rsid w:val="000F6018"/>
    <w:rsid w:val="0025632D"/>
    <w:rsid w:val="003059E0"/>
    <w:rsid w:val="004A54AA"/>
    <w:rsid w:val="00620EA7"/>
    <w:rsid w:val="00753380"/>
    <w:rsid w:val="00793D5C"/>
    <w:rsid w:val="007F54B6"/>
    <w:rsid w:val="0085499B"/>
    <w:rsid w:val="008F7097"/>
    <w:rsid w:val="00944233"/>
    <w:rsid w:val="009B368C"/>
    <w:rsid w:val="00A27FEE"/>
    <w:rsid w:val="00B40732"/>
    <w:rsid w:val="00B80935"/>
    <w:rsid w:val="00BA6BEE"/>
    <w:rsid w:val="00BD0B28"/>
    <w:rsid w:val="00CE5177"/>
    <w:rsid w:val="00D347CC"/>
    <w:rsid w:val="00D4675B"/>
    <w:rsid w:val="00DC72B4"/>
    <w:rsid w:val="00E469B3"/>
    <w:rsid w:val="00EA5E97"/>
    <w:rsid w:val="0CEC1180"/>
    <w:rsid w:val="44F2391C"/>
    <w:rsid w:val="56857E51"/>
    <w:rsid w:val="69327924"/>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styleId="19">
    <w:name w:val="List Paragraph"/>
    <w:basedOn w:val="1"/>
    <w:unhideWhenUsed/>
    <w:qFormat/>
    <w:uiPriority w:val="99"/>
    <w:pPr>
      <w:ind w:firstLine="420" w:firstLineChars="200"/>
    </w:pPr>
  </w:style>
  <w:style w:type="paragraph" w:customStyle="1" w:styleId="2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807</Words>
  <Characters>4606</Characters>
  <Lines>38</Lines>
  <Paragraphs>10</Paragraphs>
  <TotalTime>3</TotalTime>
  <ScaleCrop>false</ScaleCrop>
  <LinksUpToDate>false</LinksUpToDate>
  <CharactersWithSpaces>5403</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2022-07-07T01:27:41Z</dcterms:modified>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3271145F3032434A85A5BB28954795F9</vt:lpwstr>
  </property>
</Properties>
</file>