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bookmarkStart w:id="6" w:name="_GoBack"/>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第三中学</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bookmarkEnd w:id="6"/>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第三中学</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1、贯彻执行党和国家的教育方针、政策、法律法规，制</w:t>
      </w:r>
      <w:r>
        <w:rPr>
          <w:rFonts w:hint="eastAsia" w:ascii="仿宋_GB2312" w:hAnsi="宋体" w:eastAsia="仿宋_GB2312" w:cs="宋体"/>
          <w:color w:val="000000"/>
          <w:kern w:val="0"/>
          <w:sz w:val="32"/>
          <w:szCs w:val="32"/>
          <w:lang w:eastAsia="zh-CN"/>
        </w:rPr>
        <w:t>订</w:t>
      </w:r>
      <w:r>
        <w:rPr>
          <w:rFonts w:hint="eastAsia" w:ascii="仿宋_GB2312" w:hAnsi="宋体" w:eastAsia="仿宋_GB2312" w:cs="宋体"/>
          <w:color w:val="000000"/>
          <w:kern w:val="0"/>
          <w:sz w:val="32"/>
          <w:szCs w:val="32"/>
        </w:rPr>
        <w:t>我校的长远规划和年度计划，并组织实施。</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2、负责教育基本信息的统计、分析。</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3、推进义务教育均衡发展和促进教育公平，全面实施素质教育。</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4、负责学校教师队伍的建设和管理，提高教师队伍素质</w:t>
      </w:r>
    </w:p>
    <w:p>
      <w:pPr>
        <w:widowControl/>
        <w:jc w:val="left"/>
        <w:rPr>
          <w:rFonts w:ascii="仿宋_GB2312" w:hAnsi="宋体" w:eastAsia="仿宋_GB2312" w:cs="宋体"/>
          <w:color w:val="000000"/>
          <w:kern w:val="0"/>
          <w:sz w:val="32"/>
          <w:szCs w:val="32"/>
        </w:rPr>
      </w:pP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5、负责本部门教育经费的统筹管理，教育经费预决算工作，教育经费的管理和使用；统筹规划和管理学校基本建设和设施的配置及计划统计工作。</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6、管理学校的党建、思想政治、宣传统战和维护稳定以及德育、体育、卫生防疫与艺术教育、国防教育工作。</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7、负责做好学校的学生综合评价工作；负责管理本校教师学历教育及培训工作。</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8、负责组织开展学校教育的督导评估、检查验收、质量监测等工作。</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9、负责学校党的政治建设、思想建设、组织建设、作风建设、纪律建设和制度建设。</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10、负责学校学生和教师的思想政治工作，学校思想政治队伍建设和学校校本课程教育教学。</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11、负责学校安全稳定工作。</w:t>
      </w:r>
    </w:p>
    <w:p>
      <w:pPr>
        <w:widowControl/>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12、做好上级部门交办的其他事项。</w:t>
      </w:r>
    </w:p>
    <w:p>
      <w:pPr>
        <w:spacing w:line="584" w:lineRule="exact"/>
        <w:jc w:val="center"/>
        <w:outlineLvl w:val="0"/>
        <w:rPr>
          <w:rFonts w:ascii="Times New Roman" w:hAnsi="Times New Roman" w:eastAsia="仿宋_GB2312" w:cs="Times New Roman"/>
          <w:b/>
          <w:sz w:val="32"/>
          <w:szCs w:val="24"/>
        </w:rPr>
      </w:pPr>
    </w:p>
    <w:p>
      <w:pPr>
        <w:spacing w:line="584" w:lineRule="exact"/>
        <w:jc w:val="center"/>
        <w:outlineLvl w:val="0"/>
        <w:rPr>
          <w:rFonts w:ascii="Times New Roman" w:hAnsi="Times New Roman" w:eastAsia="仿宋_GB2312" w:cs="Times New Roman"/>
          <w:b/>
          <w:sz w:val="32"/>
          <w:szCs w:val="24"/>
        </w:rPr>
      </w:pPr>
    </w:p>
    <w:p>
      <w:pPr>
        <w:spacing w:line="584" w:lineRule="exact"/>
        <w:jc w:val="center"/>
        <w:outlineLvl w:val="0"/>
        <w:rPr>
          <w:rFonts w:ascii="Times New Roman" w:hAnsi="Times New Roman" w:eastAsia="仿宋_GB2312" w:cs="Times New Roman"/>
          <w:b/>
          <w:sz w:val="32"/>
          <w:szCs w:val="24"/>
        </w:rPr>
      </w:pP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94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524"/>
        <w:gridCol w:w="1559"/>
        <w:gridCol w:w="1417"/>
        <w:gridCol w:w="34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352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559"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41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448"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3524" w:type="dxa"/>
            <w:vMerge w:val="continue"/>
            <w:shd w:val="clear" w:color="auto" w:fill="auto"/>
            <w:vAlign w:val="center"/>
          </w:tcPr>
          <w:p/>
        </w:tc>
        <w:tc>
          <w:tcPr>
            <w:tcW w:w="1559" w:type="dxa"/>
            <w:vMerge w:val="continue"/>
            <w:shd w:val="clear" w:color="auto" w:fill="auto"/>
            <w:vAlign w:val="center"/>
          </w:tcPr>
          <w:p/>
        </w:tc>
        <w:tc>
          <w:tcPr>
            <w:tcW w:w="1417" w:type="dxa"/>
            <w:vMerge w:val="continue"/>
            <w:shd w:val="clear" w:color="auto" w:fill="auto"/>
            <w:vAlign w:val="center"/>
          </w:tcPr>
          <w:p/>
        </w:tc>
        <w:tc>
          <w:tcPr>
            <w:tcW w:w="3448"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2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廊坊市第三中学</w:t>
            </w:r>
          </w:p>
        </w:tc>
        <w:tc>
          <w:tcPr>
            <w:tcW w:w="155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事业</w:t>
            </w:r>
          </w:p>
        </w:tc>
        <w:tc>
          <w:tcPr>
            <w:tcW w:w="1417" w:type="dxa"/>
            <w:shd w:val="clear" w:color="auto" w:fill="auto"/>
            <w:vAlign w:val="center"/>
          </w:tcPr>
          <w:p>
            <w:pPr>
              <w:spacing w:line="584" w:lineRule="exact"/>
              <w:rPr>
                <w:rFonts w:ascii="Times New Roman" w:hAnsi="Times New Roman" w:eastAsia="仿宋_GB2312" w:cs="Times New Roman"/>
                <w:b/>
              </w:rPr>
            </w:pPr>
          </w:p>
        </w:tc>
        <w:tc>
          <w:tcPr>
            <w:tcW w:w="3448" w:type="dxa"/>
            <w:shd w:val="clear" w:color="auto" w:fill="auto"/>
            <w:vAlign w:val="center"/>
          </w:tcPr>
          <w:p>
            <w:pPr>
              <w:spacing w:line="584" w:lineRule="exact"/>
              <w:jc w:val="center"/>
              <w:rPr>
                <w:rFonts w:ascii="仿宋_GB2312" w:hAnsi="Times New Roman" w:eastAsia="仿宋_GB2312" w:cs="Times New Roman"/>
                <w:b/>
                <w:szCs w:val="21"/>
              </w:rPr>
            </w:pPr>
            <w:r>
              <w:rPr>
                <w:rFonts w:hint="eastAsia" w:ascii="仿宋_GB2312" w:hAnsi="Times New Roman" w:eastAsia="仿宋_GB2312" w:cs="Times New Roman"/>
                <w:b/>
                <w:szCs w:val="21"/>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5" w:hRule="atLeast"/>
          <w:jc w:val="center"/>
        </w:trPr>
        <w:tc>
          <w:tcPr>
            <w:tcW w:w="3524" w:type="dxa"/>
            <w:shd w:val="clear" w:color="auto" w:fill="auto"/>
            <w:vAlign w:val="center"/>
          </w:tcPr>
          <w:p>
            <w:pPr>
              <w:spacing w:line="584" w:lineRule="exact"/>
              <w:jc w:val="left"/>
              <w:rPr>
                <w:rFonts w:ascii="Times New Roman" w:hAnsi="Times New Roman" w:eastAsia="仿宋_GB2312" w:cs="Times New Roman"/>
              </w:rPr>
            </w:pPr>
          </w:p>
        </w:tc>
        <w:tc>
          <w:tcPr>
            <w:tcW w:w="1559" w:type="dxa"/>
            <w:shd w:val="clear" w:color="auto" w:fill="auto"/>
            <w:vAlign w:val="center"/>
          </w:tcPr>
          <w:p>
            <w:pPr>
              <w:spacing w:line="584" w:lineRule="exact"/>
              <w:jc w:val="center"/>
              <w:rPr>
                <w:rFonts w:ascii="Times New Roman" w:hAnsi="Times New Roman" w:eastAsia="仿宋_GB2312" w:cs="Times New Roman"/>
              </w:rPr>
            </w:pPr>
          </w:p>
        </w:tc>
        <w:tc>
          <w:tcPr>
            <w:tcW w:w="1417" w:type="dxa"/>
            <w:shd w:val="clear" w:color="auto" w:fill="auto"/>
            <w:vAlign w:val="center"/>
          </w:tcPr>
          <w:p>
            <w:pPr>
              <w:spacing w:line="584" w:lineRule="exact"/>
              <w:jc w:val="center"/>
              <w:rPr>
                <w:rFonts w:ascii="Times New Roman" w:hAnsi="Times New Roman" w:eastAsia="仿宋_GB2312" w:cs="Times New Roman"/>
              </w:rPr>
            </w:pPr>
          </w:p>
        </w:tc>
        <w:tc>
          <w:tcPr>
            <w:tcW w:w="3448"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3524" w:type="dxa"/>
            <w:shd w:val="clear" w:color="auto" w:fill="auto"/>
            <w:vAlign w:val="center"/>
          </w:tcPr>
          <w:p>
            <w:pPr>
              <w:spacing w:line="584" w:lineRule="exact"/>
              <w:jc w:val="left"/>
              <w:rPr>
                <w:rFonts w:ascii="Times New Roman" w:hAnsi="Times New Roman" w:eastAsia="仿宋_GB2312" w:cs="Times New Roman"/>
              </w:rPr>
            </w:pPr>
          </w:p>
        </w:tc>
        <w:tc>
          <w:tcPr>
            <w:tcW w:w="1559" w:type="dxa"/>
            <w:shd w:val="clear" w:color="auto" w:fill="auto"/>
            <w:vAlign w:val="center"/>
          </w:tcPr>
          <w:p>
            <w:pPr>
              <w:spacing w:line="584" w:lineRule="exact"/>
              <w:jc w:val="center"/>
              <w:rPr>
                <w:rFonts w:ascii="Times New Roman" w:hAnsi="Times New Roman" w:eastAsia="仿宋_GB2312" w:cs="Times New Roman"/>
              </w:rPr>
            </w:pPr>
          </w:p>
        </w:tc>
        <w:tc>
          <w:tcPr>
            <w:tcW w:w="1417" w:type="dxa"/>
            <w:shd w:val="clear" w:color="auto" w:fill="auto"/>
            <w:vAlign w:val="center"/>
          </w:tcPr>
          <w:p>
            <w:pPr>
              <w:spacing w:line="584" w:lineRule="exact"/>
              <w:jc w:val="center"/>
              <w:rPr>
                <w:rFonts w:ascii="Times New Roman" w:hAnsi="Times New Roman" w:eastAsia="仿宋_GB2312" w:cs="Times New Roman"/>
              </w:rPr>
            </w:pPr>
          </w:p>
        </w:tc>
        <w:tc>
          <w:tcPr>
            <w:tcW w:w="3448"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第三中学</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2年预算收入3395.47万元，其中：一般公共预算收入3395.47万元，基金预算收入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第三中学2022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2年支出预算3395.47万元，其中基本支出2941.92万元，包括人员类项目经费2903.02万元和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公用项目经费38.9万元；运转类其他及特定目标类项目支出453.55万元，</w:t>
      </w:r>
      <w:r>
        <w:rPr>
          <w:rFonts w:hint="eastAsia" w:ascii="Times New Roman" w:hAnsi="Times New Roman" w:eastAsia="仿宋_GB2312" w:cs="Times New Roman"/>
          <w:sz w:val="32"/>
          <w:szCs w:val="32"/>
        </w:rPr>
        <w:t>为</w:t>
      </w:r>
      <w:r>
        <w:rPr>
          <w:rFonts w:ascii="Times New Roman" w:hAnsi="Times New Roman" w:eastAsia="仿宋_GB2312" w:cs="Times New Roman"/>
          <w:sz w:val="32"/>
          <w:szCs w:val="32"/>
        </w:rPr>
        <w:t>本级支出，主要为</w:t>
      </w:r>
      <w:r>
        <w:rPr>
          <w:rFonts w:hint="eastAsia" w:ascii="Times New Roman" w:hAnsi="Times New Roman" w:eastAsia="仿宋_GB2312" w:cs="Times New Roman"/>
          <w:sz w:val="32"/>
          <w:szCs w:val="32"/>
        </w:rPr>
        <w:t>城乡义务教育生均公</w:t>
      </w:r>
      <w:r>
        <w:rPr>
          <w:rFonts w:hint="eastAsia" w:ascii="Times New Roman" w:hAnsi="Times New Roman" w:eastAsia="仿宋_GB2312" w:cs="Times New Roman"/>
          <w:color w:val="000000" w:themeColor="text1"/>
          <w:sz w:val="32"/>
          <w:szCs w:val="32"/>
          <w14:textFill>
            <w14:solidFill>
              <w14:schemeClr w14:val="tx1"/>
            </w14:solidFill>
          </w14:textFill>
        </w:rPr>
        <w:t>用经费</w:t>
      </w:r>
      <w:r>
        <w:rPr>
          <w:rFonts w:ascii="Times New Roman" w:hAnsi="Times New Roman" w:eastAsia="仿宋_GB2312" w:cs="Times New Roman"/>
          <w:color w:val="000000" w:themeColor="text1"/>
          <w:sz w:val="32"/>
          <w:szCs w:val="32"/>
          <w14:textFill>
            <w14:solidFill>
              <w14:schemeClr w14:val="tx1"/>
            </w14:solidFill>
          </w14:textFill>
        </w:rPr>
        <w:t>、</w:t>
      </w:r>
      <w:r>
        <w:rPr>
          <w:rFonts w:hint="eastAsia" w:ascii="Times New Roman" w:hAnsi="Times New Roman" w:eastAsia="仿宋_GB2312" w:cs="Times New Roman"/>
          <w:color w:val="000000" w:themeColor="text1"/>
          <w:sz w:val="32"/>
          <w:szCs w:val="32"/>
          <w14:textFill>
            <w14:solidFill>
              <w14:schemeClr w14:val="tx1"/>
            </w14:solidFill>
          </w14:textFill>
        </w:rPr>
        <w:t>教育经费、合同制教师人员经费</w:t>
      </w:r>
      <w:r>
        <w:rPr>
          <w:rFonts w:ascii="Times New Roman" w:hAnsi="Times New Roman" w:eastAsia="仿宋_GB2312" w:cs="Times New Roman"/>
          <w:color w:val="000000" w:themeColor="text1"/>
          <w:sz w:val="32"/>
          <w:szCs w:val="32"/>
          <w14:textFill>
            <w14:solidFill>
              <w14:schemeClr w14:val="tx1"/>
            </w14:solidFill>
          </w14:textFill>
        </w:rPr>
        <w:t>等</w:t>
      </w:r>
      <w:r>
        <w:rPr>
          <w:rFonts w:hint="eastAsia" w:ascii="Times New Roman" w:hAnsi="Times New Roman" w:eastAsia="仿宋_GB2312" w:cs="Times New Roman"/>
          <w:color w:val="000000" w:themeColor="text1"/>
          <w:sz w:val="32"/>
          <w:szCs w:val="32"/>
          <w14:textFill>
            <w14:solidFill>
              <w14:schemeClr w14:val="tx1"/>
            </w14:solidFill>
          </w14:textFill>
        </w:rPr>
        <w:t>资金</w:t>
      </w:r>
      <w:r>
        <w:rPr>
          <w:rFonts w:ascii="Times New Roman" w:hAnsi="Times New Roman" w:eastAsia="仿宋_GB2312" w:cs="Times New Roman"/>
          <w:color w:val="000000" w:themeColor="text1"/>
          <w:sz w:val="32"/>
          <w:szCs w:val="32"/>
          <w14:textFill>
            <w14:solidFill>
              <w14:schemeClr w14:val="tx1"/>
            </w14:solidFill>
          </w14:textFill>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2年预算收支安排3395.47万元，较20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1年预算减少</w:t>
      </w:r>
      <w:r>
        <w:rPr>
          <w:rFonts w:hint="eastAsia" w:ascii="Times New Roman" w:hAnsi="Times New Roman" w:eastAsia="仿宋_GB2312" w:cs="Times New Roman"/>
          <w:sz w:val="32"/>
          <w:szCs w:val="32"/>
        </w:rPr>
        <w:t>47.55</w:t>
      </w:r>
      <w:r>
        <w:rPr>
          <w:rFonts w:ascii="Times New Roman" w:hAnsi="Times New Roman" w:eastAsia="仿宋_GB2312" w:cs="Times New Roman"/>
          <w:sz w:val="32"/>
          <w:szCs w:val="32"/>
        </w:rPr>
        <w:t>万元，其中：基本支出增加减少</w:t>
      </w:r>
      <w:r>
        <w:rPr>
          <w:rFonts w:hint="eastAsia" w:ascii="Times New Roman" w:hAnsi="Times New Roman" w:eastAsia="仿宋_GB2312" w:cs="Times New Roman"/>
          <w:sz w:val="32"/>
          <w:szCs w:val="32"/>
        </w:rPr>
        <w:t>347.39</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299.84</w:t>
      </w:r>
      <w:r>
        <w:rPr>
          <w:rFonts w:ascii="Times New Roman" w:hAnsi="Times New Roman" w:eastAsia="仿宋_GB2312" w:cs="Times New Roman"/>
          <w:sz w:val="32"/>
          <w:szCs w:val="32"/>
        </w:rPr>
        <w:t>万元，主要为</w:t>
      </w:r>
      <w:r>
        <w:rPr>
          <w:rFonts w:hint="eastAsia" w:ascii="Times New Roman" w:hAnsi="Times New Roman" w:eastAsia="仿宋_GB2312" w:cs="Times New Roman"/>
          <w:color w:val="000000" w:themeColor="text1"/>
          <w:sz w:val="32"/>
          <w:szCs w:val="32"/>
          <w14:textFill>
            <w14:solidFill>
              <w14:schemeClr w14:val="tx1"/>
            </w14:solidFill>
          </w14:textFill>
        </w:rPr>
        <w:t>教育经费、合同制教师人员经费</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无三公经费预算安排。（</w:t>
      </w:r>
      <w:r>
        <w:rPr>
          <w:rFonts w:ascii="Times New Roman" w:hAnsi="Times New Roman" w:eastAsia="仿宋_GB2312" w:cs="Times New Roman"/>
          <w:color w:val="000000" w:themeColor="text1"/>
          <w:sz w:val="32"/>
          <w:szCs w:val="32"/>
          <w14:textFill>
            <w14:solidFill>
              <w14:schemeClr w14:val="tx1"/>
            </w14:solidFill>
          </w14:textFill>
        </w:rPr>
        <w:t>与20</w:t>
      </w:r>
      <w:r>
        <w:rPr>
          <w:rFonts w:hint="eastAsia" w:ascii="Times New Roman" w:hAnsi="Times New Roman" w:eastAsia="仿宋_GB2312" w:cs="Times New Roman"/>
          <w:color w:val="000000" w:themeColor="text1"/>
          <w:sz w:val="32"/>
          <w:szCs w:val="32"/>
          <w14:textFill>
            <w14:solidFill>
              <w14:schemeClr w14:val="tx1"/>
            </w14:solidFill>
          </w14:textFill>
        </w:rPr>
        <w:t>2</w:t>
      </w:r>
      <w:r>
        <w:rPr>
          <w:rFonts w:ascii="Times New Roman" w:hAnsi="Times New Roman" w:eastAsia="仿宋_GB2312" w:cs="Times New Roman"/>
          <w:color w:val="000000" w:themeColor="text1"/>
          <w:sz w:val="32"/>
          <w:szCs w:val="32"/>
          <w14:textFill>
            <w14:solidFill>
              <w14:schemeClr w14:val="tx1"/>
            </w14:solidFill>
          </w14:textFill>
        </w:rPr>
        <w:t>1年相比</w:t>
      </w:r>
      <w:r>
        <w:rPr>
          <w:rFonts w:hint="eastAsia" w:ascii="Times New Roman" w:hAnsi="Times New Roman" w:eastAsia="仿宋_GB2312" w:cs="Times New Roman"/>
          <w:color w:val="000000" w:themeColor="text1"/>
          <w:sz w:val="32"/>
          <w:szCs w:val="32"/>
          <w14:textFill>
            <w14:solidFill>
              <w14:schemeClr w14:val="tx1"/>
            </w14:solidFill>
          </w14:textFill>
        </w:rPr>
        <w:t>持平</w:t>
      </w:r>
      <w:r>
        <w:rPr>
          <w:rFonts w:ascii="Times New Roman" w:hAnsi="Times New Roman" w:eastAsia="仿宋_GB2312" w:cs="Times New Roman"/>
          <w:color w:val="000000" w:themeColor="text1"/>
          <w:sz w:val="32"/>
          <w:szCs w:val="32"/>
          <w14:textFill>
            <w14:solidFill>
              <w14:schemeClr w14:val="tx1"/>
            </w14:solidFill>
          </w14:textFill>
        </w:rPr>
        <w:t>无增减变化</w:t>
      </w:r>
      <w:r>
        <w:rPr>
          <w:rFonts w:hint="eastAsia"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kinsoku/>
        <w:wordWrap/>
        <w:topLinePunct w:val="0"/>
        <w:autoSpaceDE/>
        <w:autoSpaceDN/>
        <w:bidi w:val="0"/>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kinsoku/>
        <w:wordWrap/>
        <w:topLinePunct w:val="0"/>
        <w:autoSpaceDE/>
        <w:autoSpaceDN/>
        <w:bidi w:val="0"/>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keepNext w:val="0"/>
        <w:keepLines w:val="0"/>
        <w:pageBreakBefore w:val="0"/>
        <w:kinsoku/>
        <w:wordWrap/>
        <w:topLinePunct w:val="0"/>
        <w:autoSpaceDE/>
        <w:autoSpaceDN/>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keepNext w:val="0"/>
        <w:keepLines w:val="0"/>
        <w:pageBreakBefore w:val="0"/>
        <w:kinsoku/>
        <w:wordWrap/>
        <w:topLinePunct w:val="0"/>
        <w:autoSpaceDE/>
        <w:autoSpaceDN/>
        <w:bidi w:val="0"/>
        <w:spacing w:line="584" w:lineRule="exact"/>
        <w:ind w:firstLine="640" w:firstLineChars="200"/>
        <w:textAlignment w:val="auto"/>
        <w:rPr>
          <w:rFonts w:ascii="仿宋_GB2312" w:eastAsia="仿宋_GB2312"/>
          <w:color w:val="000000"/>
          <w:sz w:val="32"/>
          <w:szCs w:val="32"/>
        </w:rPr>
      </w:pPr>
      <w:r>
        <w:rPr>
          <w:rFonts w:hint="eastAsia" w:ascii="仿宋_GB2312" w:eastAsia="仿宋_GB2312"/>
          <w:color w:val="000000"/>
          <w:sz w:val="32"/>
          <w:szCs w:val="32"/>
        </w:rPr>
        <w:t>提高义务教育公用经费保障水平，继续完善教育基础设施，推进学校建设，加快提升装备水平，改善办学条件。打造一流教师队伍，补充师资力量，提高专业素质，完善考核机制；优化教育教学管理；消除大班额问题；建立中小学校舍安全保障机制，提高素质教育水平，开展丰富多彩的教学活动。促进社会文化素质提高。全面加强党的建设，进一步落实从严管党治党要求，以习近平新时代中国特色社会主义思想统领教育系统党建工作，强化主体责任，在提升党建工作质量上下真功、用实劲、求实效。</w:t>
      </w:r>
    </w:p>
    <w:p>
      <w:pPr>
        <w:keepNext w:val="0"/>
        <w:keepLines w:val="0"/>
        <w:pageBreakBefore w:val="0"/>
        <w:kinsoku/>
        <w:wordWrap/>
        <w:topLinePunct w:val="0"/>
        <w:autoSpaceDE/>
        <w:autoSpaceDN/>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keepNext w:val="0"/>
        <w:keepLines w:val="0"/>
        <w:pageBreakBefore w:val="0"/>
        <w:widowControl/>
        <w:kinsoku/>
        <w:wordWrap/>
        <w:topLinePunct w:val="0"/>
        <w:autoSpaceDE/>
        <w:autoSpaceDN/>
        <w:bidi w:val="0"/>
        <w:spacing w:line="584"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提高义务教育公用经费保障水平，改善办学条件，均衡配置基础教育资源，推进标准化学校建设，实施数字化校园建设，加强学校文化建设，落实学生资助政策。促进义务教育均衡发展，建立中小学校舍安全保障机制，提高素质教育水平，开展丰富多彩的教学活动。促进社会文化素质提高。</w:t>
      </w:r>
    </w:p>
    <w:p>
      <w:pPr>
        <w:keepNext w:val="0"/>
        <w:keepLines w:val="0"/>
        <w:pageBreakBefore w:val="0"/>
        <w:widowControl/>
        <w:kinsoku/>
        <w:wordWrap/>
        <w:topLinePunct w:val="0"/>
        <w:autoSpaceDE/>
        <w:autoSpaceDN/>
        <w:bidi w:val="0"/>
        <w:spacing w:line="584"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1、提高义务教育水平，免除城市区中小学生学杂费，提供免费教科书，解决大班额问题及入学难问题。对贫困中小学生进行补助。</w:t>
      </w:r>
    </w:p>
    <w:p>
      <w:pPr>
        <w:keepNext w:val="0"/>
        <w:keepLines w:val="0"/>
        <w:pageBreakBefore w:val="0"/>
        <w:widowControl/>
        <w:kinsoku/>
        <w:wordWrap/>
        <w:topLinePunct w:val="0"/>
        <w:autoSpaceDE/>
        <w:autoSpaceDN/>
        <w:bidi w:val="0"/>
        <w:spacing w:line="584"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2、按质按量完成教育教学方面的各项任务，稳步提升学校的教育教学质量，学生综合素质评价优秀率达到85%,合格率达到100%。</w:t>
      </w:r>
    </w:p>
    <w:p>
      <w:pPr>
        <w:keepNext w:val="0"/>
        <w:keepLines w:val="0"/>
        <w:pageBreakBefore w:val="0"/>
        <w:widowControl/>
        <w:kinsoku/>
        <w:wordWrap/>
        <w:topLinePunct w:val="0"/>
        <w:autoSpaceDE/>
        <w:autoSpaceDN/>
        <w:bidi w:val="0"/>
        <w:spacing w:line="584"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中小学公用经费水平逐年提高，改善学校办学条件，保障义务教育阶段学校基本教学条件，使义务教育学校教学设施和生活设施满足基本教学需要，保障后勤社会化服务资金充足，使学校能够正常运转，超大班额现象消除，教师数量、素质、结构基本适应教学需要。</w:t>
      </w:r>
    </w:p>
    <w:p>
      <w:pPr>
        <w:keepNext w:val="0"/>
        <w:keepLines w:val="0"/>
        <w:pageBreakBefore w:val="0"/>
        <w:widowControl/>
        <w:kinsoku/>
        <w:wordWrap/>
        <w:topLinePunct w:val="0"/>
        <w:autoSpaceDE/>
        <w:autoSpaceDN/>
        <w:bidi w:val="0"/>
        <w:spacing w:line="584"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4、提升学校基础设施设备的整体水平。加强学校基础设施设备的维护,确保校园安全,落实校园防火及其他安全隐患的预防工作。确保校园各设施设备的正常运行。</w:t>
      </w:r>
    </w:p>
    <w:p>
      <w:pPr>
        <w:keepNext w:val="0"/>
        <w:keepLines w:val="0"/>
        <w:pageBreakBefore w:val="0"/>
        <w:widowControl/>
        <w:kinsoku/>
        <w:wordWrap/>
        <w:topLinePunct w:val="0"/>
        <w:autoSpaceDE/>
        <w:autoSpaceDN/>
        <w:bidi w:val="0"/>
        <w:spacing w:line="584"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5、开展各类课题研究、校本研究，加强教师培训和教学交流，提高教师教学水平，调动教师积极性，培养专家型教师人才，加强德育培训与研究，举办各类教育教学、学生社会实践活动，建立学生实践教育基地活动。提高学生的综合素质。</w:t>
      </w:r>
    </w:p>
    <w:p>
      <w:pPr>
        <w:keepNext w:val="0"/>
        <w:keepLines w:val="0"/>
        <w:pageBreakBefore w:val="0"/>
        <w:widowControl/>
        <w:kinsoku/>
        <w:wordWrap/>
        <w:topLinePunct w:val="0"/>
        <w:autoSpaceDE/>
        <w:autoSpaceDN/>
        <w:bidi w:val="0"/>
        <w:spacing w:line="584" w:lineRule="exact"/>
        <w:ind w:firstLine="640" w:firstLineChars="200"/>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6、学校的文化宣传整体布局,建成学校校史馆,完成各班级、各科室及教师办公室的文化宣传布置。加大学校办学理念、目标的宣传,形成具有特色的校园文化氛围。</w:t>
      </w:r>
    </w:p>
    <w:p>
      <w:pPr>
        <w:keepNext w:val="0"/>
        <w:keepLines w:val="0"/>
        <w:pageBreakBefore w:val="0"/>
        <w:kinsoku/>
        <w:wordWrap/>
        <w:topLinePunct w:val="0"/>
        <w:autoSpaceDE/>
        <w:autoSpaceDN/>
        <w:bidi w:val="0"/>
        <w:spacing w:line="584" w:lineRule="exact"/>
        <w:ind w:firstLine="640" w:firstLineChars="200"/>
        <w:textAlignment w:val="auto"/>
        <w:rPr>
          <w:rFonts w:ascii="宋体" w:hAnsi="宋体" w:cs="宋体"/>
          <w:color w:val="000000"/>
          <w:kern w:val="0"/>
          <w:sz w:val="28"/>
          <w:szCs w:val="28"/>
        </w:rPr>
      </w:pPr>
      <w:r>
        <w:rPr>
          <w:rFonts w:hint="eastAsia" w:ascii="仿宋_GB2312" w:hAnsi="宋体" w:eastAsia="仿宋_GB2312" w:cs="宋体"/>
          <w:color w:val="000000"/>
          <w:kern w:val="0"/>
          <w:sz w:val="32"/>
          <w:szCs w:val="32"/>
        </w:rPr>
        <w:t>7、办人民满意的学校,教师、学生、家长整体满意度达到90%以上。</w:t>
      </w:r>
    </w:p>
    <w:p>
      <w:pPr>
        <w:keepNext w:val="0"/>
        <w:keepLines w:val="0"/>
        <w:pageBreakBefore w:val="0"/>
        <w:kinsoku/>
        <w:wordWrap/>
        <w:topLinePunct w:val="0"/>
        <w:autoSpaceDE/>
        <w:autoSpaceDN/>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keepNext w:val="0"/>
        <w:keepLines w:val="0"/>
        <w:pageBreakBefore w:val="0"/>
        <w:widowControl/>
        <w:kinsoku/>
        <w:wordWrap/>
        <w:topLinePunct w:val="0"/>
        <w:autoSpaceDE/>
        <w:autoSpaceDN/>
        <w:bidi w:val="0"/>
        <w:spacing w:line="584" w:lineRule="exact"/>
        <w:ind w:firstLine="640" w:firstLineChars="200"/>
        <w:jc w:val="left"/>
        <w:textAlignment w:val="auto"/>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1、成立学校监督小组，监督学校工作，强化工作落实。</w:t>
      </w:r>
    </w:p>
    <w:p>
      <w:pPr>
        <w:keepNext w:val="0"/>
        <w:keepLines w:val="0"/>
        <w:pageBreakBefore w:val="0"/>
        <w:widowControl/>
        <w:kinsoku/>
        <w:wordWrap/>
        <w:topLinePunct w:val="0"/>
        <w:autoSpaceDE/>
        <w:autoSpaceDN/>
        <w:bidi w:val="0"/>
        <w:spacing w:line="584" w:lineRule="exact"/>
        <w:ind w:firstLine="640" w:firstLineChars="200"/>
        <w:jc w:val="left"/>
        <w:textAlignment w:val="auto"/>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2、做好工会工作。贯彻落实中央和省、市、区委关于重大节日开展对离退休干部进行走访慰问的指示精神，做好困难党员、群众、老教师、优抚对象、劳动模范的关心帮扶工作，充分体现党和政府对教育工作者的关怀。</w:t>
      </w:r>
    </w:p>
    <w:p>
      <w:pPr>
        <w:keepNext w:val="0"/>
        <w:keepLines w:val="0"/>
        <w:pageBreakBefore w:val="0"/>
        <w:widowControl/>
        <w:kinsoku/>
        <w:wordWrap/>
        <w:topLinePunct w:val="0"/>
        <w:autoSpaceDE/>
        <w:autoSpaceDN/>
        <w:bidi w:val="0"/>
        <w:spacing w:line="584" w:lineRule="exact"/>
        <w:ind w:firstLine="640" w:firstLineChars="200"/>
        <w:jc w:val="left"/>
        <w:textAlignment w:val="auto"/>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keepNext w:val="0"/>
        <w:keepLines w:val="0"/>
        <w:pageBreakBefore w:val="0"/>
        <w:widowControl/>
        <w:kinsoku/>
        <w:wordWrap/>
        <w:topLinePunct w:val="0"/>
        <w:autoSpaceDE/>
        <w:autoSpaceDN/>
        <w:bidi w:val="0"/>
        <w:spacing w:line="584" w:lineRule="exact"/>
        <w:ind w:firstLine="640" w:firstLineChars="200"/>
        <w:jc w:val="left"/>
        <w:textAlignment w:val="auto"/>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4、学校体育、卫生工作。按照《学校体育工作条例》和《关于强化学校体育促进学生身心健康全面发展的意见》“定期举办综合性学生运动会，开展学校体育竞赛活动”的要求，发展特色体育项目，积极参加省、市、区举办中小学竞赛项目；根据《关于加快推进全国青少年冰雪运动进校园的指导意见》要求，通过举办冰雪运动会、冰雪知识竞赛等活动方式，加快发展我区青少年冰雪运动，提升青少年学生体质健康水平；根据《中小学生健康体检管理办法》要求，对在校学生每年进行1次常规健康体检。</w:t>
      </w:r>
    </w:p>
    <w:p>
      <w:pPr>
        <w:keepNext w:val="0"/>
        <w:keepLines w:val="0"/>
        <w:pageBreakBefore w:val="0"/>
        <w:widowControl/>
        <w:kinsoku/>
        <w:wordWrap/>
        <w:topLinePunct w:val="0"/>
        <w:autoSpaceDE/>
        <w:autoSpaceDN/>
        <w:bidi w:val="0"/>
        <w:spacing w:line="584" w:lineRule="exact"/>
        <w:ind w:firstLine="640" w:firstLineChars="200"/>
        <w:jc w:val="left"/>
        <w:textAlignment w:val="auto"/>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5、完善拓展德育队伍建设，树立全员育人观念，并取得一定成绩，形成学校、家庭、社会三位一体的教育格局。完善强化德育评比体制。如班主任绩效考核、学生综合素质评定等，做好各级各类优秀集体和个人的评选工作。完善心理咨询室的建设，寓心理健康教育于教育教学工作中，开展好理论学习和个案分析。</w:t>
      </w:r>
    </w:p>
    <w:p>
      <w:pPr>
        <w:keepNext w:val="0"/>
        <w:keepLines w:val="0"/>
        <w:pageBreakBefore w:val="0"/>
        <w:widowControl/>
        <w:kinsoku/>
        <w:wordWrap/>
        <w:topLinePunct w:val="0"/>
        <w:autoSpaceDE/>
        <w:autoSpaceDN/>
        <w:bidi w:val="0"/>
        <w:spacing w:line="584" w:lineRule="exact"/>
        <w:ind w:firstLine="640" w:firstLineChars="200"/>
        <w:jc w:val="left"/>
        <w:textAlignment w:val="auto"/>
        <w:rPr>
          <w:rFonts w:ascii="仿宋_GB2312" w:eastAsia="仿宋_GB2312" w:cs="宋体"/>
          <w:color w:val="000000"/>
          <w:kern w:val="0"/>
          <w:sz w:val="32"/>
          <w:szCs w:val="32"/>
        </w:rPr>
      </w:pPr>
      <w:r>
        <w:rPr>
          <w:rFonts w:hint="eastAsia" w:ascii="仿宋_GB2312" w:hAnsi="宋体" w:eastAsia="仿宋_GB2312" w:cs="宋体"/>
          <w:color w:val="000000"/>
          <w:kern w:val="0"/>
          <w:sz w:val="32"/>
          <w:szCs w:val="32"/>
        </w:rPr>
        <w:t>6、加强政治理论学习，强化党风廉政建设。做好师德传承活动，落实老中青传帮带。弘扬办学精神。加强师德宣传与学习活动。开展形式多样、扎实有效的师德教育活动。</w:t>
      </w:r>
    </w:p>
    <w:p>
      <w:pPr>
        <w:keepNext w:val="0"/>
        <w:keepLines w:val="0"/>
        <w:pageBreakBefore w:val="0"/>
        <w:widowControl/>
        <w:kinsoku/>
        <w:wordWrap/>
        <w:topLinePunct w:val="0"/>
        <w:autoSpaceDE/>
        <w:autoSpaceDN/>
        <w:bidi w:val="0"/>
        <w:spacing w:line="584" w:lineRule="exact"/>
        <w:jc w:val="left"/>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逐步制订、完善相关制度，规范教师师德。加强校本培训和继续教育工作，提升教师能力。落实教师评价工作，完善考核机制。搭建教师发展平台。</w:t>
      </w:r>
    </w:p>
    <w:p>
      <w:pPr>
        <w:keepNext w:val="0"/>
        <w:keepLines w:val="0"/>
        <w:pageBreakBefore w:val="0"/>
        <w:kinsoku/>
        <w:wordWrap/>
        <w:overflowPunct w:val="0"/>
        <w:topLinePunct w:val="0"/>
        <w:autoSpaceDE/>
        <w:autoSpaceDN/>
        <w:bidi w:val="0"/>
        <w:adjustRightInd w:val="0"/>
        <w:snapToGrid w:val="0"/>
        <w:spacing w:afterLines="50" w:line="584" w:lineRule="exact"/>
        <w:ind w:firstLine="630" w:firstLineChars="196"/>
        <w:jc w:val="left"/>
        <w:textAlignment w:val="auto"/>
        <w:rPr>
          <w:rFonts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131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77"/>
        <w:gridCol w:w="992"/>
        <w:gridCol w:w="2126"/>
        <w:gridCol w:w="3544"/>
        <w:gridCol w:w="1984"/>
        <w:gridCol w:w="567"/>
        <w:gridCol w:w="581"/>
        <w:gridCol w:w="1404"/>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2" w:hRule="atLeast"/>
          <w:tblHeader/>
          <w:jc w:val="center"/>
        </w:trPr>
        <w:tc>
          <w:tcPr>
            <w:tcW w:w="5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99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2126"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354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984"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552"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35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27" w:hRule="atLeast"/>
          <w:tblHeader/>
          <w:jc w:val="center"/>
        </w:trPr>
        <w:tc>
          <w:tcPr>
            <w:tcW w:w="577" w:type="dxa"/>
            <w:vMerge w:val="continue"/>
            <w:tcBorders>
              <w:tl2br w:val="nil"/>
              <w:tr2bl w:val="nil"/>
            </w:tcBorders>
            <w:vAlign w:val="center"/>
          </w:tcPr>
          <w:p/>
        </w:tc>
        <w:tc>
          <w:tcPr>
            <w:tcW w:w="992" w:type="dxa"/>
            <w:vMerge w:val="continue"/>
            <w:tcBorders>
              <w:tl2br w:val="nil"/>
              <w:tr2bl w:val="nil"/>
            </w:tcBorders>
            <w:vAlign w:val="center"/>
          </w:tcPr>
          <w:p/>
        </w:tc>
        <w:tc>
          <w:tcPr>
            <w:tcW w:w="2126" w:type="dxa"/>
            <w:vMerge w:val="continue"/>
            <w:tcBorders>
              <w:tl2br w:val="nil"/>
              <w:tr2bl w:val="nil"/>
            </w:tcBorders>
            <w:vAlign w:val="center"/>
          </w:tcPr>
          <w:p/>
        </w:tc>
        <w:tc>
          <w:tcPr>
            <w:tcW w:w="3544" w:type="dxa"/>
            <w:vMerge w:val="continue"/>
            <w:tcBorders>
              <w:tl2br w:val="nil"/>
              <w:tr2bl w:val="nil"/>
            </w:tcBorders>
            <w:vAlign w:val="center"/>
          </w:tcPr>
          <w:p/>
        </w:tc>
        <w:tc>
          <w:tcPr>
            <w:tcW w:w="1984" w:type="dxa"/>
            <w:vMerge w:val="continue"/>
            <w:tcBorders>
              <w:tl2br w:val="nil"/>
              <w:tr2bl w:val="nil"/>
            </w:tcBorders>
            <w:vAlign w:val="center"/>
          </w:tcPr>
          <w:p/>
        </w:tc>
        <w:tc>
          <w:tcPr>
            <w:tcW w:w="56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581"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1404"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350"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86" w:hRule="atLeast"/>
          <w:jc w:val="center"/>
        </w:trPr>
        <w:tc>
          <w:tcPr>
            <w:tcW w:w="577"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初中生毕业生合格率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20分毕业生合格率100%得满分，否则不得分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初中生毕业生合格率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10分不低于95%得满分，否则不得分每减少1%扣1分，扣完为止</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重点工作实际完成率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20分合格率100%得满分，否则不得分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采购物资、建设工程合格率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100</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2"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10分及时完成得满分，否则不得分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学校的各项工作任务及时完成情况</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及时</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教育经费使用控制率</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10分教育经费决算数不大于调整预算数得满分，否则不得分</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支出的公用经费总额与预算安排的比率</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文字描述</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决算数不大于调整预算数</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6" w:hRule="atLeast"/>
          <w:jc w:val="center"/>
        </w:trPr>
        <w:tc>
          <w:tcPr>
            <w:tcW w:w="577"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2126"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义务教育高质量发展</w:t>
            </w:r>
          </w:p>
        </w:tc>
        <w:tc>
          <w:tcPr>
            <w:tcW w:w="354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10分学生、家长、社会对学校整体满意度达到95%得满分，每降低1%扣1分，扣完为止。</w:t>
            </w:r>
          </w:p>
        </w:tc>
        <w:tc>
          <w:tcPr>
            <w:tcW w:w="1984"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推动义务教育从数量扩张向质量提高转变</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62"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满意度</w:t>
            </w:r>
          </w:p>
        </w:tc>
        <w:tc>
          <w:tcPr>
            <w:tcW w:w="2126"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354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10分在校师生的满意度达到95%得满分，每降低1%扣1分，扣完为止。</w:t>
            </w:r>
          </w:p>
        </w:tc>
        <w:tc>
          <w:tcPr>
            <w:tcW w:w="198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在校师生的满意程度</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6" w:hRule="atLeast"/>
          <w:jc w:val="center"/>
        </w:trPr>
        <w:tc>
          <w:tcPr>
            <w:tcW w:w="577" w:type="dxa"/>
            <w:vMerge w:val="continue"/>
            <w:tcBorders>
              <w:tl2br w:val="nil"/>
              <w:tr2bl w:val="nil"/>
            </w:tcBorders>
            <w:vAlign w:val="center"/>
          </w:tcPr>
          <w:p/>
        </w:tc>
        <w:tc>
          <w:tcPr>
            <w:tcW w:w="992"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2126"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354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10分家长的满意度达到95%得满分，每降低1%扣1分，扣完为止。</w:t>
            </w:r>
          </w:p>
        </w:tc>
        <w:tc>
          <w:tcPr>
            <w:tcW w:w="1984" w:type="dxa"/>
            <w:tcBorders>
              <w:tl2br w:val="nil"/>
              <w:tr2bl w:val="nil"/>
            </w:tcBorders>
            <w:noWrap/>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家长的满意程度</w:t>
            </w:r>
          </w:p>
        </w:tc>
        <w:tc>
          <w:tcPr>
            <w:tcW w:w="567"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581"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95</w:t>
            </w:r>
          </w:p>
        </w:tc>
        <w:tc>
          <w:tcPr>
            <w:tcW w:w="1404" w:type="dxa"/>
            <w:tcBorders>
              <w:tl2br w:val="nil"/>
              <w:tr2bl w:val="nil"/>
            </w:tcBorders>
            <w:vAlign w:val="center"/>
          </w:tcPr>
          <w:p>
            <w:pPr>
              <w:jc w:val="cente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w:t>
            </w:r>
          </w:p>
        </w:tc>
        <w:tc>
          <w:tcPr>
            <w:tcW w:w="1350" w:type="dxa"/>
            <w:tcBorders>
              <w:tl2br w:val="nil"/>
              <w:tr2bl w:val="nil"/>
            </w:tcBorders>
            <w:vAlign w:val="center"/>
          </w:tcPr>
          <w:p>
            <w:pPr>
              <w:rPr>
                <w:rFonts w:hint="eastAsia" w:ascii="仿宋_GB2312" w:hAnsi="仿宋_GB2312" w:eastAsia="仿宋_GB2312" w:cs="仿宋_GB2312"/>
                <w:color w:val="000000"/>
                <w:sz w:val="22"/>
              </w:rPr>
            </w:pPr>
            <w:r>
              <w:rPr>
                <w:rFonts w:hint="eastAsia" w:ascii="仿宋_GB2312" w:hAnsi="仿宋_GB2312" w:eastAsia="仿宋_GB2312" w:cs="仿宋_GB2312"/>
                <w:color w:val="000000"/>
                <w:sz w:val="22"/>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before="0" w:after="0"/>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1.城乡义务教育生均公用经费[区级]绩效目标表</w:t>
      </w:r>
      <w:bookmarkEnd w:id="0"/>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65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0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1.保障义务教育教学正常的进行。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2.改善办学条件，提升教育环境。</w:t>
            </w:r>
          </w:p>
          <w:p>
            <w:pPr>
              <w:pStyle w:val="14"/>
              <w:rPr>
                <w:rFonts w:hint="eastAsia" w:ascii="仿宋_GB2312" w:hAnsi="仿宋_GB2312" w:eastAsia="仿宋_GB2312" w:cs="仿宋_GB2312"/>
              </w:rPr>
            </w:pPr>
            <w:r>
              <w:rPr>
                <w:rFonts w:hint="eastAsia" w:ascii="仿宋_GB2312" w:hAnsi="仿宋_GB2312" w:eastAsia="仿宋_GB2312" w:cs="仿宋_GB2312"/>
              </w:rPr>
              <w:t>3.开展教师培训，提高教师队伍水平。</w:t>
            </w:r>
          </w:p>
          <w:p>
            <w:pPr>
              <w:pStyle w:val="14"/>
              <w:rPr>
                <w:rFonts w:hint="eastAsia" w:ascii="仿宋_GB2312" w:hAnsi="仿宋_GB2312" w:eastAsia="仿宋_GB2312" w:cs="仿宋_GB2312"/>
              </w:rPr>
            </w:pPr>
            <w:r>
              <w:rPr>
                <w:rFonts w:hint="eastAsia" w:ascii="仿宋_GB2312" w:hAnsi="仿宋_GB2312" w:eastAsia="仿宋_GB2312" w:cs="仿宋_GB2312"/>
              </w:rPr>
              <w:t>4.开展文体活动，提高学生综合素质。</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2"/>
        <w:gridCol w:w="759"/>
        <w:gridCol w:w="2114"/>
        <w:gridCol w:w="2693"/>
        <w:gridCol w:w="976"/>
        <w:gridCol w:w="45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81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5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211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93"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976"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459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2"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5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1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9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1680人</w:t>
            </w:r>
          </w:p>
        </w:tc>
        <w:tc>
          <w:tcPr>
            <w:tcW w:w="45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2" w:type="dxa"/>
            <w:vMerge w:val="continue"/>
            <w:vAlign w:val="center"/>
          </w:tcPr>
          <w:p>
            <w:pPr>
              <w:rPr>
                <w:rFonts w:hint="eastAsia" w:ascii="仿宋_GB2312" w:hAnsi="仿宋_GB2312" w:eastAsia="仿宋_GB2312" w:cs="仿宋_GB2312"/>
              </w:rPr>
            </w:pPr>
          </w:p>
        </w:tc>
        <w:tc>
          <w:tcPr>
            <w:tcW w:w="75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1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6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9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45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2" w:type="dxa"/>
            <w:vMerge w:val="continue"/>
            <w:vAlign w:val="center"/>
          </w:tcPr>
          <w:p>
            <w:pPr>
              <w:rPr>
                <w:rFonts w:hint="eastAsia" w:ascii="仿宋_GB2312" w:hAnsi="仿宋_GB2312" w:eastAsia="仿宋_GB2312" w:cs="仿宋_GB2312"/>
              </w:rPr>
            </w:pPr>
          </w:p>
        </w:tc>
        <w:tc>
          <w:tcPr>
            <w:tcW w:w="75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1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9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45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2" w:type="dxa"/>
            <w:vMerge w:val="continue"/>
            <w:vAlign w:val="center"/>
          </w:tcPr>
          <w:p>
            <w:pPr>
              <w:rPr>
                <w:rFonts w:hint="eastAsia" w:ascii="仿宋_GB2312" w:hAnsi="仿宋_GB2312" w:eastAsia="仿宋_GB2312" w:cs="仿宋_GB2312"/>
              </w:rPr>
            </w:pPr>
          </w:p>
        </w:tc>
        <w:tc>
          <w:tcPr>
            <w:tcW w:w="75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1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使用生均公用经费，用于保障学校正常运转的项目支出成本等于935元/生</w:t>
            </w:r>
          </w:p>
        </w:tc>
        <w:tc>
          <w:tcPr>
            <w:tcW w:w="9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935元</w:t>
            </w:r>
          </w:p>
        </w:tc>
        <w:tc>
          <w:tcPr>
            <w:tcW w:w="45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关于印发教育领域省市、县财政事权和支出责任划分改革实施方案的通知（冀财教[2019]66号）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5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1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6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9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45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冀财教【2019】66号文件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2"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5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11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93"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97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459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1" w:name="_Toc_4_4_0000000005"/>
      <w:r>
        <w:rPr>
          <w:rFonts w:hint="eastAsia" w:ascii="仿宋_GB2312" w:hAnsi="仿宋_GB2312" w:eastAsia="仿宋_GB2312" w:cs="仿宋_GB2312"/>
          <w:color w:val="000000"/>
          <w:sz w:val="28"/>
        </w:rPr>
        <w:t>2.城乡义务教育生均公用经费[中央]绩效目标表</w:t>
      </w:r>
      <w:bookmarkEnd w:id="1"/>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018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1018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1.廊坊市第三中学学校对2022年在校学生1680人，按照义务教育生均公用经费标准申请财政预算资金，通过合理、合规使用资金达到保证学校正常运转，改善办学条件，促进义务教育发展。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36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5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364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申请生均公用经费的学生人数</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按文件要求申请生均公用经费的学生人数</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1680人</w:t>
            </w:r>
          </w:p>
        </w:tc>
        <w:tc>
          <w:tcPr>
            <w:tcW w:w="36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生均公用经费使用的合规率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生均公用经费使用符合文件中的相关规定</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6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使用生均公用经费，用于保障学校正常运转的项目完成情况</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36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按进度及时完成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使用生均公用经费，用于保障学校正常运转的项目支出成本等于935元/生</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935元</w:t>
            </w:r>
          </w:p>
        </w:tc>
        <w:tc>
          <w:tcPr>
            <w:tcW w:w="36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廊坊市财政局廊坊市教育局关于提前下达2022年城乡义务教育中央补助经费预算（直达资金）的通知（廊财教[2021]62号）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该资金用于学校正常运转，改善办学条件，促进义务教育均衡发展及学生素质提高</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支持</w:t>
            </w:r>
          </w:p>
        </w:tc>
        <w:tc>
          <w:tcPr>
            <w:tcW w:w="36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廊财教[2021]62号文件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5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364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2" w:name="_Toc_4_4_0000000006"/>
      <w:r>
        <w:rPr>
          <w:rFonts w:hint="eastAsia" w:ascii="仿宋_GB2312" w:hAnsi="仿宋_GB2312" w:eastAsia="仿宋_GB2312" w:cs="仿宋_GB2312"/>
          <w:color w:val="000000"/>
          <w:sz w:val="28"/>
        </w:rPr>
        <w:t>3.合同制教师人员经费绩效目标表</w:t>
      </w:r>
      <w:bookmarkEnd w:id="2"/>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7962"/>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796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1.缓解教师短缺，保障教育教学正常的进行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2.保障教学质量，提升教育水平</w:t>
            </w:r>
          </w:p>
          <w:p>
            <w:pPr>
              <w:pStyle w:val="14"/>
              <w:rPr>
                <w:rFonts w:hint="eastAsia" w:ascii="仿宋_GB2312" w:hAnsi="仿宋_GB2312" w:eastAsia="仿宋_GB2312" w:cs="仿宋_GB2312"/>
              </w:rPr>
            </w:pPr>
            <w:r>
              <w:rPr>
                <w:rFonts w:hint="eastAsia" w:ascii="仿宋_GB2312" w:hAnsi="仿宋_GB2312" w:eastAsia="仿宋_GB2312" w:cs="仿宋_GB2312"/>
              </w:rPr>
              <w:t>3.保障合同制教师工资福利待遇，并及时发放。</w:t>
            </w:r>
          </w:p>
          <w:p>
            <w:pPr>
              <w:pStyle w:val="14"/>
              <w:rPr>
                <w:rFonts w:hint="eastAsia" w:ascii="仿宋_GB2312" w:hAnsi="仿宋_GB2312" w:eastAsia="仿宋_GB2312" w:cs="仿宋_GB2312"/>
              </w:rPr>
            </w:pPr>
            <w:r>
              <w:rPr>
                <w:rFonts w:hint="eastAsia" w:ascii="仿宋_GB2312" w:hAnsi="仿宋_GB2312" w:eastAsia="仿宋_GB2312" w:cs="仿宋_GB2312"/>
              </w:rPr>
              <w:t>4.学生、学校、家长对合同制教师的满意度达到95%以上</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232"/>
        <w:gridCol w:w="1485"/>
        <w:gridCol w:w="159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232"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485"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591"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合同制教师在校人数</w:t>
            </w:r>
          </w:p>
        </w:tc>
        <w:tc>
          <w:tcPr>
            <w:tcW w:w="22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保障2022合同制教师 26人工资福利</w:t>
            </w:r>
          </w:p>
        </w:tc>
        <w:tc>
          <w:tcPr>
            <w:tcW w:w="14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26人</w:t>
            </w:r>
          </w:p>
        </w:tc>
        <w:tc>
          <w:tcPr>
            <w:tcW w:w="15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合同制教师完成岗位目标</w:t>
            </w:r>
          </w:p>
        </w:tc>
        <w:tc>
          <w:tcPr>
            <w:tcW w:w="22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不同学科合同制教师岗位目标明确，并得以执行</w:t>
            </w:r>
          </w:p>
        </w:tc>
        <w:tc>
          <w:tcPr>
            <w:tcW w:w="14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完成岗位目标职责</w:t>
            </w:r>
          </w:p>
        </w:tc>
        <w:tc>
          <w:tcPr>
            <w:tcW w:w="15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合同制教师的考核合格率</w:t>
            </w:r>
          </w:p>
        </w:tc>
        <w:tc>
          <w:tcPr>
            <w:tcW w:w="22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合格率达到100%</w:t>
            </w:r>
          </w:p>
        </w:tc>
        <w:tc>
          <w:tcPr>
            <w:tcW w:w="14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≥98%</w:t>
            </w:r>
          </w:p>
        </w:tc>
        <w:tc>
          <w:tcPr>
            <w:tcW w:w="15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资金支出率（%）</w:t>
            </w:r>
          </w:p>
        </w:tc>
        <w:tc>
          <w:tcPr>
            <w:tcW w:w="22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按月支付合同制教师工资及缴纳社会保障及住房公积金</w:t>
            </w:r>
          </w:p>
        </w:tc>
        <w:tc>
          <w:tcPr>
            <w:tcW w:w="14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5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保障项目正常运行</w:t>
            </w:r>
          </w:p>
        </w:tc>
        <w:tc>
          <w:tcPr>
            <w:tcW w:w="22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合同制教师薪酬测算标准</w:t>
            </w:r>
          </w:p>
        </w:tc>
        <w:tc>
          <w:tcPr>
            <w:tcW w:w="14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根据廊广传【2021】19号文件合同制教师与在职教师同工同酬</w:t>
            </w:r>
          </w:p>
        </w:tc>
        <w:tc>
          <w:tcPr>
            <w:tcW w:w="15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缓解师资供需矛盾</w:t>
            </w:r>
          </w:p>
        </w:tc>
        <w:tc>
          <w:tcPr>
            <w:tcW w:w="22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缓解教师短缺，保障教育教学正常的进行</w:t>
            </w:r>
          </w:p>
        </w:tc>
        <w:tc>
          <w:tcPr>
            <w:tcW w:w="14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缓解</w:t>
            </w:r>
          </w:p>
        </w:tc>
        <w:tc>
          <w:tcPr>
            <w:tcW w:w="15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学生满意度</w:t>
            </w:r>
          </w:p>
        </w:tc>
        <w:tc>
          <w:tcPr>
            <w:tcW w:w="22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所教班级学生满意度</w:t>
            </w:r>
          </w:p>
        </w:tc>
        <w:tc>
          <w:tcPr>
            <w:tcW w:w="14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5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学校满意度</w:t>
            </w:r>
          </w:p>
        </w:tc>
        <w:tc>
          <w:tcPr>
            <w:tcW w:w="22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在校教师满意度</w:t>
            </w:r>
          </w:p>
        </w:tc>
        <w:tc>
          <w:tcPr>
            <w:tcW w:w="14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5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家长满意度</w:t>
            </w:r>
          </w:p>
        </w:tc>
        <w:tc>
          <w:tcPr>
            <w:tcW w:w="2232"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所教班级家长满意度</w:t>
            </w:r>
          </w:p>
        </w:tc>
        <w:tc>
          <w:tcPr>
            <w:tcW w:w="1485"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591"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rPr>
      </w:pPr>
      <w:bookmarkStart w:id="3" w:name="_Toc_4_4_0000000007"/>
      <w:r>
        <w:rPr>
          <w:rFonts w:hint="eastAsia" w:ascii="仿宋_GB2312" w:hAnsi="仿宋_GB2312" w:eastAsia="仿宋_GB2312" w:cs="仿宋_GB2312"/>
          <w:color w:val="000000"/>
          <w:sz w:val="28"/>
        </w:rPr>
        <w:t>4.教育经费绩效目标表</w:t>
      </w:r>
      <w:bookmarkEnd w:id="3"/>
    </w:p>
    <w:tbl>
      <w:tblPr>
        <w:tblStyle w:val="8"/>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972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9726"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1.弥补办公经费不足，保障教育教学正常的进行。</w:t>
            </w:r>
          </w:p>
          <w:p>
            <w:pPr>
              <w:pStyle w:val="14"/>
              <w:rPr>
                <w:rFonts w:hint="eastAsia" w:ascii="仿宋_GB2312" w:hAnsi="仿宋_GB2312" w:eastAsia="仿宋_GB2312" w:cs="仿宋_GB2312"/>
              </w:rPr>
            </w:pPr>
            <w:r>
              <w:rPr>
                <w:rFonts w:hint="eastAsia" w:ascii="仿宋_GB2312" w:hAnsi="仿宋_GB2312" w:eastAsia="仿宋_GB2312" w:cs="仿宋_GB2312"/>
              </w:rPr>
              <w:t>2.改善办学条件，提高教育教学环境。</w:t>
            </w:r>
          </w:p>
          <w:p>
            <w:pPr>
              <w:pStyle w:val="14"/>
              <w:rPr>
                <w:rFonts w:hint="eastAsia" w:ascii="仿宋_GB2312" w:hAnsi="仿宋_GB2312" w:eastAsia="仿宋_GB2312" w:cs="仿宋_GB2312"/>
              </w:rPr>
            </w:pPr>
            <w:r>
              <w:rPr>
                <w:rFonts w:hint="eastAsia" w:ascii="仿宋_GB2312" w:hAnsi="仿宋_GB2312" w:eastAsia="仿宋_GB2312" w:cs="仿宋_GB2312"/>
              </w:rPr>
              <w:t>3.开展文化体育等社会活动，提高学校社会影响力。</w:t>
            </w:r>
          </w:p>
          <w:p>
            <w:pPr>
              <w:pStyle w:val="14"/>
              <w:rPr>
                <w:rFonts w:hint="eastAsia" w:ascii="仿宋_GB2312" w:hAnsi="仿宋_GB2312" w:eastAsia="仿宋_GB2312" w:cs="仿宋_GB2312"/>
              </w:rPr>
            </w:pPr>
            <w:r>
              <w:rPr>
                <w:rFonts w:hint="eastAsia" w:ascii="仿宋_GB2312" w:hAnsi="仿宋_GB2312" w:eastAsia="仿宋_GB2312" w:cs="仿宋_GB2312"/>
              </w:rPr>
              <w:t>4.开展教师培训，提高教师队伍水平。</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2170"/>
        <w:gridCol w:w="2674"/>
        <w:gridCol w:w="1467"/>
        <w:gridCol w:w="20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132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2170"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2674"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1467"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2039" w:type="dxa"/>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21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保12个月教学正常运转</w:t>
            </w:r>
          </w:p>
        </w:tc>
        <w:tc>
          <w:tcPr>
            <w:tcW w:w="26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保障教学正常运转时长</w:t>
            </w:r>
          </w:p>
        </w:tc>
        <w:tc>
          <w:tcPr>
            <w:tcW w:w="146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203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实际教学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1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物资采购合格率</w:t>
            </w:r>
          </w:p>
        </w:tc>
        <w:tc>
          <w:tcPr>
            <w:tcW w:w="26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保障日常教学器材及物资充裕</w:t>
            </w:r>
          </w:p>
        </w:tc>
        <w:tc>
          <w:tcPr>
            <w:tcW w:w="146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w:t>
            </w:r>
          </w:p>
        </w:tc>
        <w:tc>
          <w:tcPr>
            <w:tcW w:w="203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物资质量评价标准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21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上级下达学校的各项工作任务完成率</w:t>
            </w:r>
          </w:p>
        </w:tc>
        <w:tc>
          <w:tcPr>
            <w:tcW w:w="26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保证完成上级下达学校的各项工作任务</w:t>
            </w:r>
          </w:p>
        </w:tc>
        <w:tc>
          <w:tcPr>
            <w:tcW w:w="146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w:t>
            </w:r>
          </w:p>
        </w:tc>
        <w:tc>
          <w:tcPr>
            <w:tcW w:w="203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21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用于保障学校正常运转项目完成及时率</w:t>
            </w:r>
          </w:p>
        </w:tc>
        <w:tc>
          <w:tcPr>
            <w:tcW w:w="26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及时提供的教学用品、保障教学设施、设备正常运行</w:t>
            </w:r>
          </w:p>
        </w:tc>
        <w:tc>
          <w:tcPr>
            <w:tcW w:w="146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203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21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经费支出成本</w:t>
            </w:r>
          </w:p>
        </w:tc>
        <w:tc>
          <w:tcPr>
            <w:tcW w:w="26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经费各项支出不高于项目资金总额</w:t>
            </w:r>
          </w:p>
        </w:tc>
        <w:tc>
          <w:tcPr>
            <w:tcW w:w="146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≤57.32万元</w:t>
            </w:r>
          </w:p>
        </w:tc>
        <w:tc>
          <w:tcPr>
            <w:tcW w:w="203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1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义务教育高质量发展</w:t>
            </w:r>
          </w:p>
        </w:tc>
        <w:tc>
          <w:tcPr>
            <w:tcW w:w="26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推动义务教育从数量扩张向质量提高转变</w:t>
            </w:r>
          </w:p>
        </w:tc>
        <w:tc>
          <w:tcPr>
            <w:tcW w:w="146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提高</w:t>
            </w:r>
          </w:p>
        </w:tc>
        <w:tc>
          <w:tcPr>
            <w:tcW w:w="203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部门职责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1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26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在校师生的满意程度</w:t>
            </w:r>
          </w:p>
        </w:tc>
        <w:tc>
          <w:tcPr>
            <w:tcW w:w="146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03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vAlign w:val="center"/>
          </w:tcPr>
          <w:p>
            <w:pPr>
              <w:rPr>
                <w:rFonts w:hint="eastAsia" w:ascii="仿宋_GB2312" w:hAnsi="仿宋_GB2312" w:eastAsia="仿宋_GB2312" w:cs="仿宋_GB2312"/>
              </w:rPr>
            </w:pPr>
          </w:p>
        </w:tc>
        <w:tc>
          <w:tcPr>
            <w:tcW w:w="132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170"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2674"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家长的满意程度</w:t>
            </w:r>
          </w:p>
        </w:tc>
        <w:tc>
          <w:tcPr>
            <w:tcW w:w="1467"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2039" w:type="dxa"/>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调查问卷</w:t>
            </w:r>
          </w:p>
        </w:tc>
      </w:tr>
    </w:tbl>
    <w:p>
      <w:pPr>
        <w:autoSpaceDE w:val="0"/>
        <w:autoSpaceDN w:val="0"/>
        <w:adjustRightInd w:val="0"/>
        <w:spacing w:line="584" w:lineRule="exact"/>
        <w:ind w:firstLine="480" w:firstLineChars="15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4"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4"/>
    <w:p>
      <w:pPr>
        <w:jc w:val="center"/>
        <w:outlineLvl w:val="1"/>
        <w:rPr>
          <w:rFonts w:ascii="方正小标宋_GBK" w:eastAsia="方正小标宋_GBK" w:cs="Times New Roman"/>
          <w:sz w:val="32"/>
        </w:rPr>
      </w:pPr>
      <w:bookmarkStart w:id="5" w:name="_Toc64920910"/>
      <w:r>
        <w:rPr>
          <w:rFonts w:hint="eastAsia" w:ascii="方正小标宋_GBK" w:eastAsia="方正小标宋_GBK" w:cs="Times New Roman"/>
          <w:sz w:val="32"/>
        </w:rPr>
        <w:t>部门政府采购预算</w:t>
      </w:r>
      <w:bookmarkEnd w:id="5"/>
    </w:p>
    <w:p>
      <w:pPr>
        <w:outlineLvl w:val="1"/>
        <w:rPr>
          <w:rFonts w:ascii="方正小标宋_GBK" w:eastAsia="方正小标宋_GBK" w:cs="Times New Roman"/>
          <w:sz w:val="32"/>
        </w:rPr>
      </w:pPr>
      <w:r>
        <w:rPr>
          <w:rFonts w:hint="eastAsia"/>
        </w:rPr>
        <w:t>廊坊市第三中学</w:t>
      </w:r>
      <w:r>
        <w:t xml:space="preserve">                                                                                                         单位：万元</w:t>
      </w:r>
    </w:p>
    <w:tbl>
      <w:tblPr>
        <w:tblStyle w:val="8"/>
        <w:tblW w:w="1550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3"/>
        <w:gridCol w:w="970"/>
        <w:gridCol w:w="1141"/>
        <w:gridCol w:w="1141"/>
        <w:gridCol w:w="713"/>
        <w:gridCol w:w="855"/>
        <w:gridCol w:w="855"/>
        <w:gridCol w:w="970"/>
        <w:gridCol w:w="970"/>
        <w:gridCol w:w="970"/>
        <w:gridCol w:w="970"/>
        <w:gridCol w:w="970"/>
        <w:gridCol w:w="970"/>
        <w:gridCol w:w="970"/>
        <w:gridCol w:w="970"/>
        <w:gridCol w:w="9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tblHeader/>
          <w:jc w:val="center"/>
        </w:trPr>
        <w:tc>
          <w:tcPr>
            <w:tcW w:w="2073" w:type="dxa"/>
            <w:gridSpan w:val="2"/>
            <w:vAlign w:val="center"/>
          </w:tcPr>
          <w:p>
            <w:pPr>
              <w:pStyle w:val="12"/>
            </w:pPr>
            <w:r>
              <w:t>政府采购项目来源</w:t>
            </w:r>
          </w:p>
        </w:tc>
        <w:tc>
          <w:tcPr>
            <w:tcW w:w="1141" w:type="dxa"/>
            <w:vMerge w:val="restart"/>
            <w:vAlign w:val="center"/>
          </w:tcPr>
          <w:p>
            <w:pPr>
              <w:pStyle w:val="12"/>
            </w:pPr>
            <w:r>
              <w:t>采购物品名称</w:t>
            </w:r>
          </w:p>
        </w:tc>
        <w:tc>
          <w:tcPr>
            <w:tcW w:w="1141" w:type="dxa"/>
            <w:vMerge w:val="restart"/>
            <w:vAlign w:val="center"/>
          </w:tcPr>
          <w:p>
            <w:pPr>
              <w:pStyle w:val="12"/>
            </w:pPr>
            <w:r>
              <w:t>政府采购目录序号</w:t>
            </w:r>
          </w:p>
        </w:tc>
        <w:tc>
          <w:tcPr>
            <w:tcW w:w="713" w:type="dxa"/>
            <w:vMerge w:val="restart"/>
            <w:vAlign w:val="center"/>
          </w:tcPr>
          <w:p>
            <w:pPr>
              <w:pStyle w:val="12"/>
            </w:pPr>
            <w:r>
              <w:t>计量  单位</w:t>
            </w:r>
          </w:p>
        </w:tc>
        <w:tc>
          <w:tcPr>
            <w:tcW w:w="855" w:type="dxa"/>
            <w:vMerge w:val="restart"/>
            <w:vAlign w:val="center"/>
          </w:tcPr>
          <w:p>
            <w:pPr>
              <w:pStyle w:val="12"/>
            </w:pPr>
            <w:r>
              <w:t>数量</w:t>
            </w:r>
          </w:p>
        </w:tc>
        <w:tc>
          <w:tcPr>
            <w:tcW w:w="855" w:type="dxa"/>
            <w:vMerge w:val="restart"/>
            <w:vAlign w:val="center"/>
          </w:tcPr>
          <w:p>
            <w:pPr>
              <w:pStyle w:val="12"/>
            </w:pPr>
            <w:r>
              <w:t>单价</w:t>
            </w:r>
          </w:p>
        </w:tc>
        <w:tc>
          <w:tcPr>
            <w:tcW w:w="7760" w:type="dxa"/>
            <w:gridSpan w:val="8"/>
            <w:vAlign w:val="center"/>
          </w:tcPr>
          <w:p>
            <w:pPr>
              <w:pStyle w:val="12"/>
            </w:pPr>
            <w:r>
              <w:t>政府采购金额（当年部门预算安排资金）</w:t>
            </w:r>
          </w:p>
        </w:tc>
        <w:tc>
          <w:tcPr>
            <w:tcW w:w="970"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02" w:hRule="atLeast"/>
          <w:tblHeader/>
          <w:jc w:val="center"/>
        </w:trPr>
        <w:tc>
          <w:tcPr>
            <w:tcW w:w="1103" w:type="dxa"/>
            <w:vAlign w:val="center"/>
          </w:tcPr>
          <w:p>
            <w:pPr>
              <w:pStyle w:val="12"/>
            </w:pPr>
            <w:r>
              <w:t>项目名称</w:t>
            </w:r>
          </w:p>
        </w:tc>
        <w:tc>
          <w:tcPr>
            <w:tcW w:w="970" w:type="dxa"/>
            <w:vAlign w:val="center"/>
          </w:tcPr>
          <w:p>
            <w:pPr>
              <w:pStyle w:val="12"/>
            </w:pPr>
            <w:r>
              <w:t>预算    资金</w:t>
            </w:r>
          </w:p>
        </w:tc>
        <w:tc>
          <w:tcPr>
            <w:tcW w:w="1141" w:type="dxa"/>
            <w:vMerge w:val="continue"/>
          </w:tcPr>
          <w:p/>
        </w:tc>
        <w:tc>
          <w:tcPr>
            <w:tcW w:w="1141" w:type="dxa"/>
            <w:vMerge w:val="continue"/>
          </w:tcPr>
          <w:p/>
        </w:tc>
        <w:tc>
          <w:tcPr>
            <w:tcW w:w="713" w:type="dxa"/>
            <w:vMerge w:val="continue"/>
          </w:tcPr>
          <w:p/>
        </w:tc>
        <w:tc>
          <w:tcPr>
            <w:tcW w:w="855" w:type="dxa"/>
            <w:vMerge w:val="continue"/>
          </w:tcPr>
          <w:p/>
        </w:tc>
        <w:tc>
          <w:tcPr>
            <w:tcW w:w="855" w:type="dxa"/>
            <w:vMerge w:val="continue"/>
          </w:tcPr>
          <w:p/>
        </w:tc>
        <w:tc>
          <w:tcPr>
            <w:tcW w:w="970" w:type="dxa"/>
            <w:vAlign w:val="center"/>
          </w:tcPr>
          <w:p>
            <w:pPr>
              <w:pStyle w:val="12"/>
            </w:pPr>
            <w:r>
              <w:t>合计</w:t>
            </w:r>
          </w:p>
        </w:tc>
        <w:tc>
          <w:tcPr>
            <w:tcW w:w="970" w:type="dxa"/>
            <w:vAlign w:val="center"/>
          </w:tcPr>
          <w:p>
            <w:pPr>
              <w:pStyle w:val="12"/>
            </w:pPr>
            <w:r>
              <w:t>一般公共预算拨款</w:t>
            </w:r>
          </w:p>
        </w:tc>
        <w:tc>
          <w:tcPr>
            <w:tcW w:w="970" w:type="dxa"/>
            <w:vAlign w:val="center"/>
          </w:tcPr>
          <w:p>
            <w:pPr>
              <w:pStyle w:val="12"/>
            </w:pPr>
            <w:r>
              <w:t>基金预算拨款</w:t>
            </w:r>
          </w:p>
        </w:tc>
        <w:tc>
          <w:tcPr>
            <w:tcW w:w="970" w:type="dxa"/>
            <w:vAlign w:val="center"/>
          </w:tcPr>
          <w:p>
            <w:pPr>
              <w:pStyle w:val="12"/>
            </w:pPr>
            <w:r>
              <w:t>国有资本经营预算拨款</w:t>
            </w:r>
          </w:p>
        </w:tc>
        <w:tc>
          <w:tcPr>
            <w:tcW w:w="970" w:type="dxa"/>
            <w:vAlign w:val="center"/>
          </w:tcPr>
          <w:p>
            <w:pPr>
              <w:pStyle w:val="12"/>
            </w:pPr>
            <w:r>
              <w:t>财政专户核拨</w:t>
            </w:r>
          </w:p>
        </w:tc>
        <w:tc>
          <w:tcPr>
            <w:tcW w:w="970" w:type="dxa"/>
            <w:vAlign w:val="center"/>
          </w:tcPr>
          <w:p>
            <w:pPr>
              <w:pStyle w:val="12"/>
            </w:pPr>
            <w:r>
              <w:t>单位    资金</w:t>
            </w:r>
          </w:p>
        </w:tc>
        <w:tc>
          <w:tcPr>
            <w:tcW w:w="970" w:type="dxa"/>
            <w:vAlign w:val="center"/>
          </w:tcPr>
          <w:p>
            <w:pPr>
              <w:pStyle w:val="12"/>
            </w:pPr>
            <w:r>
              <w:t>财政拨    款结转</w:t>
            </w:r>
          </w:p>
        </w:tc>
        <w:tc>
          <w:tcPr>
            <w:tcW w:w="970" w:type="dxa"/>
            <w:vAlign w:val="center"/>
          </w:tcPr>
          <w:p>
            <w:pPr>
              <w:pStyle w:val="12"/>
            </w:pPr>
            <w:r>
              <w:t>非财政    拨款结    转结余</w:t>
            </w:r>
          </w:p>
        </w:tc>
        <w:tc>
          <w:tcPr>
            <w:tcW w:w="970"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1103" w:type="dxa"/>
            <w:vAlign w:val="center"/>
          </w:tcPr>
          <w:p>
            <w:pPr>
              <w:pStyle w:val="16"/>
            </w:pPr>
            <w:r>
              <w:t>合  计</w:t>
            </w:r>
          </w:p>
        </w:tc>
        <w:tc>
          <w:tcPr>
            <w:tcW w:w="970" w:type="dxa"/>
            <w:vAlign w:val="center"/>
          </w:tcPr>
          <w:p>
            <w:pPr>
              <w:pStyle w:val="17"/>
            </w:pPr>
          </w:p>
        </w:tc>
        <w:tc>
          <w:tcPr>
            <w:tcW w:w="1141" w:type="dxa"/>
            <w:vAlign w:val="center"/>
          </w:tcPr>
          <w:p>
            <w:pPr>
              <w:pStyle w:val="18"/>
            </w:pPr>
          </w:p>
        </w:tc>
        <w:tc>
          <w:tcPr>
            <w:tcW w:w="1141" w:type="dxa"/>
            <w:vAlign w:val="center"/>
          </w:tcPr>
          <w:p>
            <w:pPr>
              <w:pStyle w:val="18"/>
            </w:pPr>
          </w:p>
        </w:tc>
        <w:tc>
          <w:tcPr>
            <w:tcW w:w="713" w:type="dxa"/>
            <w:vAlign w:val="center"/>
          </w:tcPr>
          <w:p>
            <w:pPr>
              <w:pStyle w:val="16"/>
            </w:pPr>
          </w:p>
        </w:tc>
        <w:tc>
          <w:tcPr>
            <w:tcW w:w="855" w:type="dxa"/>
            <w:vAlign w:val="center"/>
          </w:tcPr>
          <w:p>
            <w:pPr>
              <w:pStyle w:val="17"/>
            </w:pPr>
          </w:p>
        </w:tc>
        <w:tc>
          <w:tcPr>
            <w:tcW w:w="855"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1103" w:type="dxa"/>
            <w:vAlign w:val="center"/>
          </w:tcPr>
          <w:p>
            <w:pPr>
              <w:pStyle w:val="16"/>
            </w:pPr>
          </w:p>
        </w:tc>
        <w:tc>
          <w:tcPr>
            <w:tcW w:w="970" w:type="dxa"/>
            <w:vAlign w:val="center"/>
          </w:tcPr>
          <w:p>
            <w:pPr>
              <w:pStyle w:val="17"/>
            </w:pPr>
          </w:p>
        </w:tc>
        <w:tc>
          <w:tcPr>
            <w:tcW w:w="1141" w:type="dxa"/>
            <w:vAlign w:val="center"/>
          </w:tcPr>
          <w:p>
            <w:pPr>
              <w:pStyle w:val="18"/>
            </w:pPr>
          </w:p>
        </w:tc>
        <w:tc>
          <w:tcPr>
            <w:tcW w:w="1141" w:type="dxa"/>
            <w:vAlign w:val="center"/>
          </w:tcPr>
          <w:p>
            <w:pPr>
              <w:pStyle w:val="18"/>
            </w:pPr>
          </w:p>
        </w:tc>
        <w:tc>
          <w:tcPr>
            <w:tcW w:w="713" w:type="dxa"/>
            <w:vAlign w:val="center"/>
          </w:tcPr>
          <w:p>
            <w:pPr>
              <w:pStyle w:val="16"/>
            </w:pPr>
          </w:p>
        </w:tc>
        <w:tc>
          <w:tcPr>
            <w:tcW w:w="855" w:type="dxa"/>
            <w:vAlign w:val="center"/>
          </w:tcPr>
          <w:p>
            <w:pPr>
              <w:pStyle w:val="17"/>
            </w:pPr>
          </w:p>
        </w:tc>
        <w:tc>
          <w:tcPr>
            <w:tcW w:w="855"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c>
          <w:tcPr>
            <w:tcW w:w="970"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04" w:hRule="atLeast"/>
          <w:jc w:val="center"/>
        </w:trPr>
        <w:tc>
          <w:tcPr>
            <w:tcW w:w="1103" w:type="dxa"/>
            <w:vAlign w:val="center"/>
          </w:tcPr>
          <w:p>
            <w:pPr>
              <w:pStyle w:val="14"/>
            </w:pPr>
          </w:p>
        </w:tc>
        <w:tc>
          <w:tcPr>
            <w:tcW w:w="970" w:type="dxa"/>
            <w:vAlign w:val="center"/>
          </w:tcPr>
          <w:p>
            <w:pPr>
              <w:pStyle w:val="13"/>
            </w:pPr>
          </w:p>
        </w:tc>
        <w:tc>
          <w:tcPr>
            <w:tcW w:w="1141" w:type="dxa"/>
            <w:vAlign w:val="center"/>
          </w:tcPr>
          <w:p>
            <w:pPr>
              <w:pStyle w:val="14"/>
            </w:pPr>
          </w:p>
        </w:tc>
        <w:tc>
          <w:tcPr>
            <w:tcW w:w="1141" w:type="dxa"/>
            <w:vAlign w:val="center"/>
          </w:tcPr>
          <w:p>
            <w:pPr>
              <w:pStyle w:val="14"/>
            </w:pPr>
          </w:p>
        </w:tc>
        <w:tc>
          <w:tcPr>
            <w:tcW w:w="713" w:type="dxa"/>
            <w:vAlign w:val="center"/>
          </w:tcPr>
          <w:p>
            <w:pPr>
              <w:pStyle w:val="15"/>
            </w:pPr>
          </w:p>
        </w:tc>
        <w:tc>
          <w:tcPr>
            <w:tcW w:w="855" w:type="dxa"/>
            <w:vAlign w:val="center"/>
          </w:tcPr>
          <w:p>
            <w:pPr>
              <w:pStyle w:val="13"/>
            </w:pPr>
          </w:p>
        </w:tc>
        <w:tc>
          <w:tcPr>
            <w:tcW w:w="855" w:type="dxa"/>
            <w:vAlign w:val="center"/>
          </w:tcPr>
          <w:p>
            <w:pPr>
              <w:pStyle w:val="13"/>
            </w:pPr>
          </w:p>
        </w:tc>
        <w:tc>
          <w:tcPr>
            <w:tcW w:w="970" w:type="dxa"/>
            <w:vAlign w:val="center"/>
          </w:tcPr>
          <w:p>
            <w:pPr>
              <w:pStyle w:val="13"/>
            </w:pPr>
          </w:p>
        </w:tc>
        <w:tc>
          <w:tcPr>
            <w:tcW w:w="970" w:type="dxa"/>
            <w:vAlign w:val="center"/>
          </w:tcPr>
          <w:p>
            <w:pPr>
              <w:pStyle w:val="13"/>
            </w:pPr>
          </w:p>
        </w:tc>
        <w:tc>
          <w:tcPr>
            <w:tcW w:w="970" w:type="dxa"/>
            <w:vAlign w:val="center"/>
          </w:tcPr>
          <w:p>
            <w:pPr>
              <w:pStyle w:val="13"/>
            </w:pPr>
          </w:p>
        </w:tc>
        <w:tc>
          <w:tcPr>
            <w:tcW w:w="970" w:type="dxa"/>
            <w:vAlign w:val="center"/>
          </w:tcPr>
          <w:p>
            <w:pPr>
              <w:pStyle w:val="13"/>
            </w:pPr>
          </w:p>
        </w:tc>
        <w:tc>
          <w:tcPr>
            <w:tcW w:w="970" w:type="dxa"/>
            <w:vAlign w:val="center"/>
          </w:tcPr>
          <w:p>
            <w:pPr>
              <w:pStyle w:val="13"/>
            </w:pPr>
          </w:p>
        </w:tc>
        <w:tc>
          <w:tcPr>
            <w:tcW w:w="970" w:type="dxa"/>
            <w:vAlign w:val="center"/>
          </w:tcPr>
          <w:p>
            <w:pPr>
              <w:pStyle w:val="13"/>
            </w:pPr>
          </w:p>
        </w:tc>
        <w:tc>
          <w:tcPr>
            <w:tcW w:w="970" w:type="dxa"/>
            <w:vAlign w:val="center"/>
          </w:tcPr>
          <w:p>
            <w:pPr>
              <w:pStyle w:val="13"/>
            </w:pPr>
          </w:p>
        </w:tc>
        <w:tc>
          <w:tcPr>
            <w:tcW w:w="970" w:type="dxa"/>
            <w:vAlign w:val="center"/>
          </w:tcPr>
          <w:p>
            <w:pPr>
              <w:pStyle w:val="13"/>
            </w:pPr>
          </w:p>
        </w:tc>
        <w:tc>
          <w:tcPr>
            <w:tcW w:w="970" w:type="dxa"/>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第三中学</w:t>
      </w:r>
      <w:r>
        <w:rPr>
          <w:rFonts w:ascii="Times New Roman" w:hAnsi="Times New Roman" w:eastAsia="仿宋_GB2312" w:cs="Times New Roman"/>
          <w:sz w:val="32"/>
          <w:szCs w:val="32"/>
        </w:rPr>
        <w:t>上年末固定资产金额为1323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廊坊市第三中学固定资产占用情况表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第三中学</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1323.89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13853</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700</w:t>
            </w:r>
            <w:r>
              <w:rPr>
                <w:rFonts w:hint="eastAsia" w:ascii="Times New Roman" w:hAnsi="Times New Roman" w:eastAsia="仿宋_GB2312" w:cs="Times New Roman"/>
                <w:sz w:val="22"/>
              </w:rPr>
              <w:t>.</w:t>
            </w:r>
            <w:r>
              <w:rPr>
                <w:rFonts w:ascii="Times New Roman" w:hAnsi="Times New Roman" w:eastAsia="仿宋_GB2312" w:cs="Times New Roman"/>
                <w:sz w:val="22"/>
              </w:rPr>
              <w:t>50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1115</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51.95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31931</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623.39</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4</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70736"/>
    <w:rsid w:val="000F6018"/>
    <w:rsid w:val="001A1291"/>
    <w:rsid w:val="00216DA5"/>
    <w:rsid w:val="0024206B"/>
    <w:rsid w:val="0025632D"/>
    <w:rsid w:val="002F36BA"/>
    <w:rsid w:val="003059E0"/>
    <w:rsid w:val="00336AFA"/>
    <w:rsid w:val="003C0A5C"/>
    <w:rsid w:val="00437FE7"/>
    <w:rsid w:val="004A54AA"/>
    <w:rsid w:val="004C0827"/>
    <w:rsid w:val="00523A3A"/>
    <w:rsid w:val="0065176D"/>
    <w:rsid w:val="00660389"/>
    <w:rsid w:val="0068194A"/>
    <w:rsid w:val="00692AEE"/>
    <w:rsid w:val="007C7867"/>
    <w:rsid w:val="007D6A12"/>
    <w:rsid w:val="0081323A"/>
    <w:rsid w:val="00832A82"/>
    <w:rsid w:val="00832CE5"/>
    <w:rsid w:val="00944233"/>
    <w:rsid w:val="00961F07"/>
    <w:rsid w:val="009735EC"/>
    <w:rsid w:val="009A45F5"/>
    <w:rsid w:val="009B5858"/>
    <w:rsid w:val="00A505F1"/>
    <w:rsid w:val="00A63B92"/>
    <w:rsid w:val="00A90D8D"/>
    <w:rsid w:val="00B03564"/>
    <w:rsid w:val="00B40732"/>
    <w:rsid w:val="00B80935"/>
    <w:rsid w:val="00BC02F5"/>
    <w:rsid w:val="00C463C3"/>
    <w:rsid w:val="00D24536"/>
    <w:rsid w:val="00D33460"/>
    <w:rsid w:val="00D347CC"/>
    <w:rsid w:val="00D409D5"/>
    <w:rsid w:val="00DA729A"/>
    <w:rsid w:val="00DC72B4"/>
    <w:rsid w:val="00E26977"/>
    <w:rsid w:val="00E72308"/>
    <w:rsid w:val="00E91492"/>
    <w:rsid w:val="00F231BC"/>
    <w:rsid w:val="00FC2E3B"/>
    <w:rsid w:val="00FE7AFD"/>
    <w:rsid w:val="0CEC1180"/>
    <w:rsid w:val="108B4CB8"/>
    <w:rsid w:val="14C37246"/>
    <w:rsid w:val="2BF32B4B"/>
    <w:rsid w:val="2E500409"/>
    <w:rsid w:val="341B4A5F"/>
    <w:rsid w:val="6C421957"/>
    <w:rsid w:val="7369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1062</Words>
  <Characters>6057</Characters>
  <Lines>50</Lines>
  <Paragraphs>14</Paragraphs>
  <TotalTime>4</TotalTime>
  <ScaleCrop>false</ScaleCrop>
  <LinksUpToDate>false</LinksUpToDate>
  <CharactersWithSpaces>7105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2024-07-18T02:47:21Z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B3E0A235630D40119DB47841F6F49274</vt:lpwstr>
  </property>
</Properties>
</file>