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5" w:name="_GoBack"/>
      <w:r>
        <w:rPr>
          <w:rFonts w:ascii="Times New Roman" w:hAnsi="Times New Roman" w:eastAsia="方正小标宋简体" w:cs="Times New Roman"/>
          <w:sz w:val="44"/>
          <w:szCs w:val="44"/>
        </w:rPr>
        <w:t>廊坊市广阳区教师进修学校20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5"/>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按照《中华人民共和国预算法》、《中华人民共和国预算法实施条例》、《地方预决算公开操作规程》和《河北省省级预算公开办法》规定，现将廊坊市广阳区教师进修学校20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1、贯彻执行党和国家的教育方针、政策、法律法规，制</w:t>
      </w:r>
      <w:r>
        <w:rPr>
          <w:rFonts w:hint="eastAsia" w:ascii="仿宋_GB2312" w:eastAsia="仿宋_GB2312" w:cs="宋体"/>
          <w:color w:val="000000"/>
          <w:kern w:val="0"/>
          <w:sz w:val="32"/>
          <w:szCs w:val="32"/>
          <w:lang w:eastAsia="zh-CN"/>
        </w:rPr>
        <w:t>订</w:t>
      </w:r>
      <w:r>
        <w:rPr>
          <w:rFonts w:hint="eastAsia" w:ascii="仿宋_GB2312" w:eastAsia="仿宋_GB2312" w:cs="宋体"/>
          <w:color w:val="000000"/>
          <w:kern w:val="0"/>
          <w:sz w:val="32"/>
          <w:szCs w:val="32"/>
        </w:rPr>
        <w:t>我校的长远规划和年度计划，并组织实施。</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2、负责教育基本信息的统计、分析。</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3、推进义务教育均衡发展和促进教育公平，全面实施素质教育。</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4、负责学校教师队伍的建设和管理，提高教师队伍素质</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5、负责本部门教育经费的统筹管理，教育经费预决算工作，教育经费的管理和使用；统筹规划和管理学校基本建设和设施的配置及计划统计工作。</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w:t>
      </w:r>
      <w:r>
        <w:rPr>
          <w:rFonts w:hint="eastAsia" w:ascii="仿宋_GB2312" w:eastAsia="仿宋_GB2312" w:cs="Courier New" w:hAnsiTheme="majorEastAsia"/>
          <w:color w:val="000000"/>
          <w:sz w:val="32"/>
          <w:szCs w:val="32"/>
        </w:rPr>
        <w:t>配合教育局职能部门做好教育政策制定、教育改革、教育科研、教育信息化建设</w:t>
      </w:r>
      <w:r>
        <w:rPr>
          <w:rFonts w:hint="eastAsia" w:ascii="仿宋_GB2312" w:eastAsia="仿宋_GB2312" w:cs="宋体"/>
          <w:color w:val="000000"/>
          <w:kern w:val="0"/>
          <w:sz w:val="32"/>
          <w:szCs w:val="32"/>
        </w:rPr>
        <w:t>。</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8、负责组织开展学校教育的督导评估、检查验收、质量监测等工作。</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9、负责学校党的政治建设、思想建设、组织建设、作风建设、纪律建设和制度建设。</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w:t>
      </w:r>
      <w:r>
        <w:rPr>
          <w:rFonts w:hint="eastAsia" w:ascii="仿宋_GB2312" w:eastAsia="仿宋_GB2312" w:cs="Courier New" w:hAnsiTheme="majorEastAsia"/>
          <w:color w:val="000000"/>
          <w:sz w:val="32"/>
          <w:szCs w:val="32"/>
        </w:rPr>
        <w:t>培训中小学骨干教师、学科教师，提高中小学教师的业务水平和教学能力等工作</w:t>
      </w:r>
      <w:r>
        <w:rPr>
          <w:rFonts w:hint="eastAsia" w:ascii="仿宋_GB2312" w:eastAsia="仿宋_GB2312" w:cs="宋体"/>
          <w:color w:val="000000"/>
          <w:kern w:val="0"/>
          <w:sz w:val="32"/>
          <w:szCs w:val="32"/>
        </w:rPr>
        <w:t>。</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11、负责学校安全稳定工作。</w:t>
      </w:r>
    </w:p>
    <w:p>
      <w:pPr>
        <w:widowControl/>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12、做好上级部门交办的其他事项。</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w:t>
            </w:r>
            <w:r>
              <w:rPr>
                <w:rFonts w:ascii="Times New Roman" w:hAnsi="Times New Roman" w:eastAsia="仿宋_GB2312" w:cs="Times New Roman"/>
                <w:b/>
              </w:rPr>
              <w:t>广阳区教师进修学校</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rPr>
                <w:rFonts w:ascii="Times New Roman" w:hAnsi="Times New Roman" w:eastAsia="仿宋_GB2312" w:cs="Times New Roman"/>
                <w:b/>
              </w:rPr>
            </w:pPr>
          </w:p>
        </w:tc>
        <w:tc>
          <w:tcPr>
            <w:tcW w:w="3448" w:type="dxa"/>
            <w:shd w:val="clear" w:color="auto" w:fill="auto"/>
            <w:vAlign w:val="center"/>
          </w:tcPr>
          <w:p>
            <w:pPr>
              <w:spacing w:line="584" w:lineRule="exact"/>
              <w:jc w:val="center"/>
              <w:rPr>
                <w:rFonts w:ascii="仿宋_GB2312" w:eastAsia="仿宋_GB2312" w:cs="Times New Roman"/>
                <w:b/>
                <w:szCs w:val="21"/>
              </w:rPr>
            </w:pPr>
            <w:r>
              <w:rPr>
                <w:rFonts w:hint="eastAsia" w:ascii="仿宋_GB2312" w:eastAsia="仿宋_GB2312" w:cs="Times New Roman"/>
                <w:b/>
                <w:szCs w:val="21"/>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部门预算的编制实行综合预算制度，即全部收入和支出都反映在预算中。廊坊市广阳区教师进修学校的收支包含在部门预算中。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2年预算收入313.55万元，其中：一般公共预算收入313.55万元，基金预算收入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收支预算总表支出栏、基本支出表、项目支出表按经济分类和支出功能分类科目编制，反映廊坊市广阳区教师进修学校</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2年支出预算313.55万元，其中基本支出313.55万元，包括人员类项目经费309.35万元和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公用项目经费4.2万元；运转类其他及特定目标类项目支出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2年预算收支安排313.55万元，较20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减少102.02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减少68.32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；项目支出减少33.7万元，主要为2022年继续教育费未做预算</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2年，我校机关运行经费共计安排4.2万元，主要用于廊坊市广阳区教师进修学校办公区的日常维修、办公用房水电费、办公用房取暖费、办公用房物业管理费等日常运行支出。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仿宋_GB2312" w:hAnsi="Times New Roman" w:eastAsia="仿宋_GB2312" w:cs="Times New Roman"/>
          <w:color w:val="000000"/>
          <w:sz w:val="32"/>
          <w:szCs w:val="32"/>
        </w:rPr>
      </w:pPr>
      <w:r>
        <w:rPr>
          <w:rFonts w:hint="eastAsia" w:ascii="仿宋_GB2312" w:hAnsi="Times New Roman" w:eastAsia="仿宋_GB2312" w:cs="Times New Roman"/>
          <w:sz w:val="32"/>
          <w:szCs w:val="32"/>
        </w:rPr>
        <w:t>2022年，我单位财政拨款“三公”经费预算安排0万元。其中，因公出国（境）费0万元；公务用车购置及运维费0万元（其中：公务用车购置费为0万元，公务用车运维费0万元)；公务接待费0万元,</w:t>
      </w:r>
      <w:r>
        <w:rPr>
          <w:rFonts w:ascii="Times New Roman" w:hAnsi="Times New Roman" w:eastAsia="仿宋_GB2312" w:cs="Times New Roman"/>
          <w:sz w:val="32"/>
          <w:szCs w:val="32"/>
        </w:rPr>
        <w:t xml:space="preserve"> 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hint="eastAsia" w:ascii="楷体_GB2312" w:eastAsia="楷体_GB2312" w:cs="Times New Roman"/>
          <w:b/>
          <w:sz w:val="32"/>
          <w:szCs w:val="32"/>
        </w:rPr>
      </w:pPr>
      <w:bookmarkStart w:id="0" w:name="_Toc_2_2_0000000001"/>
      <w:r>
        <w:rPr>
          <w:rFonts w:hint="eastAsia" w:ascii="楷体_GB2312" w:eastAsia="楷体_GB2312" w:cs="Times New Roman"/>
          <w:b/>
          <w:sz w:val="32"/>
          <w:szCs w:val="32"/>
        </w:rPr>
        <w:t>一、总体绩效目标</w:t>
      </w:r>
      <w:bookmarkEnd w:id="0"/>
    </w:p>
    <w:p>
      <w:pPr>
        <w:spacing w:line="584" w:lineRule="exact"/>
        <w:ind w:firstLine="640" w:firstLineChars="200"/>
        <w:rPr>
          <w:rFonts w:hint="eastAsia" w:ascii="楷体_GB2312" w:eastAsia="楷体_GB2312" w:cs="Times New Roman"/>
          <w:b/>
          <w:sz w:val="32"/>
          <w:szCs w:val="32"/>
        </w:rPr>
      </w:pPr>
      <w:r>
        <w:rPr>
          <w:rFonts w:hint="eastAsia" w:ascii="仿宋_GB2312" w:hAnsi="仿宋_GB2312" w:eastAsia="仿宋_GB2312" w:cs="仿宋_GB2312"/>
          <w:b w:val="0"/>
          <w:bCs/>
          <w:sz w:val="32"/>
          <w:szCs w:val="32"/>
        </w:rPr>
        <w:t>提高教育公用经费保障水平，继续完善教育基础设施，推进学校建设，加快提升装备水平，改善办学条件。打造一流教师队伍，补充师资力量，提高专业素质，完善考核机制；优化教育教学管理；建立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hint="eastAsia" w:ascii="楷体_GB2312" w:eastAsia="楷体_GB2312" w:cs="Times New Roman"/>
          <w:b/>
          <w:sz w:val="32"/>
          <w:szCs w:val="32"/>
        </w:rPr>
      </w:pPr>
      <w:bookmarkStart w:id="1" w:name="_Toc_2_2_0000000002"/>
      <w:r>
        <w:rPr>
          <w:rFonts w:hint="eastAsia" w:ascii="楷体_GB2312" w:eastAsia="楷体_GB2312" w:cs="Times New Roman"/>
          <w:b/>
          <w:sz w:val="32"/>
          <w:szCs w:val="32"/>
        </w:rPr>
        <w:t>二、分项绩效目标</w:t>
      </w:r>
      <w:bookmarkEnd w:id="1"/>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1、按质按量完成培训教育方面的各项任务，稳步提升学校的培训教育质量，培训合格率达到95%。</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公用经费水平逐年提高，改善学校办学条件，保障学校基本教学条件，使学校教学设施和生活设施满足基本工作需要，保障后勤社会化服务资金充足，使学校能够正常运转，教师数量、素质、结构基本适应工作需要。</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6、办人民满意的学校,教师、学生、家长整体满意度达到90%以上。</w:t>
      </w:r>
    </w:p>
    <w:p>
      <w:pPr>
        <w:spacing w:line="584" w:lineRule="exact"/>
        <w:ind w:firstLine="643" w:firstLineChars="200"/>
        <w:rPr>
          <w:rFonts w:hint="eastAsia" w:ascii="楷体_GB2312" w:eastAsia="楷体_GB2312" w:cs="Times New Roman"/>
          <w:b/>
          <w:sz w:val="32"/>
          <w:szCs w:val="32"/>
        </w:rPr>
      </w:pPr>
      <w:bookmarkStart w:id="2" w:name="_Toc_2_2_0000000003"/>
      <w:r>
        <w:rPr>
          <w:rFonts w:hint="eastAsia" w:ascii="楷体_GB2312" w:eastAsia="楷体_GB2312" w:cs="Times New Roman"/>
          <w:b/>
          <w:sz w:val="32"/>
          <w:szCs w:val="32"/>
        </w:rPr>
        <w:t>三、工作保障措施</w:t>
      </w:r>
      <w:bookmarkEnd w:id="2"/>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1、成立学校监督小组，监督学校工作，强化工作落实。</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4、完善拓展德育队伍建设，树立全员育人观念，并取得一定成绩，形成学校、家庭、社会三位一体的教育格局。完善强化德育评比体制。</w:t>
      </w:r>
    </w:p>
    <w:p>
      <w:pPr>
        <w:spacing w:line="584"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5、加强政治理论学习，强化党风廉政建设。做好师德传承活动，落实老中青传帮带。弘扬办学精神。加强师德宣传与学习活动。开展形式多样、扎实有效的师德教育活动。</w:t>
      </w:r>
    </w:p>
    <w:p>
      <w:pPr>
        <w:spacing w:line="584" w:lineRule="exact"/>
        <w:ind w:firstLine="640" w:firstLineChars="200"/>
        <w:rPr>
          <w:rFonts w:hint="eastAsia" w:ascii="楷体_GB2312" w:eastAsia="楷体_GB2312" w:cs="Times New Roman"/>
          <w:b/>
          <w:sz w:val="32"/>
          <w:szCs w:val="32"/>
        </w:rPr>
      </w:pPr>
      <w:r>
        <w:rPr>
          <w:rFonts w:hint="eastAsia" w:ascii="仿宋_GB2312" w:hAnsi="仿宋_GB2312" w:eastAsia="仿宋_GB2312" w:cs="仿宋_GB2312"/>
          <w:b w:val="0"/>
          <w:bCs/>
          <w:sz w:val="32"/>
          <w:szCs w:val="32"/>
        </w:rPr>
        <w:t>逐步制订、完善相关制度，规范教师师德。加强校本培训和继续教育工作，提升教师能力。落实教师评价工作，完善考核机制。搭建教师发展平台。</w:t>
      </w:r>
    </w:p>
    <w:p>
      <w:pPr>
        <w:spacing w:line="584" w:lineRule="exact"/>
        <w:ind w:firstLine="643" w:firstLineChars="200"/>
        <w:rPr>
          <w:rFonts w:hint="eastAsia" w:ascii="楷体_GB2312" w:eastAsia="楷体_GB2312" w:cs="Times New Roman"/>
          <w:b/>
          <w:sz w:val="32"/>
          <w:szCs w:val="32"/>
        </w:rPr>
      </w:pPr>
    </w:p>
    <w:p>
      <w:pPr>
        <w:spacing w:line="584" w:lineRule="exact"/>
        <w:ind w:firstLine="643" w:firstLineChars="200"/>
        <w:rPr>
          <w:rFonts w:hint="eastAsia" w:ascii="楷体_GB2312" w:eastAsia="楷体_GB2312" w:cs="Times New Roman"/>
          <w:b/>
          <w:sz w:val="32"/>
          <w:szCs w:val="32"/>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p>
      <w:pPr>
        <w:spacing w:line="584" w:lineRule="exact"/>
        <w:rPr>
          <w:rFonts w:ascii="仿宋_GB2312" w:eastAsia="仿宋_GB2312" w:cs="Times New Roman"/>
          <w:sz w:val="32"/>
          <w:szCs w:val="32"/>
        </w:rPr>
      </w:pP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1043"/>
        <w:gridCol w:w="906"/>
        <w:gridCol w:w="1980"/>
        <w:gridCol w:w="2958"/>
        <w:gridCol w:w="2511"/>
        <w:gridCol w:w="1029"/>
        <w:gridCol w:w="903"/>
        <w:gridCol w:w="92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5" w:hRule="exact"/>
          <w:jc w:val="center"/>
        </w:trPr>
        <w:tc>
          <w:tcPr>
            <w:tcW w:w="373" w:type="pct"/>
            <w:vMerge w:val="restart"/>
            <w:vAlign w:val="center"/>
          </w:tcPr>
          <w:p>
            <w:pPr>
              <w:jc w:val="center"/>
              <w:rPr>
                <w:rFonts w:ascii="宋体" w:hAnsi="宋体" w:cs="宋体"/>
                <w:sz w:val="21"/>
                <w:szCs w:val="21"/>
              </w:rPr>
            </w:pPr>
            <w:r>
              <w:rPr>
                <w:rFonts w:hint="eastAsia" w:ascii="宋体" w:hAnsi="宋体" w:cs="宋体"/>
                <w:b/>
                <w:sz w:val="21"/>
                <w:szCs w:val="21"/>
              </w:rPr>
              <w:t>一级指标</w:t>
            </w:r>
          </w:p>
        </w:tc>
        <w:tc>
          <w:tcPr>
            <w:tcW w:w="324" w:type="pct"/>
            <w:vMerge w:val="restart"/>
            <w:vAlign w:val="center"/>
          </w:tcPr>
          <w:p>
            <w:pPr>
              <w:spacing w:line="300" w:lineRule="exact"/>
              <w:jc w:val="center"/>
              <w:textAlignment w:val="center"/>
              <w:rPr>
                <w:rFonts w:ascii="宋体" w:hAnsi="宋体" w:cs="宋体"/>
                <w:color w:val="000000"/>
                <w:kern w:val="0"/>
                <w:sz w:val="21"/>
                <w:szCs w:val="21"/>
              </w:rPr>
            </w:pPr>
            <w:r>
              <w:rPr>
                <w:rFonts w:hint="eastAsia" w:ascii="宋体" w:hAnsi="宋体" w:cs="宋体"/>
                <w:b/>
                <w:sz w:val="21"/>
                <w:szCs w:val="21"/>
              </w:rPr>
              <w:t>二级指标</w:t>
            </w:r>
          </w:p>
        </w:tc>
        <w:tc>
          <w:tcPr>
            <w:tcW w:w="708" w:type="pct"/>
            <w:vMerge w:val="restar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b/>
                <w:sz w:val="21"/>
                <w:szCs w:val="21"/>
              </w:rPr>
              <w:t>三级指标</w:t>
            </w:r>
          </w:p>
        </w:tc>
        <w:tc>
          <w:tcPr>
            <w:tcW w:w="1058" w:type="pct"/>
            <w:vMerge w:val="restart"/>
            <w:vAlign w:val="center"/>
          </w:tcPr>
          <w:p>
            <w:pPr>
              <w:widowControl/>
              <w:spacing w:line="300" w:lineRule="exact"/>
              <w:jc w:val="center"/>
              <w:textAlignment w:val="center"/>
              <w:rPr>
                <w:rFonts w:ascii="宋体" w:hAnsi="宋体" w:cs="宋体"/>
                <w:b/>
                <w:sz w:val="21"/>
                <w:szCs w:val="21"/>
              </w:rPr>
            </w:pPr>
            <w:r>
              <w:rPr>
                <w:rFonts w:hint="eastAsia" w:ascii="宋体" w:hAnsi="宋体" w:cs="宋体"/>
                <w:b/>
                <w:sz w:val="21"/>
                <w:szCs w:val="21"/>
              </w:rPr>
              <w:t>评（扣）分标准</w:t>
            </w:r>
          </w:p>
        </w:tc>
        <w:tc>
          <w:tcPr>
            <w:tcW w:w="898" w:type="pct"/>
            <w:vMerge w:val="restar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绩效指标</w:t>
            </w:r>
          </w:p>
          <w:p>
            <w:pPr>
              <w:widowControl/>
              <w:spacing w:line="300" w:lineRule="exact"/>
              <w:jc w:val="center"/>
              <w:textAlignment w:val="center"/>
              <w:rPr>
                <w:rFonts w:ascii="宋体" w:hAnsi="宋体" w:cs="宋体"/>
                <w:color w:val="000000"/>
                <w:kern w:val="0"/>
                <w:sz w:val="21"/>
                <w:szCs w:val="21"/>
              </w:rPr>
            </w:pPr>
            <w:r>
              <w:rPr>
                <w:rFonts w:hint="eastAsia" w:ascii="宋体" w:hAnsi="宋体" w:cs="宋体"/>
                <w:b/>
                <w:sz w:val="21"/>
                <w:szCs w:val="21"/>
              </w:rPr>
              <w:t>描述</w:t>
            </w:r>
          </w:p>
        </w:tc>
        <w:tc>
          <w:tcPr>
            <w:tcW w:w="1023" w:type="pct"/>
            <w:gridSpan w:val="3"/>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指标值</w:t>
            </w:r>
          </w:p>
        </w:tc>
        <w:tc>
          <w:tcPr>
            <w:tcW w:w="613" w:type="pct"/>
            <w:vMerge w:val="restar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指标值</w:t>
            </w:r>
          </w:p>
          <w:p>
            <w:pPr>
              <w:widowControl/>
              <w:adjustRightInd w:val="0"/>
              <w:snapToGrid w:val="0"/>
              <w:jc w:val="center"/>
              <w:rPr>
                <w:rFonts w:ascii="宋体" w:hAnsi="宋体" w:cs="宋体"/>
                <w:b/>
                <w:sz w:val="21"/>
                <w:szCs w:val="21"/>
              </w:rPr>
            </w:pPr>
            <w:r>
              <w:rPr>
                <w:rFonts w:hint="eastAsia" w:ascii="宋体" w:hAnsi="宋体" w:cs="宋体"/>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70" w:hRule="exact"/>
          <w:jc w:val="center"/>
        </w:trPr>
        <w:tc>
          <w:tcPr>
            <w:tcW w:w="373" w:type="pct"/>
            <w:vMerge w:val="continue"/>
            <w:vAlign w:val="center"/>
          </w:tcPr>
          <w:p>
            <w:pPr>
              <w:jc w:val="center"/>
              <w:rPr>
                <w:rFonts w:ascii="宋体" w:hAnsi="宋体" w:cs="宋体"/>
                <w:b/>
                <w:sz w:val="21"/>
                <w:szCs w:val="21"/>
              </w:rPr>
            </w:pPr>
          </w:p>
        </w:tc>
        <w:tc>
          <w:tcPr>
            <w:tcW w:w="324" w:type="pct"/>
            <w:vMerge w:val="continue"/>
            <w:vAlign w:val="center"/>
          </w:tcPr>
          <w:p>
            <w:pPr>
              <w:spacing w:line="300" w:lineRule="exact"/>
              <w:jc w:val="center"/>
              <w:textAlignment w:val="center"/>
              <w:rPr>
                <w:rFonts w:ascii="宋体" w:hAnsi="宋体" w:cs="宋体"/>
                <w:b/>
                <w:sz w:val="21"/>
                <w:szCs w:val="21"/>
              </w:rPr>
            </w:pPr>
          </w:p>
        </w:tc>
        <w:tc>
          <w:tcPr>
            <w:tcW w:w="708" w:type="pct"/>
            <w:vMerge w:val="continue"/>
            <w:vAlign w:val="center"/>
          </w:tcPr>
          <w:p>
            <w:pPr>
              <w:widowControl/>
              <w:spacing w:line="300" w:lineRule="exact"/>
              <w:jc w:val="center"/>
              <w:textAlignment w:val="center"/>
              <w:rPr>
                <w:rFonts w:ascii="宋体" w:hAnsi="宋体" w:cs="宋体"/>
                <w:b/>
                <w:sz w:val="21"/>
                <w:szCs w:val="21"/>
              </w:rPr>
            </w:pPr>
          </w:p>
        </w:tc>
        <w:tc>
          <w:tcPr>
            <w:tcW w:w="1058" w:type="pct"/>
            <w:vMerge w:val="continue"/>
            <w:vAlign w:val="center"/>
          </w:tcPr>
          <w:p>
            <w:pPr>
              <w:widowControl/>
              <w:adjustRightInd w:val="0"/>
              <w:snapToGrid w:val="0"/>
              <w:jc w:val="center"/>
              <w:rPr>
                <w:rFonts w:ascii="宋体" w:hAnsi="宋体" w:cs="宋体"/>
                <w:b/>
                <w:sz w:val="21"/>
                <w:szCs w:val="21"/>
              </w:rPr>
            </w:pPr>
          </w:p>
        </w:tc>
        <w:tc>
          <w:tcPr>
            <w:tcW w:w="898" w:type="pct"/>
            <w:vMerge w:val="continue"/>
            <w:vAlign w:val="center"/>
          </w:tcPr>
          <w:p>
            <w:pPr>
              <w:widowControl/>
              <w:adjustRightInd w:val="0"/>
              <w:snapToGrid w:val="0"/>
              <w:jc w:val="center"/>
              <w:rPr>
                <w:rFonts w:ascii="宋体" w:hAnsi="宋体" w:cs="宋体"/>
                <w:b/>
                <w:sz w:val="21"/>
                <w:szCs w:val="21"/>
              </w:rPr>
            </w:pPr>
          </w:p>
        </w:tc>
        <w:tc>
          <w:tcPr>
            <w:tcW w:w="368" w:type="pc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符号</w:t>
            </w:r>
          </w:p>
        </w:tc>
        <w:tc>
          <w:tcPr>
            <w:tcW w:w="323" w:type="pc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值</w:t>
            </w:r>
          </w:p>
        </w:tc>
        <w:tc>
          <w:tcPr>
            <w:tcW w:w="332" w:type="pct"/>
            <w:vAlign w:val="center"/>
          </w:tcPr>
          <w:p>
            <w:pPr>
              <w:widowControl/>
              <w:adjustRightInd w:val="0"/>
              <w:snapToGrid w:val="0"/>
              <w:jc w:val="center"/>
              <w:rPr>
                <w:rFonts w:ascii="宋体" w:hAnsi="宋体" w:cs="宋体"/>
                <w:b/>
                <w:sz w:val="21"/>
                <w:szCs w:val="21"/>
              </w:rPr>
            </w:pPr>
            <w:r>
              <w:rPr>
                <w:rFonts w:hint="eastAsia" w:ascii="宋体" w:hAnsi="宋体" w:cs="宋体"/>
                <w:b/>
                <w:sz w:val="21"/>
                <w:szCs w:val="21"/>
              </w:rPr>
              <w:t>单位</w:t>
            </w:r>
          </w:p>
        </w:tc>
        <w:tc>
          <w:tcPr>
            <w:tcW w:w="613" w:type="pct"/>
            <w:vMerge w:val="continue"/>
            <w:vAlign w:val="center"/>
          </w:tcPr>
          <w:p>
            <w:pPr>
              <w:widowControl/>
              <w:adjustRightInd w:val="0"/>
              <w:snapToGrid w:val="0"/>
              <w:jc w:val="cente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36" w:hRule="exact"/>
          <w:jc w:val="center"/>
        </w:trPr>
        <w:tc>
          <w:tcPr>
            <w:tcW w:w="373" w:type="pct"/>
            <w:vMerge w:val="restar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部门产出</w:t>
            </w:r>
          </w:p>
        </w:tc>
        <w:tc>
          <w:tcPr>
            <w:tcW w:w="324" w:type="pc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数  量</w:t>
            </w:r>
          </w:p>
        </w:tc>
        <w:tc>
          <w:tcPr>
            <w:tcW w:w="70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重点工作实际完成率</w:t>
            </w:r>
          </w:p>
        </w:tc>
        <w:tc>
          <w:tcPr>
            <w:tcW w:w="105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10分不低于95%得满分，否则不得分5每减少1%扣1分，扣完为止</w:t>
            </w:r>
          </w:p>
        </w:tc>
        <w:tc>
          <w:tcPr>
            <w:tcW w:w="89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重点工作实际完成率</w:t>
            </w:r>
          </w:p>
        </w:tc>
        <w:tc>
          <w:tcPr>
            <w:tcW w:w="368"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w:t>
            </w:r>
          </w:p>
        </w:tc>
        <w:tc>
          <w:tcPr>
            <w:tcW w:w="323" w:type="pct"/>
            <w:vAlign w:val="center"/>
          </w:tcPr>
          <w:p>
            <w:pPr>
              <w:widowControl/>
              <w:spacing w:line="300" w:lineRule="exact"/>
              <w:jc w:val="center"/>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95</w:t>
            </w:r>
          </w:p>
        </w:tc>
        <w:tc>
          <w:tcPr>
            <w:tcW w:w="332"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61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7" w:hRule="exact"/>
          <w:jc w:val="center"/>
        </w:trPr>
        <w:tc>
          <w:tcPr>
            <w:tcW w:w="373" w:type="pct"/>
            <w:vMerge w:val="continue"/>
            <w:vAlign w:val="center"/>
          </w:tcPr>
          <w:p>
            <w:pPr>
              <w:jc w:val="center"/>
              <w:rPr>
                <w:rFonts w:ascii="宋体" w:hAnsi="宋体" w:cs="宋体"/>
                <w:sz w:val="21"/>
                <w:szCs w:val="21"/>
              </w:rPr>
            </w:pPr>
          </w:p>
        </w:tc>
        <w:tc>
          <w:tcPr>
            <w:tcW w:w="324" w:type="pct"/>
            <w:vAlign w:val="center"/>
          </w:tcPr>
          <w:p>
            <w:pPr>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质  量</w:t>
            </w:r>
          </w:p>
        </w:tc>
        <w:tc>
          <w:tcPr>
            <w:tcW w:w="70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采购物资、建设工程合格率</w:t>
            </w:r>
          </w:p>
        </w:tc>
        <w:tc>
          <w:tcPr>
            <w:tcW w:w="105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20分合格率100%得满分，否则不得分</w:t>
            </w:r>
          </w:p>
        </w:tc>
        <w:tc>
          <w:tcPr>
            <w:tcW w:w="89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采购物资、建设工程合格率</w:t>
            </w:r>
          </w:p>
        </w:tc>
        <w:tc>
          <w:tcPr>
            <w:tcW w:w="368"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323" w:type="pct"/>
            <w:vAlign w:val="center"/>
          </w:tcPr>
          <w:p>
            <w:pPr>
              <w:widowControl/>
              <w:spacing w:line="300" w:lineRule="exact"/>
              <w:jc w:val="center"/>
              <w:textAlignment w:val="center"/>
              <w:rPr>
                <w:rFonts w:hint="default"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411</w:t>
            </w:r>
          </w:p>
        </w:tc>
        <w:tc>
          <w:tcPr>
            <w:tcW w:w="332"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61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36" w:hRule="exact"/>
          <w:jc w:val="center"/>
        </w:trPr>
        <w:tc>
          <w:tcPr>
            <w:tcW w:w="373" w:type="pct"/>
            <w:vMerge w:val="continue"/>
            <w:vAlign w:val="center"/>
          </w:tcPr>
          <w:p>
            <w:pPr>
              <w:jc w:val="center"/>
              <w:rPr>
                <w:rFonts w:ascii="宋体" w:hAnsi="宋体" w:cs="宋体"/>
                <w:sz w:val="21"/>
                <w:szCs w:val="21"/>
              </w:rPr>
            </w:pPr>
          </w:p>
        </w:tc>
        <w:tc>
          <w:tcPr>
            <w:tcW w:w="324" w:type="pct"/>
            <w:vAlign w:val="center"/>
          </w:tcPr>
          <w:p>
            <w:pPr>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时　效</w:t>
            </w:r>
          </w:p>
        </w:tc>
        <w:tc>
          <w:tcPr>
            <w:tcW w:w="708" w:type="pct"/>
            <w:vAlign w:val="center"/>
          </w:tcPr>
          <w:p>
            <w:pPr>
              <w:widowControl/>
              <w:adjustRightInd w:val="0"/>
              <w:snapToGrid w:val="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教育经费使用控制率</w:t>
            </w:r>
          </w:p>
        </w:tc>
        <w:tc>
          <w:tcPr>
            <w:tcW w:w="1058" w:type="pct"/>
            <w:vAlign w:val="center"/>
          </w:tcPr>
          <w:p>
            <w:pPr>
              <w:widowControl/>
              <w:adjustRightInd w:val="0"/>
              <w:snapToGrid w:val="0"/>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10分教育经费决算数不大于调整预算数得满分，否则不得分</w:t>
            </w:r>
          </w:p>
        </w:tc>
        <w:tc>
          <w:tcPr>
            <w:tcW w:w="898" w:type="pct"/>
            <w:vAlign w:val="center"/>
          </w:tcPr>
          <w:p>
            <w:pPr>
              <w:widowControl/>
              <w:adjustRightInd w:val="0"/>
              <w:snapToGrid w:val="0"/>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支出的公用经费总额与预算安排的比率</w:t>
            </w:r>
          </w:p>
        </w:tc>
        <w:tc>
          <w:tcPr>
            <w:tcW w:w="368" w:type="pct"/>
            <w:vAlign w:val="center"/>
          </w:tcPr>
          <w:p>
            <w:pPr>
              <w:widowControl/>
              <w:spacing w:line="300" w:lineRule="exact"/>
              <w:jc w:val="both"/>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文字描述</w:t>
            </w:r>
          </w:p>
        </w:tc>
        <w:tc>
          <w:tcPr>
            <w:tcW w:w="32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p>
        </w:tc>
        <w:tc>
          <w:tcPr>
            <w:tcW w:w="332"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教育经费决算数不大于调整预算数</w:t>
            </w:r>
          </w:p>
        </w:tc>
        <w:tc>
          <w:tcPr>
            <w:tcW w:w="61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7" w:hRule="exact"/>
          <w:jc w:val="center"/>
        </w:trPr>
        <w:tc>
          <w:tcPr>
            <w:tcW w:w="373" w:type="pct"/>
            <w:vMerge w:val="continue"/>
            <w:vAlign w:val="center"/>
          </w:tcPr>
          <w:p>
            <w:pPr>
              <w:jc w:val="center"/>
              <w:rPr>
                <w:rFonts w:ascii="宋体" w:hAnsi="宋体" w:cs="宋体"/>
                <w:sz w:val="21"/>
                <w:szCs w:val="21"/>
              </w:rPr>
            </w:pPr>
          </w:p>
        </w:tc>
        <w:tc>
          <w:tcPr>
            <w:tcW w:w="324" w:type="pc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成  本</w:t>
            </w:r>
          </w:p>
        </w:tc>
        <w:tc>
          <w:tcPr>
            <w:tcW w:w="708" w:type="pct"/>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学校的各项工作任务及时完成情况</w:t>
            </w:r>
          </w:p>
        </w:tc>
        <w:tc>
          <w:tcPr>
            <w:tcW w:w="1058" w:type="pct"/>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10分及时完成得满分，否则不得分</w:t>
            </w:r>
          </w:p>
        </w:tc>
        <w:tc>
          <w:tcPr>
            <w:tcW w:w="898" w:type="pct"/>
            <w:vAlign w:val="center"/>
          </w:tcPr>
          <w:p>
            <w:pPr>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学校的各项工作任务及时完成情况</w:t>
            </w:r>
          </w:p>
        </w:tc>
        <w:tc>
          <w:tcPr>
            <w:tcW w:w="368" w:type="pct"/>
            <w:vAlign w:val="center"/>
          </w:tcPr>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文字描述</w:t>
            </w:r>
          </w:p>
        </w:tc>
        <w:tc>
          <w:tcPr>
            <w:tcW w:w="323" w:type="pct"/>
            <w:vAlign w:val="center"/>
          </w:tcPr>
          <w:p>
            <w:pPr>
              <w:spacing w:line="300" w:lineRule="exact"/>
              <w:jc w:val="center"/>
              <w:rPr>
                <w:rFonts w:hint="eastAsia" w:ascii="仿宋_GB2312" w:hAnsi="仿宋_GB2312" w:eastAsia="仿宋_GB2312" w:cs="仿宋_GB2312"/>
                <w:sz w:val="21"/>
                <w:szCs w:val="21"/>
              </w:rPr>
            </w:pPr>
          </w:p>
        </w:tc>
        <w:tc>
          <w:tcPr>
            <w:tcW w:w="332"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及时</w:t>
            </w:r>
          </w:p>
        </w:tc>
        <w:tc>
          <w:tcPr>
            <w:tcW w:w="613" w:type="pct"/>
            <w:vAlign w:val="center"/>
          </w:tcPr>
          <w:p>
            <w:pPr>
              <w:widowControl/>
              <w:spacing w:line="3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99" w:hRule="exact"/>
          <w:jc w:val="center"/>
        </w:trPr>
        <w:tc>
          <w:tcPr>
            <w:tcW w:w="373" w:type="pct"/>
            <w:vMerge w:val="restart"/>
            <w:vAlign w:val="center"/>
          </w:tcPr>
          <w:p>
            <w:pPr>
              <w:jc w:val="center"/>
              <w:rPr>
                <w:rFonts w:ascii="宋体" w:hAnsi="宋体" w:cs="宋体"/>
                <w:sz w:val="21"/>
                <w:szCs w:val="21"/>
              </w:rPr>
            </w:pPr>
            <w:r>
              <w:rPr>
                <w:rFonts w:hint="eastAsia" w:ascii="宋体" w:hAnsi="宋体" w:cs="宋体"/>
                <w:sz w:val="21"/>
                <w:szCs w:val="21"/>
              </w:rPr>
              <w:t>效果指标</w:t>
            </w:r>
          </w:p>
        </w:tc>
        <w:tc>
          <w:tcPr>
            <w:tcW w:w="324" w:type="pct"/>
            <w:vAlign w:val="center"/>
          </w:tcPr>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社  会</w:t>
            </w:r>
          </w:p>
          <w:p>
            <w:pPr>
              <w:widowControl/>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效  益</w:t>
            </w:r>
          </w:p>
        </w:tc>
        <w:tc>
          <w:tcPr>
            <w:tcW w:w="70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义务教育高质量发展</w:t>
            </w:r>
          </w:p>
        </w:tc>
        <w:tc>
          <w:tcPr>
            <w:tcW w:w="105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10分学生、家长、社会对学校整体满意度达到95%得满分，每降低1%扣1分，扣完为止。</w:t>
            </w:r>
          </w:p>
        </w:tc>
        <w:tc>
          <w:tcPr>
            <w:tcW w:w="89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推动义务教育从数量扩张向质量提高转变</w:t>
            </w:r>
          </w:p>
        </w:tc>
        <w:tc>
          <w:tcPr>
            <w:tcW w:w="368" w:type="pct"/>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23" w:type="pct"/>
            <w:vAlign w:val="center"/>
          </w:tcPr>
          <w:p>
            <w:pPr>
              <w:widowControl/>
              <w:spacing w:line="240" w:lineRule="exact"/>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95</w:t>
            </w:r>
          </w:p>
        </w:tc>
        <w:tc>
          <w:tcPr>
            <w:tcW w:w="332" w:type="pct"/>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w:t>
            </w:r>
          </w:p>
        </w:tc>
        <w:tc>
          <w:tcPr>
            <w:tcW w:w="613" w:type="pct"/>
            <w:vAlign w:val="center"/>
          </w:tcPr>
          <w:p>
            <w:pPr>
              <w:spacing w:line="3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26" w:hRule="exact"/>
          <w:jc w:val="center"/>
        </w:trPr>
        <w:tc>
          <w:tcPr>
            <w:tcW w:w="373" w:type="pct"/>
            <w:vMerge w:val="continue"/>
            <w:vAlign w:val="center"/>
          </w:tcPr>
          <w:p>
            <w:pPr>
              <w:jc w:val="center"/>
              <w:rPr>
                <w:rFonts w:ascii="宋体" w:hAnsi="宋体" w:cs="宋体"/>
                <w:sz w:val="21"/>
                <w:szCs w:val="21"/>
              </w:rPr>
            </w:pPr>
          </w:p>
        </w:tc>
        <w:tc>
          <w:tcPr>
            <w:tcW w:w="324" w:type="pct"/>
            <w:vAlign w:val="center"/>
          </w:tcPr>
          <w:p>
            <w:pPr>
              <w:spacing w:line="300" w:lineRule="exact"/>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满意度</w:t>
            </w:r>
          </w:p>
        </w:tc>
        <w:tc>
          <w:tcPr>
            <w:tcW w:w="70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在校师生的满意程度</w:t>
            </w:r>
          </w:p>
        </w:tc>
        <w:tc>
          <w:tcPr>
            <w:tcW w:w="1058" w:type="pct"/>
            <w:vAlign w:val="center"/>
          </w:tcPr>
          <w:p>
            <w:pPr>
              <w:widowControl/>
              <w:adjustRightInd w:val="0"/>
              <w:snapToGrid w:val="0"/>
              <w:spacing w:line="30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10分在校师生的满意度达到95%得满分，每降低1%扣1分，扣完为止。</w:t>
            </w:r>
          </w:p>
        </w:tc>
        <w:tc>
          <w:tcPr>
            <w:tcW w:w="898" w:type="pct"/>
            <w:vAlign w:val="center"/>
          </w:tcPr>
          <w:p>
            <w:pPr>
              <w:widowControl/>
              <w:spacing w:line="240" w:lineRule="exact"/>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在校师生的满意程度</w:t>
            </w:r>
          </w:p>
        </w:tc>
        <w:tc>
          <w:tcPr>
            <w:tcW w:w="368" w:type="pct"/>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23" w:type="pct"/>
            <w:vAlign w:val="center"/>
          </w:tcPr>
          <w:p>
            <w:pPr>
              <w:widowControl/>
              <w:spacing w:line="240" w:lineRule="exact"/>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rPr>
              <w:t>9</w:t>
            </w:r>
            <w:r>
              <w:rPr>
                <w:rFonts w:hint="eastAsia" w:ascii="仿宋_GB2312" w:hAnsi="仿宋_GB2312" w:eastAsia="仿宋_GB2312" w:cs="仿宋_GB2312"/>
                <w:kern w:val="0"/>
                <w:sz w:val="21"/>
                <w:szCs w:val="21"/>
                <w:lang w:val="en-US" w:eastAsia="zh-CN"/>
              </w:rPr>
              <w:t>5</w:t>
            </w:r>
          </w:p>
        </w:tc>
        <w:tc>
          <w:tcPr>
            <w:tcW w:w="332" w:type="pct"/>
            <w:vAlign w:val="center"/>
          </w:tcPr>
          <w:p>
            <w:pPr>
              <w:widowControl/>
              <w:spacing w:line="24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613" w:type="pct"/>
            <w:vAlign w:val="center"/>
          </w:tcPr>
          <w:p>
            <w:pPr>
              <w:widowControl/>
              <w:spacing w:line="300" w:lineRule="exact"/>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教育经费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eastAsia="仿宋_GB2312"/>
                <w:kern w:val="0"/>
                <w:szCs w:val="21"/>
              </w:rPr>
              <w:t>促进义务教育均衡发展,保障城市义务教育顺利进行，改善办学条件。全面提高师生素质。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数量</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保12个月教学正常运转</w:t>
            </w:r>
          </w:p>
        </w:tc>
        <w:tc>
          <w:tcPr>
            <w:tcW w:w="3402"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保障教学正常运转时长</w:t>
            </w:r>
          </w:p>
        </w:tc>
        <w:tc>
          <w:tcPr>
            <w:tcW w:w="1843" w:type="dxa"/>
            <w:shd w:val="clear" w:color="auto" w:fill="auto"/>
            <w:vAlign w:val="center"/>
          </w:tcPr>
          <w:p>
            <w:pPr>
              <w:widowControl/>
              <w:spacing w:line="240" w:lineRule="exact"/>
              <w:rPr>
                <w:rFonts w:ascii="仿宋_GB2312" w:eastAsia="仿宋_GB2312"/>
                <w:kern w:val="0"/>
                <w:sz w:val="24"/>
                <w:szCs w:val="24"/>
              </w:rPr>
            </w:pPr>
            <w:r>
              <w:rPr>
                <w:rFonts w:hint="eastAsia" w:ascii="仿宋_GB2312" w:eastAsia="仿宋_GB2312"/>
                <w:kern w:val="0"/>
                <w:sz w:val="24"/>
                <w:szCs w:val="24"/>
              </w:rPr>
              <w:t>=12个月</w:t>
            </w:r>
          </w:p>
        </w:tc>
        <w:tc>
          <w:tcPr>
            <w:tcW w:w="215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质量</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物资采购合格率</w:t>
            </w:r>
          </w:p>
        </w:tc>
        <w:tc>
          <w:tcPr>
            <w:tcW w:w="3402"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color w:val="000000"/>
                <w:szCs w:val="21"/>
              </w:rPr>
              <w:t>保障日常教学器材及物资充裕</w:t>
            </w:r>
          </w:p>
        </w:tc>
        <w:tc>
          <w:tcPr>
            <w:tcW w:w="1843" w:type="dxa"/>
            <w:shd w:val="clear" w:color="auto" w:fill="auto"/>
            <w:vAlign w:val="center"/>
          </w:tcPr>
          <w:p>
            <w:pPr>
              <w:widowControl/>
              <w:spacing w:line="240" w:lineRule="exact"/>
              <w:rPr>
                <w:rFonts w:ascii="仿宋_GB2312" w:eastAsia="仿宋_GB2312"/>
                <w:kern w:val="0"/>
                <w:sz w:val="24"/>
                <w:szCs w:val="24"/>
              </w:rPr>
            </w:pPr>
            <w:r>
              <w:rPr>
                <w:rFonts w:hint="eastAsia" w:ascii="仿宋_GB2312" w:eastAsia="仿宋_GB2312"/>
                <w:kern w:val="0"/>
                <w:sz w:val="24"/>
                <w:szCs w:val="24"/>
              </w:rPr>
              <w:t>=100%</w:t>
            </w:r>
          </w:p>
        </w:tc>
        <w:tc>
          <w:tcPr>
            <w:tcW w:w="215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质量</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上级下达学校的各项工作任务完成率</w:t>
            </w:r>
          </w:p>
        </w:tc>
        <w:tc>
          <w:tcPr>
            <w:tcW w:w="3402" w:type="dxa"/>
            <w:shd w:val="clear" w:color="auto" w:fill="auto"/>
            <w:vAlign w:val="center"/>
          </w:tcPr>
          <w:p>
            <w:pPr>
              <w:spacing w:line="240" w:lineRule="exact"/>
              <w:rPr>
                <w:rFonts w:ascii="仿宋_GB2312" w:eastAsia="仿宋_GB2312"/>
                <w:color w:val="000000"/>
                <w:szCs w:val="21"/>
              </w:rPr>
            </w:pPr>
            <w:r>
              <w:rPr>
                <w:rFonts w:hint="eastAsia" w:ascii="仿宋_GB2312" w:eastAsia="仿宋_GB2312"/>
                <w:color w:val="000000"/>
                <w:szCs w:val="21"/>
              </w:rPr>
              <w:t>保证完成上级下达学校的各项工作任务</w:t>
            </w:r>
          </w:p>
        </w:tc>
        <w:tc>
          <w:tcPr>
            <w:tcW w:w="1843" w:type="dxa"/>
            <w:shd w:val="clear" w:color="auto" w:fill="auto"/>
            <w:vAlign w:val="center"/>
          </w:tcPr>
          <w:p>
            <w:pPr>
              <w:widowControl/>
              <w:spacing w:line="240" w:lineRule="exact"/>
              <w:rPr>
                <w:rFonts w:ascii="仿宋_GB2312" w:eastAsia="仿宋_GB2312"/>
                <w:kern w:val="0"/>
                <w:sz w:val="24"/>
                <w:szCs w:val="24"/>
              </w:rPr>
            </w:pPr>
            <w:r>
              <w:rPr>
                <w:rFonts w:hint="eastAsia" w:ascii="仿宋_GB2312" w:eastAsia="仿宋_GB2312"/>
                <w:kern w:val="0"/>
                <w:sz w:val="24"/>
                <w:szCs w:val="24"/>
              </w:rPr>
              <w:t>=100%</w:t>
            </w:r>
          </w:p>
        </w:tc>
        <w:tc>
          <w:tcPr>
            <w:tcW w:w="2155" w:type="dxa"/>
            <w:shd w:val="clear" w:color="auto" w:fill="auto"/>
            <w:vAlign w:val="center"/>
          </w:tcPr>
          <w:p>
            <w:pPr>
              <w:spacing w:line="240" w:lineRule="exact"/>
              <w:rPr>
                <w:rFonts w:ascii="仿宋_GB2312" w:eastAsia="仿宋_GB2312"/>
                <w:color w:val="000000"/>
                <w:szCs w:val="21"/>
              </w:rPr>
            </w:pPr>
            <w:r>
              <w:rPr>
                <w:rFonts w:hint="eastAsia" w:ascii="仿宋_GB2312" w:eastAsia="仿宋_GB2312"/>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时效</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用于保障学校正常运转项目完成及时率</w:t>
            </w:r>
          </w:p>
        </w:tc>
        <w:tc>
          <w:tcPr>
            <w:tcW w:w="3402" w:type="dxa"/>
            <w:shd w:val="clear" w:color="auto" w:fill="auto"/>
            <w:vAlign w:val="center"/>
          </w:tcPr>
          <w:p>
            <w:pPr>
              <w:spacing w:line="240" w:lineRule="exact"/>
              <w:rPr>
                <w:rFonts w:ascii="仿宋_GB2312" w:eastAsia="仿宋_GB2312" w:cs="宋体"/>
                <w:color w:val="000000"/>
                <w:szCs w:val="21"/>
              </w:rPr>
            </w:pPr>
            <w:r>
              <w:rPr>
                <w:rFonts w:hint="eastAsia" w:ascii="仿宋_GB2312" w:eastAsia="仿宋_GB2312"/>
                <w:color w:val="000000"/>
                <w:szCs w:val="21"/>
              </w:rPr>
              <w:t>及时提供的教学用品、保障教学设施、设备正常运行</w:t>
            </w:r>
          </w:p>
        </w:tc>
        <w:tc>
          <w:tcPr>
            <w:tcW w:w="1843" w:type="dxa"/>
            <w:shd w:val="clear" w:color="auto" w:fill="auto"/>
            <w:vAlign w:val="center"/>
          </w:tcPr>
          <w:p>
            <w:pPr>
              <w:widowControl/>
              <w:spacing w:line="240" w:lineRule="exact"/>
              <w:rPr>
                <w:rFonts w:ascii="仿宋_GB2312" w:eastAsia="仿宋_GB2312"/>
                <w:kern w:val="0"/>
                <w:sz w:val="24"/>
                <w:szCs w:val="24"/>
              </w:rPr>
            </w:pPr>
            <w:r>
              <w:rPr>
                <w:rFonts w:hint="eastAsia" w:ascii="仿宋_GB2312" w:eastAsia="仿宋_GB2312"/>
                <w:kern w:val="0"/>
                <w:sz w:val="24"/>
                <w:szCs w:val="24"/>
              </w:rPr>
              <w:t>=100%</w:t>
            </w:r>
          </w:p>
        </w:tc>
        <w:tc>
          <w:tcPr>
            <w:tcW w:w="2155" w:type="dxa"/>
            <w:shd w:val="clear" w:color="auto" w:fill="auto"/>
            <w:vAlign w:val="center"/>
          </w:tcPr>
          <w:p>
            <w:pPr>
              <w:spacing w:line="240" w:lineRule="exact"/>
              <w:rPr>
                <w:rFonts w:ascii="仿宋_GB2312" w:eastAsia="仿宋_GB2312" w:cs="宋体"/>
                <w:color w:val="000000"/>
                <w:szCs w:val="21"/>
              </w:rPr>
            </w:pPr>
            <w:r>
              <w:rPr>
                <w:rFonts w:hint="eastAsia" w:ascii="仿宋_GB2312" w:eastAsia="仿宋_GB2312"/>
                <w:color w:val="000000"/>
                <w:szCs w:val="21"/>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成本</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经费支出成本</w:t>
            </w:r>
          </w:p>
        </w:tc>
        <w:tc>
          <w:tcPr>
            <w:tcW w:w="3402" w:type="dxa"/>
            <w:shd w:val="clear" w:color="auto" w:fill="auto"/>
            <w:vAlign w:val="center"/>
          </w:tcPr>
          <w:p>
            <w:pPr>
              <w:spacing w:line="240" w:lineRule="exact"/>
              <w:rPr>
                <w:rFonts w:ascii="仿宋_GB2312" w:eastAsia="仿宋_GB2312" w:cs="宋体"/>
                <w:color w:val="000000"/>
                <w:szCs w:val="21"/>
              </w:rPr>
            </w:pPr>
            <w:r>
              <w:rPr>
                <w:rFonts w:hint="eastAsia" w:ascii="仿宋_GB2312" w:eastAsia="仿宋_GB2312"/>
                <w:color w:val="000000"/>
                <w:szCs w:val="21"/>
              </w:rPr>
              <w:t>经费各项支出不高于项目资金总额</w:t>
            </w:r>
          </w:p>
        </w:tc>
        <w:tc>
          <w:tcPr>
            <w:tcW w:w="1843" w:type="dxa"/>
            <w:shd w:val="clear" w:color="auto" w:fill="auto"/>
            <w:vAlign w:val="center"/>
          </w:tcPr>
          <w:p>
            <w:pPr>
              <w:rPr>
                <w:rFonts w:ascii="仿宋_GB2312" w:eastAsia="仿宋_GB2312" w:cs="Calibri"/>
                <w:color w:val="000000"/>
                <w:szCs w:val="21"/>
              </w:rPr>
            </w:pPr>
            <w:r>
              <w:rPr>
                <w:rFonts w:hint="eastAsia" w:ascii="仿宋_GB2312" w:eastAsia="仿宋_GB2312" w:cs="Calibri"/>
                <w:color w:val="000000"/>
                <w:szCs w:val="21"/>
              </w:rPr>
              <w:t>≤57.32万元</w:t>
            </w:r>
          </w:p>
        </w:tc>
        <w:tc>
          <w:tcPr>
            <w:tcW w:w="215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社会效益</w:t>
            </w:r>
          </w:p>
        </w:tc>
        <w:tc>
          <w:tcPr>
            <w:tcW w:w="1985" w:type="dxa"/>
            <w:shd w:val="clear" w:color="auto" w:fill="auto"/>
            <w:vAlign w:val="center"/>
          </w:tcPr>
          <w:p>
            <w:pPr>
              <w:widowControl/>
              <w:spacing w:line="240" w:lineRule="exact"/>
              <w:rPr>
                <w:rFonts w:ascii="仿宋_GB2312" w:eastAsia="仿宋_GB2312"/>
                <w:kern w:val="0"/>
                <w:szCs w:val="21"/>
              </w:rPr>
            </w:pPr>
            <w:r>
              <w:rPr>
                <w:rFonts w:hint="eastAsia" w:ascii="仿宋_GB2312" w:eastAsia="仿宋_GB2312"/>
                <w:kern w:val="0"/>
                <w:szCs w:val="21"/>
              </w:rPr>
              <w:t>义务教育高质量发展</w:t>
            </w:r>
          </w:p>
        </w:tc>
        <w:tc>
          <w:tcPr>
            <w:tcW w:w="3402" w:type="dxa"/>
            <w:shd w:val="clear" w:color="auto" w:fill="auto"/>
            <w:vAlign w:val="center"/>
          </w:tcPr>
          <w:p>
            <w:pPr>
              <w:spacing w:line="300" w:lineRule="exact"/>
              <w:rPr>
                <w:rFonts w:ascii="仿宋_GB2312" w:eastAsia="仿宋_GB2312" w:cs="Times New Roman"/>
                <w:szCs w:val="21"/>
              </w:rPr>
            </w:pPr>
            <w:r>
              <w:rPr>
                <w:rFonts w:hint="eastAsia" w:ascii="仿宋_GB2312" w:eastAsia="仿宋_GB2312"/>
                <w:kern w:val="0"/>
                <w:szCs w:val="21"/>
              </w:rPr>
              <w:t>推动义务教育从数量扩张向质量提高转变</w:t>
            </w:r>
          </w:p>
        </w:tc>
        <w:tc>
          <w:tcPr>
            <w:tcW w:w="1843" w:type="dxa"/>
            <w:shd w:val="clear" w:color="auto" w:fill="auto"/>
            <w:vAlign w:val="center"/>
          </w:tcPr>
          <w:p>
            <w:pPr>
              <w:spacing w:line="300" w:lineRule="exact"/>
              <w:rPr>
                <w:rFonts w:ascii="仿宋_GB2312" w:eastAsia="仿宋_GB2312" w:cs="Times New Roman"/>
                <w:szCs w:val="21"/>
              </w:rPr>
            </w:pPr>
            <w:r>
              <w:rPr>
                <w:rFonts w:hint="eastAsia" w:ascii="仿宋_GB2312" w:eastAsia="仿宋_GB2312" w:cs="Times New Roman"/>
                <w:szCs w:val="21"/>
              </w:rPr>
              <w:t>提高</w:t>
            </w:r>
          </w:p>
        </w:tc>
        <w:tc>
          <w:tcPr>
            <w:tcW w:w="2155" w:type="dxa"/>
            <w:shd w:val="clear" w:color="auto" w:fill="auto"/>
            <w:vAlign w:val="center"/>
          </w:tcPr>
          <w:p>
            <w:pPr>
              <w:spacing w:line="300" w:lineRule="exact"/>
              <w:rPr>
                <w:rFonts w:ascii="仿宋_GB2312" w:eastAsia="仿宋_GB2312" w:cs="Times New Roman"/>
                <w:szCs w:val="21"/>
              </w:rPr>
            </w:pPr>
            <w:r>
              <w:rPr>
                <w:rFonts w:hint="eastAsia" w:ascii="仿宋_GB2312" w:eastAsia="仿宋_GB2312" w:cs="Times New Roman"/>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spacing w:line="240" w:lineRule="exact"/>
              <w:rPr>
                <w:rFonts w:eastAsia="仿宋_GB2312"/>
                <w:kern w:val="0"/>
                <w:sz w:val="24"/>
              </w:rPr>
            </w:pPr>
            <w:r>
              <w:rPr>
                <w:rFonts w:hint="eastAsia" w:eastAsia="仿宋_GB2312"/>
                <w:kern w:val="0"/>
                <w:sz w:val="24"/>
              </w:rPr>
              <w:t>服务对象满意度</w:t>
            </w:r>
          </w:p>
        </w:tc>
        <w:tc>
          <w:tcPr>
            <w:tcW w:w="1985" w:type="dxa"/>
            <w:shd w:val="clear" w:color="auto" w:fill="auto"/>
            <w:vAlign w:val="center"/>
          </w:tcPr>
          <w:p>
            <w:pPr>
              <w:widowControl/>
              <w:spacing w:line="240" w:lineRule="exact"/>
              <w:rPr>
                <w:rFonts w:ascii="仿宋" w:eastAsia="仿宋"/>
                <w:kern w:val="0"/>
                <w:szCs w:val="21"/>
              </w:rPr>
            </w:pPr>
            <w:r>
              <w:rPr>
                <w:rFonts w:hint="eastAsia" w:ascii="仿宋" w:eastAsia="仿宋"/>
                <w:kern w:val="0"/>
                <w:szCs w:val="21"/>
              </w:rPr>
              <w:t>在校师生的满意程度</w:t>
            </w:r>
          </w:p>
        </w:tc>
        <w:tc>
          <w:tcPr>
            <w:tcW w:w="3402" w:type="dxa"/>
            <w:shd w:val="clear" w:color="auto" w:fill="auto"/>
            <w:vAlign w:val="center"/>
          </w:tcPr>
          <w:p>
            <w:pPr>
              <w:widowControl/>
              <w:spacing w:line="240" w:lineRule="exact"/>
              <w:rPr>
                <w:rFonts w:ascii="仿宋" w:eastAsia="仿宋"/>
                <w:kern w:val="0"/>
                <w:szCs w:val="21"/>
              </w:rPr>
            </w:pPr>
            <w:r>
              <w:rPr>
                <w:rFonts w:hint="eastAsia" w:ascii="仿宋" w:eastAsia="仿宋"/>
                <w:kern w:val="0"/>
                <w:szCs w:val="21"/>
              </w:rPr>
              <w:t>在校师生的满意程度</w:t>
            </w:r>
          </w:p>
        </w:tc>
        <w:tc>
          <w:tcPr>
            <w:tcW w:w="1843" w:type="dxa"/>
            <w:shd w:val="clear" w:color="auto" w:fill="auto"/>
            <w:vAlign w:val="center"/>
          </w:tcPr>
          <w:p>
            <w:pPr>
              <w:spacing w:line="240" w:lineRule="exact"/>
              <w:rPr>
                <w:rFonts w:ascii="仿宋" w:eastAsia="仿宋" w:cs="宋体"/>
                <w:color w:val="000000"/>
                <w:szCs w:val="21"/>
              </w:rPr>
            </w:pPr>
            <w:r>
              <w:rPr>
                <w:rFonts w:ascii="仿宋" w:eastAsia="仿宋"/>
                <w:color w:val="000000"/>
                <w:szCs w:val="21"/>
              </w:rPr>
              <w:t>≥</w:t>
            </w:r>
            <w:r>
              <w:rPr>
                <w:rFonts w:hint="eastAsia" w:ascii="仿宋" w:eastAsia="仿宋"/>
                <w:color w:val="000000"/>
                <w:szCs w:val="21"/>
              </w:rPr>
              <w:t>95%</w:t>
            </w:r>
          </w:p>
        </w:tc>
        <w:tc>
          <w:tcPr>
            <w:tcW w:w="2155" w:type="dxa"/>
            <w:shd w:val="clear" w:color="auto" w:fill="auto"/>
            <w:vAlign w:val="center"/>
          </w:tcPr>
          <w:p>
            <w:pPr>
              <w:spacing w:line="240" w:lineRule="exact"/>
              <w:rPr>
                <w:rFonts w:ascii="仿宋" w:eastAsia="仿宋" w:cs="宋体"/>
                <w:color w:val="000000"/>
                <w:szCs w:val="21"/>
              </w:rPr>
            </w:pPr>
            <w:r>
              <w:rPr>
                <w:rFonts w:ascii="仿宋" w:eastAsia="仿宋"/>
                <w:color w:val="000000"/>
                <w:szCs w:val="21"/>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rPr>
        <w:t>部门政府采购预算</w:t>
      </w:r>
      <w:bookmarkEnd w:id="4"/>
    </w:p>
    <w:p>
      <w:pPr>
        <w:outlineLvl w:val="1"/>
        <w:rPr>
          <w:rFonts w:ascii="方正小标宋_GBK" w:eastAsia="方正小标宋_GBK" w:cs="Times New Roman"/>
          <w:sz w:val="32"/>
        </w:rPr>
      </w:pPr>
      <w:r>
        <w:rPr>
          <w:rFonts w:hint="eastAsia"/>
        </w:rPr>
        <w:t>廊坊市</w:t>
      </w:r>
      <w:r>
        <w:t>广阳区教师进修学校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政府采购金额（当年部门预算安排资金）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spacing w:line="500" w:lineRule="exact"/>
        <w:ind w:firstLine="420"/>
        <w:rPr>
          <w:rFonts w:ascii="方正仿宋_GBK" w:eastAsia="方正仿宋_GBK" w:cs="方正仿宋_GBK"/>
          <w:color w:val="000000"/>
        </w:rPr>
      </w:pPr>
      <w:r>
        <w:rPr>
          <w:rFonts w:asci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廊坊市广阳区教师进修学校上年末固定资产金额为</w:t>
      </w:r>
      <w:r>
        <w:rPr>
          <w:rFonts w:hint="eastAsia" w:ascii="Times New Roman" w:hAnsi="Times New Roman" w:eastAsia="仿宋_GB2312" w:cs="Times New Roman"/>
          <w:sz w:val="32"/>
          <w:szCs w:val="32"/>
        </w:rPr>
        <w:t>36.26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廊坊市广阳区教师进修学校固定资产占用情况表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编制部门：廊坊市广阳区教师进修学校</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36.26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FF"/>
    <w:rsid w:val="00385034"/>
    <w:rsid w:val="004B1C8A"/>
    <w:rsid w:val="0082095E"/>
    <w:rsid w:val="0096699B"/>
    <w:rsid w:val="00992667"/>
    <w:rsid w:val="00B108F3"/>
    <w:rsid w:val="00C3175A"/>
    <w:rsid w:val="00D86DFF"/>
    <w:rsid w:val="00EC4921"/>
    <w:rsid w:val="00FB59DC"/>
    <w:rsid w:val="117F4C96"/>
    <w:rsid w:val="2A0D36CE"/>
    <w:rsid w:val="2AD87D83"/>
    <w:rsid w:val="2C7F53B0"/>
    <w:rsid w:val="3007230D"/>
    <w:rsid w:val="3ECC387F"/>
    <w:rsid w:val="46C50509"/>
    <w:rsid w:val="7C8352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749</Words>
  <Characters>4273</Characters>
  <Lines>35</Lines>
  <Paragraphs>10</Paragraphs>
  <TotalTime>0</TotalTime>
  <ScaleCrop>false</ScaleCrop>
  <LinksUpToDate>false</LinksUpToDate>
  <CharactersWithSpaces>5012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2024-07-18T02:48:50Z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AAFFF22228A64A15AB6B9BAE20F6BAC6</vt:lpwstr>
  </property>
</Properties>
</file>