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10" w:name="_GoBack"/>
      <w:r>
        <w:rPr>
          <w:rFonts w:ascii="Times New Roman" w:hAnsi="Times New Roman" w:eastAsia="方正小标宋简体" w:cs="Times New Roman"/>
          <w:sz w:val="44"/>
          <w:szCs w:val="44"/>
        </w:rPr>
        <w:t>廊坊市第</w:t>
      </w:r>
      <w:r>
        <w:rPr>
          <w:rFonts w:hint="eastAsia" w:ascii="Times New Roman" w:hAnsi="Times New Roman" w:eastAsia="方正小标宋简体" w:cs="Times New Roman"/>
          <w:sz w:val="44"/>
          <w:szCs w:val="44"/>
        </w:rPr>
        <w:t>十二小</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10"/>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廊坊市第十二小学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646.09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638.07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8.02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759.06</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1405.15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增加561.37</w:t>
      </w:r>
      <w:r>
        <w:rPr>
          <w:rFonts w:ascii="Times New Roman" w:hAnsi="Times New Roman" w:eastAsia="仿宋_GB2312" w:cs="Times New Roman"/>
          <w:sz w:val="32"/>
          <w:szCs w:val="32"/>
        </w:rPr>
        <w:t>万元，其中：基本支出减少55.56万元，主要为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616.93</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320" w:firstLineChars="1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320" w:firstLineChars="1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8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8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1804人</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2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9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9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1.目标内容1廊坊市第十二小学2022年在校学生1804人，按照义务教育生均公用经费标准申请财政预算资金，通过合理、合规使用资金达到保证学校正常运转，改善办学条件，促进义务教育发展。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1804人</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3.非公办教师经费绩效目标表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1.消除信访隐患、关心关爱家庭困难教师、支持教育事业发展的原则，根据吴兰老师自身实际，解决其待遇问题。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工资(福利)等发放精准性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工资福利等发放人员范围的精准性和发放数据的准确性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工资福利等发放的时效情况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按规定时间发放</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保持干部队伍稳定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通过按时按标准发放工资福利等，进一步增强归属感，保持相对稳定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保持相对稳定</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人员对工资福利等发放工作的满意程度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502"/>
        <w:gridCol w:w="1590"/>
        <w:gridCol w:w="1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5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1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26人工资福利</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58人</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5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6.特殊教育资金[中央]绩效目标表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1.目标内容1方便特殊学生日常生活学习，提升整体教学质量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72000元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7.消防设施维修改造项目质保金绩效目标表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1.消除消防安全隐患，学校安全得到全面提升。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项目进度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按计划完成项目</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项目工程款质保金0.861万元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改善校容校貌，提升办学水平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竣工验收效果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jc w:val="left"/>
        <w:outlineLvl w:val="3"/>
        <w:rPr>
          <w:rFonts w:ascii="Times New Roman" w:hAnsi="Times New Roman" w:eastAsia="黑体" w:cs="Times New Roman"/>
          <w:sz w:val="32"/>
          <w:szCs w:val="32"/>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52、非公办教师吴兰经费绩效目标表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int="eastAsia" w:ascii="方正仿宋_GBK" w:eastAsia="方正仿宋_GBK"/>
          <w:b/>
          <w:sz w:val="28"/>
        </w:rPr>
        <w:t xml:space="preserve">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7"/>
    <w:p>
      <w:pPr>
        <w:jc w:val="center"/>
        <w:outlineLvl w:val="1"/>
        <w:rPr>
          <w:rFonts w:ascii="方正小标宋_GBK" w:eastAsia="方正小标宋_GBK" w:cs="Times New Roman"/>
          <w:sz w:val="32"/>
        </w:rPr>
      </w:pPr>
      <w:bookmarkStart w:id="8" w:name="_Toc64920910"/>
      <w:r>
        <w:rPr>
          <w:rFonts w:hint="eastAsia" w:ascii="方正小标宋_GBK" w:eastAsia="方正小标宋_GBK" w:cs="Times New Roman"/>
          <w:sz w:val="32"/>
        </w:rPr>
        <w:t>部门政府采购预算</w:t>
      </w:r>
      <w:bookmarkEnd w:id="8"/>
    </w:p>
    <w:p>
      <w:pPr>
        <w:outlineLvl w:val="1"/>
        <w:rPr>
          <w:rFonts w:ascii="方正小标宋_GBK" w:eastAsia="方正小标宋_GBK" w:cs="Times New Roman"/>
          <w:sz w:val="32"/>
        </w:rPr>
      </w:pPr>
      <w:r>
        <w:rPr>
          <w:rFonts w:hint="eastAsia"/>
        </w:rPr>
        <w:t>[</w:t>
      </w:r>
      <w:r>
        <w:t>459001]</w:t>
      </w:r>
      <w:r>
        <w:rPr>
          <w:rFonts w:hint="eastAsia"/>
        </w:rPr>
        <w:t>廊坊市第十二小学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十二小</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741.010434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bookmarkStart w:id="9" w:name="_Hlk98267655"/>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bookmarkEnd w:id="9"/>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十二小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十二小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ind w:firstLine="1650" w:firstLineChars="7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741.010434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5257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4816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 xml:space="preserve"> </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 xml:space="preserve"> 237.710434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7724"/>
    <w:rsid w:val="00070736"/>
    <w:rsid w:val="000F6018"/>
    <w:rsid w:val="001A1291"/>
    <w:rsid w:val="00216DA5"/>
    <w:rsid w:val="0024206B"/>
    <w:rsid w:val="0025632D"/>
    <w:rsid w:val="002F36BA"/>
    <w:rsid w:val="003059E0"/>
    <w:rsid w:val="00336AFA"/>
    <w:rsid w:val="003C0A5C"/>
    <w:rsid w:val="00437FE7"/>
    <w:rsid w:val="00474C13"/>
    <w:rsid w:val="004A54AA"/>
    <w:rsid w:val="004C0827"/>
    <w:rsid w:val="004C3D1C"/>
    <w:rsid w:val="00523A3A"/>
    <w:rsid w:val="0065176D"/>
    <w:rsid w:val="00660389"/>
    <w:rsid w:val="0068194A"/>
    <w:rsid w:val="00692AEE"/>
    <w:rsid w:val="0078104A"/>
    <w:rsid w:val="007C7867"/>
    <w:rsid w:val="007D6A12"/>
    <w:rsid w:val="007F6DF3"/>
    <w:rsid w:val="0081323A"/>
    <w:rsid w:val="00832A82"/>
    <w:rsid w:val="00832CE5"/>
    <w:rsid w:val="00944233"/>
    <w:rsid w:val="00961F07"/>
    <w:rsid w:val="009735EC"/>
    <w:rsid w:val="009A45F5"/>
    <w:rsid w:val="009B5858"/>
    <w:rsid w:val="00A505F1"/>
    <w:rsid w:val="00A6203D"/>
    <w:rsid w:val="00A90D8D"/>
    <w:rsid w:val="00AD039B"/>
    <w:rsid w:val="00B03564"/>
    <w:rsid w:val="00B40732"/>
    <w:rsid w:val="00B45ED6"/>
    <w:rsid w:val="00B80935"/>
    <w:rsid w:val="00C463C3"/>
    <w:rsid w:val="00D24536"/>
    <w:rsid w:val="00D33460"/>
    <w:rsid w:val="00D347CC"/>
    <w:rsid w:val="00D409D5"/>
    <w:rsid w:val="00DA729A"/>
    <w:rsid w:val="00DC72B4"/>
    <w:rsid w:val="00E72308"/>
    <w:rsid w:val="00E91492"/>
    <w:rsid w:val="00F231BC"/>
    <w:rsid w:val="00FA5065"/>
    <w:rsid w:val="00FC2E3B"/>
    <w:rsid w:val="00FE7AFD"/>
    <w:rsid w:val="02AC29FE"/>
    <w:rsid w:val="062020A1"/>
    <w:rsid w:val="0CEC1180"/>
    <w:rsid w:val="179221D2"/>
    <w:rsid w:val="2D14796C"/>
    <w:rsid w:val="2FC77CFE"/>
    <w:rsid w:val="33D43249"/>
    <w:rsid w:val="3A615737"/>
    <w:rsid w:val="3C335F67"/>
    <w:rsid w:val="546672AB"/>
    <w:rsid w:val="629B1E0F"/>
    <w:rsid w:val="6BCD41B1"/>
    <w:rsid w:val="73693C55"/>
    <w:rsid w:val="74963906"/>
    <w:rsid w:val="7C7D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1201</Words>
  <Characters>6846</Characters>
  <Lines>57</Lines>
  <Paragraphs>16</Paragraphs>
  <TotalTime>2</TotalTime>
  <ScaleCrop>false</ScaleCrop>
  <LinksUpToDate>false</LinksUpToDate>
  <CharactersWithSpaces>8031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2024-07-18T02:53:37Z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797B6F305E084A799AC1E7C57E9F17C0</vt:lpwstr>
  </property>
</Properties>
</file>