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6" w:name="_GoBack"/>
      <w:r>
        <w:rPr>
          <w:rFonts w:ascii="Times New Roman" w:hAnsi="Times New Roman" w:eastAsia="方正小标宋简体" w:cs="Times New Roman"/>
          <w:sz w:val="44"/>
          <w:szCs w:val="44"/>
        </w:rPr>
        <w:t>廊坊市第</w:t>
      </w:r>
      <w:r>
        <w:rPr>
          <w:rFonts w:hint="eastAsia" w:ascii="Times New Roman" w:hAnsi="Times New Roman" w:eastAsia="方正小标宋简体" w:cs="Times New Roman"/>
          <w:sz w:val="44"/>
          <w:szCs w:val="44"/>
        </w:rPr>
        <w:t>二小</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6"/>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二小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w:t>
      </w:r>
      <w:r>
        <w:rPr>
          <w:rFonts w:hint="eastAsia" w:ascii="Times New Roman" w:hAnsi="Times New Roman" w:eastAsia="仿宋_GB2312" w:cs="Times New Roman"/>
          <w:sz w:val="32"/>
          <w:szCs w:val="32"/>
          <w:lang w:eastAsia="zh-CN"/>
        </w:rPr>
        <w:t>订</w:t>
      </w:r>
      <w:r>
        <w:rPr>
          <w:rFonts w:hint="eastAsia" w:ascii="Times New Roman" w:hAnsi="Times New Roman" w:eastAsia="仿宋_GB2312" w:cs="Times New Roman"/>
          <w:sz w:val="32"/>
          <w:szCs w:val="32"/>
        </w:rPr>
        <w:t>我校的长远规划和年度计划，并组织实施。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3、推进义务教育均衡发展和促进教育公平，全面实施素质教育。</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5、负责本部门教育经费的统筹管理，教育经费预决算工作，教育经费的管理和使用；统筹规划和管理学校基本建设和设施的配置及计划统计工作。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7、负责做好学校的学生综合评价工作；负责管理本校教师学历教育及培训工作。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10、负责学校学生和教师的思想政治工作，学校思想政治队伍建设和学校校本课程教育教学。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11、负责学校安全稳定工作。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12、做好上级部门交办的其他事项。</w:t>
      </w:r>
    </w:p>
    <w:p>
      <w:pPr>
        <w:spacing w:line="584" w:lineRule="exact"/>
        <w:jc w:val="left"/>
        <w:outlineLvl w:val="0"/>
        <w:rPr>
          <w:rFonts w:ascii="Times New Roman" w:hAnsi="Times New Roman" w:eastAsia="楷体_GB2312" w:cs="Times New Roman"/>
          <w:b/>
          <w:sz w:val="32"/>
          <w:szCs w:val="32"/>
        </w:rPr>
      </w:pPr>
    </w:p>
    <w:p>
      <w:pPr>
        <w:spacing w:line="584" w:lineRule="exact"/>
        <w:jc w:val="left"/>
        <w:outlineLvl w:val="0"/>
        <w:rPr>
          <w:rFonts w:ascii="Times New Roman" w:hAnsi="Times New Roman" w:eastAsia="楷体_GB2312" w:cs="Times New Roman"/>
          <w:b/>
          <w:sz w:val="32"/>
          <w:szCs w:val="32"/>
        </w:rPr>
      </w:pPr>
    </w:p>
    <w:p>
      <w:pPr>
        <w:spacing w:line="584" w:lineRule="exact"/>
        <w:jc w:val="left"/>
        <w:outlineLvl w:val="0"/>
        <w:rPr>
          <w:rFonts w:ascii="Times New Roman" w:hAnsi="Times New Roman" w:eastAsia="仿宋_GB2312" w:cs="Times New Roman"/>
          <w:b/>
          <w:sz w:val="32"/>
          <w:szCs w:val="24"/>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02"/>
        <w:gridCol w:w="1857"/>
        <w:gridCol w:w="1687"/>
        <w:gridCol w:w="4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2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8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6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11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4202" w:type="dxa"/>
            <w:vMerge w:val="continue"/>
            <w:shd w:val="clear" w:color="auto" w:fill="auto"/>
            <w:vAlign w:val="center"/>
          </w:tcPr>
          <w:p/>
        </w:tc>
        <w:tc>
          <w:tcPr>
            <w:tcW w:w="1857" w:type="dxa"/>
            <w:vMerge w:val="continue"/>
            <w:shd w:val="clear" w:color="auto" w:fill="auto"/>
            <w:vAlign w:val="center"/>
          </w:tcPr>
          <w:p/>
        </w:tc>
        <w:tc>
          <w:tcPr>
            <w:tcW w:w="1687" w:type="dxa"/>
            <w:vMerge w:val="continue"/>
            <w:shd w:val="clear" w:color="auto" w:fill="auto"/>
            <w:vAlign w:val="center"/>
          </w:tcPr>
          <w:p/>
        </w:tc>
        <w:tc>
          <w:tcPr>
            <w:tcW w:w="411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42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廊坊市第二小学</w:t>
            </w:r>
          </w:p>
        </w:tc>
        <w:tc>
          <w:tcPr>
            <w:tcW w:w="185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687" w:type="dxa"/>
            <w:shd w:val="clear" w:color="auto" w:fill="auto"/>
            <w:vAlign w:val="center"/>
          </w:tcPr>
          <w:p>
            <w:pPr>
              <w:spacing w:line="584" w:lineRule="exact"/>
              <w:rPr>
                <w:rFonts w:ascii="Times New Roman" w:hAnsi="Times New Roman" w:eastAsia="仿宋_GB2312" w:cs="Times New Roman"/>
                <w:b/>
              </w:rPr>
            </w:pPr>
          </w:p>
        </w:tc>
        <w:tc>
          <w:tcPr>
            <w:tcW w:w="4112"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二小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收支预算总表支出栏、基本支出表、项目支出表按经济分类和支出功能分类科目编制，反映廊坊市第</w:t>
      </w:r>
      <w:r>
        <w:rPr>
          <w:rFonts w:hint="eastAsia" w:ascii="Times New Roman" w:hAnsi="Times New Roman" w:eastAsia="仿宋_GB2312" w:cs="Times New Roman"/>
          <w:sz w:val="32"/>
          <w:szCs w:val="32"/>
        </w:rPr>
        <w:t>二小</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839.46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828.55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10.91</w:t>
      </w:r>
      <w:r>
        <w:rPr>
          <w:rFonts w:ascii="Times New Roman" w:hAnsi="Times New Roman" w:eastAsia="仿宋_GB2312" w:cs="Times New Roman"/>
          <w:sz w:val="32"/>
          <w:szCs w:val="32"/>
        </w:rPr>
        <w:t>万元；运转类其他及特定目标类项目支</w:t>
      </w:r>
      <w:r>
        <w:rPr>
          <w:rFonts w:hint="eastAsia" w:ascii="Times New Roman" w:hAnsi="Times New Roman" w:eastAsia="仿宋_GB2312" w:cs="Times New Roman"/>
          <w:sz w:val="32"/>
          <w:szCs w:val="32"/>
        </w:rPr>
        <w:t>出197.31</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增加71.22</w:t>
      </w:r>
      <w:r>
        <w:rPr>
          <w:rFonts w:ascii="Times New Roman" w:hAnsi="Times New Roman" w:eastAsia="仿宋_GB2312" w:cs="Times New Roman"/>
          <w:sz w:val="32"/>
          <w:szCs w:val="32"/>
        </w:rPr>
        <w:t>万元，其中：基本支出减少60.02万元，主要为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131.24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787" w:firstLineChars="24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1、成立学校监督小组，监督学校工作，强化工作落实。</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608"/>
        <w:gridCol w:w="1613"/>
        <w:gridCol w:w="2089"/>
        <w:gridCol w:w="3560"/>
        <w:gridCol w:w="718"/>
        <w:gridCol w:w="707"/>
        <w:gridCol w:w="132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ascii="normal" w:hAnsi="normal" w:eastAsia="normal" w:cs="normal"/>
                <w:b/>
                <w:bCs/>
                <w:color w:val="000000"/>
                <w:kern w:val="0"/>
                <w:sz w:val="33"/>
                <w:szCs w:val="33"/>
                <w:lang w:bidi="ar"/>
              </w:rPr>
              <w:t>部门整体支出绩效指标情况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3"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571"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57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74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126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978" w:type="pct"/>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67"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3" w:type="pct"/>
            <w:vMerge w:val="continue"/>
            <w:shd w:val="clear" w:color="auto" w:fill="auto"/>
            <w:vAlign w:val="center"/>
          </w:tcPr>
          <w:p>
            <w:pPr>
              <w:jc w:val="center"/>
              <w:rPr>
                <w:rFonts w:ascii="宋体" w:hAnsi="宋体" w:cs="宋体"/>
                <w:color w:val="000000"/>
                <w:sz w:val="22"/>
              </w:rPr>
            </w:pPr>
          </w:p>
        </w:tc>
        <w:tc>
          <w:tcPr>
            <w:tcW w:w="571" w:type="pct"/>
            <w:vMerge w:val="continue"/>
            <w:shd w:val="clear" w:color="auto" w:fill="auto"/>
            <w:vAlign w:val="center"/>
          </w:tcPr>
          <w:p>
            <w:pPr>
              <w:jc w:val="center"/>
              <w:rPr>
                <w:rFonts w:ascii="宋体" w:hAnsi="宋体" w:cs="宋体"/>
                <w:color w:val="000000"/>
                <w:sz w:val="22"/>
              </w:rPr>
            </w:pPr>
          </w:p>
        </w:tc>
        <w:tc>
          <w:tcPr>
            <w:tcW w:w="572" w:type="pct"/>
            <w:vMerge w:val="continue"/>
            <w:shd w:val="clear" w:color="auto" w:fill="auto"/>
            <w:vAlign w:val="center"/>
          </w:tcPr>
          <w:p>
            <w:pPr>
              <w:jc w:val="center"/>
              <w:rPr>
                <w:rFonts w:ascii="宋体" w:hAnsi="宋体" w:cs="宋体"/>
                <w:color w:val="000000"/>
                <w:sz w:val="22"/>
              </w:rPr>
            </w:pPr>
          </w:p>
        </w:tc>
        <w:tc>
          <w:tcPr>
            <w:tcW w:w="742" w:type="pct"/>
            <w:vMerge w:val="continue"/>
            <w:shd w:val="clear" w:color="auto" w:fill="auto"/>
            <w:vAlign w:val="center"/>
          </w:tcPr>
          <w:p>
            <w:pPr>
              <w:jc w:val="center"/>
              <w:rPr>
                <w:rFonts w:ascii="宋体" w:hAnsi="宋体" w:cs="宋体"/>
                <w:color w:val="000000"/>
                <w:sz w:val="22"/>
              </w:rPr>
            </w:pPr>
          </w:p>
        </w:tc>
        <w:tc>
          <w:tcPr>
            <w:tcW w:w="1264" w:type="pct"/>
            <w:vMerge w:val="continue"/>
            <w:shd w:val="clear" w:color="auto" w:fill="auto"/>
            <w:vAlign w:val="center"/>
          </w:tcPr>
          <w:p>
            <w:pPr>
              <w:jc w:val="center"/>
              <w:rPr>
                <w:rFonts w:ascii="宋体" w:hAnsi="宋体" w:cs="宋体"/>
                <w:color w:val="000000"/>
                <w:sz w:val="22"/>
              </w:rPr>
            </w:pPr>
          </w:p>
        </w:tc>
        <w:tc>
          <w:tcPr>
            <w:tcW w:w="255"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251"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472"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467" w:type="pct"/>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1264" w:type="pct"/>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改善办学条件，促进义务教育发展。2.改善办学条件，提升教育环境。3.开展教师培训，提高教师队伍水平。4.开展文体活动，提高学生综合素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2252"/>
        <w:gridCol w:w="2428"/>
        <w:gridCol w:w="3476"/>
        <w:gridCol w:w="1104"/>
        <w:gridCol w:w="2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0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961人</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4"/>
        <w:gridCol w:w="124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1.廊坊市第二小学学校对2022年在校学生961人，按照义务教育生均公用经费标准申请财政预算资金，通过合理、合规使用资金达到保证学校正常运转，改善办学条件，促进义务教育发展。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2188"/>
        <w:gridCol w:w="2207"/>
        <w:gridCol w:w="3783"/>
        <w:gridCol w:w="853"/>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8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9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5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961人</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0"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2169"/>
        <w:gridCol w:w="1809"/>
        <w:gridCol w:w="3697"/>
        <w:gridCol w:w="2275"/>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7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4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11人工资福利</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4"/>
        <w:gridCol w:w="12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402" w:type="pct"/>
            <w:vAlign w:val="center"/>
          </w:tcPr>
          <w:p>
            <w:pPr>
              <w:pStyle w:val="14"/>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弥补办公经费不足，保障教育教学正常的进行。</w:t>
            </w:r>
          </w:p>
          <w:p>
            <w:pPr>
              <w:pStyle w:val="14"/>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改善办学条件，提高教育教学环境。</w:t>
            </w:r>
          </w:p>
          <w:p>
            <w:pPr>
              <w:pStyle w:val="14"/>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开展文化体育等社会活动，提高学校社会影响力。</w:t>
            </w:r>
          </w:p>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4"/>
        <w:gridCol w:w="1998"/>
        <w:gridCol w:w="2341"/>
        <w:gridCol w:w="4135"/>
        <w:gridCol w:w="1927"/>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80"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05"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826"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59"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80"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747"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≤13.33万元</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outlineLvl w:val="1"/>
        <w:rPr>
          <w:rFonts w:ascii="方正小标宋_GBK" w:eastAsia="方正小标宋_GBK" w:cs="Times New Roman"/>
          <w:sz w:val="32"/>
        </w:rPr>
      </w:pPr>
      <w:r>
        <w:t>[451001]</w:t>
      </w:r>
      <w:r>
        <w:rPr>
          <w:rFonts w:hint="eastAsia"/>
        </w:rPr>
        <w:t>廊坊市第二小学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第二小</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578.480362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二小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二小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578.480362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325.480462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AB83"/>
    <w:multiLevelType w:val="singleLevel"/>
    <w:tmpl w:val="B665AB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0736"/>
    <w:rsid w:val="000A4BAA"/>
    <w:rsid w:val="000F6018"/>
    <w:rsid w:val="001A1291"/>
    <w:rsid w:val="00216DA5"/>
    <w:rsid w:val="00237841"/>
    <w:rsid w:val="0024206B"/>
    <w:rsid w:val="0025632D"/>
    <w:rsid w:val="002F36BA"/>
    <w:rsid w:val="003059E0"/>
    <w:rsid w:val="00336AFA"/>
    <w:rsid w:val="003C0A5C"/>
    <w:rsid w:val="00437FE7"/>
    <w:rsid w:val="004A54AA"/>
    <w:rsid w:val="004C0827"/>
    <w:rsid w:val="00523A3A"/>
    <w:rsid w:val="0065176D"/>
    <w:rsid w:val="00660389"/>
    <w:rsid w:val="0068194A"/>
    <w:rsid w:val="00692AEE"/>
    <w:rsid w:val="007B4337"/>
    <w:rsid w:val="007C7867"/>
    <w:rsid w:val="007D6A12"/>
    <w:rsid w:val="0081323A"/>
    <w:rsid w:val="00832A82"/>
    <w:rsid w:val="00832CE5"/>
    <w:rsid w:val="00944233"/>
    <w:rsid w:val="00961F07"/>
    <w:rsid w:val="009735EC"/>
    <w:rsid w:val="00993960"/>
    <w:rsid w:val="009A45F5"/>
    <w:rsid w:val="009B5858"/>
    <w:rsid w:val="00A505F1"/>
    <w:rsid w:val="00A6203D"/>
    <w:rsid w:val="00A90D8D"/>
    <w:rsid w:val="00B03564"/>
    <w:rsid w:val="00B40732"/>
    <w:rsid w:val="00B45ED6"/>
    <w:rsid w:val="00B556C8"/>
    <w:rsid w:val="00B80935"/>
    <w:rsid w:val="00BD57BD"/>
    <w:rsid w:val="00C463C3"/>
    <w:rsid w:val="00D24536"/>
    <w:rsid w:val="00D33460"/>
    <w:rsid w:val="00D347CC"/>
    <w:rsid w:val="00D409D5"/>
    <w:rsid w:val="00D464DE"/>
    <w:rsid w:val="00DA729A"/>
    <w:rsid w:val="00DC72B4"/>
    <w:rsid w:val="00E72308"/>
    <w:rsid w:val="00E91492"/>
    <w:rsid w:val="00F231BC"/>
    <w:rsid w:val="00FA5065"/>
    <w:rsid w:val="00FC2E3B"/>
    <w:rsid w:val="00FE7AFD"/>
    <w:rsid w:val="042F4B49"/>
    <w:rsid w:val="071A324D"/>
    <w:rsid w:val="08BB636A"/>
    <w:rsid w:val="0A8824D8"/>
    <w:rsid w:val="0CEC1180"/>
    <w:rsid w:val="0DF25C50"/>
    <w:rsid w:val="12BC340B"/>
    <w:rsid w:val="12D60970"/>
    <w:rsid w:val="13497F22"/>
    <w:rsid w:val="1356385F"/>
    <w:rsid w:val="16F72C63"/>
    <w:rsid w:val="17CF4F4A"/>
    <w:rsid w:val="196D10C1"/>
    <w:rsid w:val="1A8B4C12"/>
    <w:rsid w:val="1C874A89"/>
    <w:rsid w:val="1D9C6312"/>
    <w:rsid w:val="1F7C0B8B"/>
    <w:rsid w:val="214747E7"/>
    <w:rsid w:val="24885842"/>
    <w:rsid w:val="250C0222"/>
    <w:rsid w:val="29312005"/>
    <w:rsid w:val="2A9C5BA4"/>
    <w:rsid w:val="37996E69"/>
    <w:rsid w:val="3BD75940"/>
    <w:rsid w:val="42C121F4"/>
    <w:rsid w:val="44955623"/>
    <w:rsid w:val="4E094F9E"/>
    <w:rsid w:val="4E2E44B5"/>
    <w:rsid w:val="518965D2"/>
    <w:rsid w:val="526F57C8"/>
    <w:rsid w:val="539348D7"/>
    <w:rsid w:val="585D6A91"/>
    <w:rsid w:val="5A6B0244"/>
    <w:rsid w:val="5BDB7A2A"/>
    <w:rsid w:val="632E3567"/>
    <w:rsid w:val="637B0363"/>
    <w:rsid w:val="63D74F7B"/>
    <w:rsid w:val="64474731"/>
    <w:rsid w:val="64714802"/>
    <w:rsid w:val="64A31301"/>
    <w:rsid w:val="65B01F28"/>
    <w:rsid w:val="6B170353"/>
    <w:rsid w:val="6BE066CF"/>
    <w:rsid w:val="70645DE9"/>
    <w:rsid w:val="73693C55"/>
    <w:rsid w:val="7C275A5D"/>
    <w:rsid w:val="7D6A77DF"/>
    <w:rsid w:val="7E156974"/>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1134</Words>
  <Characters>6469</Characters>
  <Lines>53</Lines>
  <Paragraphs>15</Paragraphs>
  <TotalTime>252</TotalTime>
  <ScaleCrop>false</ScaleCrop>
  <LinksUpToDate>false</LinksUpToDate>
  <CharactersWithSpaces>7588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2024-07-18T02:40:23Z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0BB46C18FEC94D32AA67BC763E80703B</vt:lpwstr>
  </property>
</Properties>
</file>