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廊坊市第二小学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612A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6B612A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