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79" w:lineRule="exact"/>
        <w:ind w:firstLine="880" w:firstLineChars="200"/>
        <w:jc w:val="center"/>
        <w:rPr>
          <w:rFonts w:ascii="方正小标宋简体" w:hAnsi="Times New Roman" w:eastAsia="方正小标宋简体" w:cs="Times New Roman"/>
          <w:sz w:val="44"/>
          <w:szCs w:val="44"/>
        </w:rPr>
      </w:pPr>
      <w:r>
        <w:rPr>
          <w:rFonts w:hint="eastAsia" w:ascii="方正小标宋简体" w:hAnsi="黑体" w:eastAsia="方正小标宋简体" w:cs="黑体"/>
          <w:sz w:val="44"/>
          <w:szCs w:val="44"/>
        </w:rPr>
        <w:t>廊坊市广阳区</w:t>
      </w:r>
      <w:bookmarkStart w:id="3" w:name="_GoBack"/>
      <w:r>
        <w:rPr>
          <w:rFonts w:hint="eastAsia" w:ascii="方正小标宋简体" w:hAnsi="黑体" w:eastAsia="方正小标宋简体" w:cs="黑体"/>
          <w:sz w:val="44"/>
          <w:szCs w:val="44"/>
        </w:rPr>
        <w:t>第六幼儿园2022年部门预算信息公开情况说明</w:t>
      </w:r>
      <w:bookmarkEnd w:id="3"/>
    </w:p>
    <w:p>
      <w:pPr>
        <w:spacing w:line="579" w:lineRule="exact"/>
        <w:ind w:firstLine="880" w:firstLineChars="200"/>
        <w:jc w:val="center"/>
        <w:rPr>
          <w:rFonts w:ascii="Times New Roman" w:hAnsi="Times New Roman" w:eastAsia="仿宋_GB2312" w:cs="Times New Roman"/>
          <w:sz w:val="44"/>
          <w:szCs w:val="44"/>
        </w:rPr>
      </w:pP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广阳区第六幼儿园2</w:t>
      </w:r>
      <w:r>
        <w:rPr>
          <w:rFonts w:ascii="Times New Roman" w:hAnsi="Times New Roman" w:eastAsia="仿宋_GB2312" w:cs="Times New Roman"/>
          <w:sz w:val="32"/>
          <w:szCs w:val="32"/>
        </w:rPr>
        <w:t>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79"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79"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autoSpaceDE w:val="0"/>
        <w:autoSpaceDN w:val="0"/>
        <w:adjustRightInd w:val="0"/>
        <w:spacing w:line="579" w:lineRule="exact"/>
        <w:ind w:firstLine="627" w:firstLineChars="196"/>
        <w:jc w:val="left"/>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廊坊市广阳区第六幼儿园成立于2020年5月，现有教职工66人。幼儿园的主要职责是贯彻国家教育方针，依法开办幼儿教育任务；坚持社会主义办园方向，实施素质教育，促进幼儿五大领域的健康发展；培养幼儿创新精神以及实践能力；维护幼儿的合法权益。</w:t>
      </w:r>
    </w:p>
    <w:p>
      <w:pPr>
        <w:autoSpaceDE w:val="0"/>
        <w:autoSpaceDN w:val="0"/>
        <w:adjustRightInd w:val="0"/>
        <w:spacing w:line="579"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79"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79"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79"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79"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79"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pPr>
              <w:spacing w:line="579" w:lineRule="exact"/>
            </w:pPr>
          </w:p>
        </w:tc>
        <w:tc>
          <w:tcPr>
            <w:tcW w:w="1134" w:type="dxa"/>
            <w:vMerge w:val="continue"/>
            <w:shd w:val="clear" w:color="auto" w:fill="auto"/>
            <w:vAlign w:val="center"/>
          </w:tcPr>
          <w:p>
            <w:pPr>
              <w:spacing w:line="579" w:lineRule="exact"/>
            </w:pPr>
          </w:p>
        </w:tc>
        <w:tc>
          <w:tcPr>
            <w:tcW w:w="1276" w:type="dxa"/>
            <w:vMerge w:val="continue"/>
            <w:shd w:val="clear" w:color="auto" w:fill="auto"/>
            <w:vAlign w:val="center"/>
          </w:tcPr>
          <w:p>
            <w:pPr>
              <w:spacing w:line="579" w:lineRule="exact"/>
            </w:pPr>
          </w:p>
        </w:tc>
        <w:tc>
          <w:tcPr>
            <w:tcW w:w="2902" w:type="dxa"/>
            <w:vMerge w:val="continue"/>
            <w:shd w:val="clear" w:color="auto" w:fill="auto"/>
            <w:vAlign w:val="center"/>
          </w:tcPr>
          <w:p>
            <w:pPr>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shd w:val="clear" w:color="auto" w:fill="auto"/>
            <w:vAlign w:val="center"/>
          </w:tcPr>
          <w:p>
            <w:pPr>
              <w:spacing w:line="579" w:lineRule="exact"/>
            </w:pPr>
            <w:r>
              <w:rPr>
                <w:rFonts w:hint="eastAsia"/>
              </w:rPr>
              <w:t>廊坊市广阳区第六幼儿园</w:t>
            </w:r>
          </w:p>
        </w:tc>
        <w:tc>
          <w:tcPr>
            <w:tcW w:w="1134" w:type="dxa"/>
            <w:shd w:val="clear" w:color="auto" w:fill="auto"/>
            <w:vAlign w:val="center"/>
          </w:tcPr>
          <w:p>
            <w:pPr>
              <w:spacing w:line="579" w:lineRule="exact"/>
            </w:pPr>
            <w:r>
              <w:rPr>
                <w:rFonts w:hint="eastAsia"/>
              </w:rPr>
              <w:t>事业单位</w:t>
            </w:r>
          </w:p>
        </w:tc>
        <w:tc>
          <w:tcPr>
            <w:tcW w:w="1276" w:type="dxa"/>
            <w:shd w:val="clear" w:color="auto" w:fill="auto"/>
            <w:vAlign w:val="center"/>
          </w:tcPr>
          <w:p>
            <w:pPr>
              <w:spacing w:line="579" w:lineRule="exact"/>
            </w:pPr>
            <w:r>
              <w:rPr>
                <w:rFonts w:hint="eastAsia"/>
              </w:rPr>
              <w:t>科级以下</w:t>
            </w:r>
          </w:p>
        </w:tc>
        <w:tc>
          <w:tcPr>
            <w:tcW w:w="2902" w:type="dxa"/>
            <w:shd w:val="clear" w:color="auto" w:fill="auto"/>
            <w:vAlign w:val="center"/>
          </w:tcPr>
          <w:p>
            <w:pPr>
              <w:spacing w:line="579" w:lineRule="exact"/>
            </w:pPr>
            <w:r>
              <w:rPr>
                <w:rFonts w:hint="eastAsia"/>
              </w:rPr>
              <w:t>财政性资金基本保证</w:t>
            </w:r>
          </w:p>
        </w:tc>
      </w:tr>
    </w:tbl>
    <w:p>
      <w:pPr>
        <w:spacing w:line="579"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部门预算的编制实行综合预算制度，即全部收入和支出都反映在预算中。廊坊市</w:t>
      </w:r>
      <w:r>
        <w:rPr>
          <w:rFonts w:hint="eastAsia" w:ascii="Times New Roman" w:hAnsi="Times New Roman" w:eastAsia="仿宋_GB2312" w:cs="Times New Roman"/>
          <w:sz w:val="32"/>
          <w:szCs w:val="32"/>
        </w:rPr>
        <w:t>广阳区第六幼儿园</w:t>
      </w:r>
      <w:r>
        <w:rPr>
          <w:rFonts w:ascii="Times New Roman" w:hAnsi="Times New Roman" w:eastAsia="仿宋_GB2312" w:cs="Times New Roman"/>
          <w:sz w:val="32"/>
          <w:szCs w:val="32"/>
        </w:rPr>
        <w:t>的收支包含在部门预算中。</w:t>
      </w:r>
    </w:p>
    <w:p>
      <w:pPr>
        <w:spacing w:line="579"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79"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691.45</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691.45</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79"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79"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广阳区第六幼儿园2022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691.45</w:t>
      </w:r>
      <w:r>
        <w:rPr>
          <w:rFonts w:ascii="Times New Roman" w:hAnsi="Times New Roman" w:eastAsia="仿宋_GB2312" w:cs="Times New Roman"/>
          <w:sz w:val="32"/>
          <w:szCs w:val="32"/>
        </w:rPr>
        <w:t>万元，其中项目支出</w:t>
      </w:r>
      <w:r>
        <w:rPr>
          <w:rFonts w:hint="eastAsia" w:ascii="Times New Roman" w:hAnsi="Times New Roman" w:eastAsia="仿宋_GB2312" w:cs="Times New Roman"/>
          <w:sz w:val="32"/>
          <w:szCs w:val="32"/>
        </w:rPr>
        <w:t>691.45</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合同制教师人员经费支出。</w:t>
      </w:r>
    </w:p>
    <w:p>
      <w:pPr>
        <w:spacing w:line="579"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79"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691.45</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1年预算增加</w:t>
      </w:r>
      <w:r>
        <w:rPr>
          <w:rFonts w:hint="eastAsia" w:ascii="Times New Roman" w:hAnsi="Times New Roman" w:eastAsia="仿宋_GB2312" w:cs="Times New Roman"/>
          <w:sz w:val="32"/>
          <w:szCs w:val="32"/>
        </w:rPr>
        <w:t>691.45</w:t>
      </w:r>
      <w:r>
        <w:rPr>
          <w:rFonts w:ascii="Times New Roman" w:hAnsi="Times New Roman" w:eastAsia="仿宋_GB2312" w:cs="Times New Roman"/>
          <w:sz w:val="32"/>
          <w:szCs w:val="32"/>
        </w:rPr>
        <w:t>万元，其中：基本支出增加</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万元；项目支出增加</w:t>
      </w:r>
      <w:r>
        <w:rPr>
          <w:rFonts w:hint="eastAsia" w:ascii="Times New Roman" w:hAnsi="Times New Roman" w:eastAsia="仿宋_GB2312" w:cs="Times New Roman"/>
          <w:sz w:val="32"/>
          <w:szCs w:val="32"/>
        </w:rPr>
        <w:t>691.45</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合同制教师人员经费</w:t>
      </w:r>
      <w:r>
        <w:rPr>
          <w:rFonts w:ascii="Times New Roman" w:hAnsi="Times New Roman" w:eastAsia="仿宋_GB2312" w:cs="Times New Roman"/>
          <w:sz w:val="32"/>
          <w:szCs w:val="32"/>
        </w:rPr>
        <w:t>项目支出。</w:t>
      </w:r>
    </w:p>
    <w:p>
      <w:pPr>
        <w:autoSpaceDE w:val="0"/>
        <w:autoSpaceDN w:val="0"/>
        <w:adjustRightInd w:val="0"/>
        <w:spacing w:line="579"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79"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p>
    <w:p>
      <w:pPr>
        <w:autoSpaceDE w:val="0"/>
        <w:autoSpaceDN w:val="0"/>
        <w:adjustRightInd w:val="0"/>
        <w:spacing w:line="579" w:lineRule="exact"/>
        <w:ind w:firstLine="630" w:firstLineChars="196"/>
        <w:jc w:val="left"/>
        <w:rPr>
          <w:rFonts w:ascii="Times New Roman" w:hAnsi="Times New Roman" w:eastAsia="仿宋_GB2312" w:cs="Times New Roman"/>
          <w:b/>
          <w:sz w:val="32"/>
          <w:szCs w:val="32"/>
        </w:rPr>
      </w:pPr>
      <w:r>
        <w:rPr>
          <w:rFonts w:ascii="Times New Roman" w:hAnsi="Times New Roman" w:eastAsia="仿宋_GB2312" w:cs="Times New Roman"/>
          <w:b/>
          <w:sz w:val="32"/>
          <w:szCs w:val="32"/>
        </w:rPr>
        <w:t>四、财政拨款“三公”经费预算情况及增减变化原因</w:t>
      </w:r>
    </w:p>
    <w:p>
      <w:pPr>
        <w:autoSpaceDE w:val="0"/>
        <w:autoSpaceDN w:val="0"/>
        <w:adjustRightInd w:val="0"/>
        <w:spacing w:line="579"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1年相比持平，无增减变化</w:t>
      </w:r>
      <w:r>
        <w:rPr>
          <w:rFonts w:hint="eastAsia" w:ascii="Times New Roman" w:hAnsi="Times New Roman" w:eastAsia="仿宋_GB2312" w:cs="Times New Roman"/>
          <w:sz w:val="32"/>
          <w:szCs w:val="32"/>
        </w:rPr>
        <w:t>）</w:t>
      </w:r>
    </w:p>
    <w:p>
      <w:pPr>
        <w:spacing w:line="579"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79"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79"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19"/>
        <w:spacing w:line="579" w:lineRule="exact"/>
        <w:rPr>
          <w:rFonts w:ascii="仿宋_GB2312" w:eastAsia="仿宋_GB2312"/>
          <w:sz w:val="32"/>
          <w:szCs w:val="32"/>
        </w:rPr>
      </w:pPr>
      <w:r>
        <w:rPr>
          <w:rFonts w:hint="eastAsia" w:ascii="仿宋_GB2312" w:eastAsia="仿宋_GB2312"/>
          <w:sz w:val="32"/>
          <w:szCs w:val="32"/>
        </w:rPr>
        <w:t>提高学前教育公用经费保障水平，继续完善教育基础设施，推进学校建设加快提升装备水平，改善办学条件，打造一流教师队伍，补充师资力量，提高专业素质，完善考核机制；优化教育教学管理；提高素质教育水平，开展丰富多彩的教学活动，促进社会文化素质提高。全面加强党的建设，进一步螺丝是从严管党治党要求，以习近平新时代中国特色社会主义思想统领教育系统党建工作，强化主体责任，在提升党建工作质量上下真功、用实劲、求实效。</w:t>
      </w:r>
    </w:p>
    <w:p>
      <w:pPr>
        <w:spacing w:line="579"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pStyle w:val="20"/>
        <w:spacing w:line="579" w:lineRule="exact"/>
        <w:rPr>
          <w:rFonts w:ascii="仿宋_GB2312" w:eastAsia="仿宋_GB2312"/>
          <w:sz w:val="32"/>
          <w:szCs w:val="32"/>
        </w:rPr>
      </w:pPr>
      <w:r>
        <w:rPr>
          <w:rFonts w:hint="eastAsia" w:ascii="仿宋_GB2312" w:eastAsia="仿宋_GB2312"/>
          <w:sz w:val="32"/>
          <w:szCs w:val="32"/>
        </w:rPr>
        <w:t>提高学前教育公用经费保障水平，改善办学条件，均衡配置基础教育资源，推进标准化学校建设，实施数字化校园建设，加强学校文化建设，落实学生资助政策，促进学前教育均衡发展，提高素质教育水平，开展丰富多彩的教学活动，促进社会文化素质提高。</w:t>
      </w:r>
    </w:p>
    <w:p>
      <w:pPr>
        <w:pStyle w:val="20"/>
        <w:spacing w:line="579" w:lineRule="exact"/>
        <w:rPr>
          <w:rFonts w:ascii="仿宋_GB2312" w:eastAsia="仿宋_GB2312"/>
          <w:sz w:val="32"/>
          <w:szCs w:val="32"/>
        </w:rPr>
      </w:pPr>
      <w:r>
        <w:rPr>
          <w:rFonts w:hint="eastAsia" w:ascii="仿宋_GB2312" w:eastAsia="仿宋_GB2312"/>
          <w:sz w:val="32"/>
          <w:szCs w:val="32"/>
        </w:rPr>
        <w:t>1、提高学前教育水平、提供免费教科书，解决大班额问题及入学难问题</w:t>
      </w:r>
    </w:p>
    <w:p>
      <w:pPr>
        <w:pStyle w:val="20"/>
        <w:spacing w:line="579" w:lineRule="exact"/>
        <w:rPr>
          <w:rFonts w:ascii="仿宋_GB2312" w:eastAsia="仿宋_GB2312"/>
          <w:sz w:val="32"/>
          <w:szCs w:val="32"/>
        </w:rPr>
      </w:pPr>
      <w:r>
        <w:rPr>
          <w:rFonts w:hint="eastAsia" w:ascii="仿宋_GB2312" w:eastAsia="仿宋_GB2312"/>
          <w:sz w:val="32"/>
          <w:szCs w:val="32"/>
        </w:rPr>
        <w:t>2、按质按量完成教育教学方面的各项任务，稳步替身而过学校的教育教学质量，学生综合素质评价优秀率达到85%，合格率达到100%。</w:t>
      </w:r>
    </w:p>
    <w:p>
      <w:pPr>
        <w:pStyle w:val="20"/>
        <w:spacing w:line="579" w:lineRule="exact"/>
        <w:rPr>
          <w:rFonts w:ascii="仿宋_GB2312" w:eastAsia="仿宋_GB2312"/>
          <w:sz w:val="32"/>
          <w:szCs w:val="32"/>
        </w:rPr>
      </w:pPr>
      <w:r>
        <w:rPr>
          <w:rFonts w:hint="eastAsia" w:ascii="仿宋_GB2312" w:eastAsia="仿宋_GB2312"/>
          <w:sz w:val="32"/>
          <w:szCs w:val="32"/>
        </w:rPr>
        <w:t>3、幼儿园公用经费水平逐年提高，改善学校办学条件，保障学前教育阶段学校基本教学条件，使学前教育学校教学设施和生活设施满足基本的教学需要。保障后勤社会化服务，资金充足，使学校能正常运转，超大班额现象消除，教师数量、素质、结构基本适应教学需求。</w:t>
      </w:r>
    </w:p>
    <w:p>
      <w:pPr>
        <w:pStyle w:val="20"/>
        <w:spacing w:line="579" w:lineRule="exact"/>
        <w:rPr>
          <w:rFonts w:ascii="仿宋_GB2312" w:eastAsia="仿宋_GB2312"/>
          <w:sz w:val="32"/>
          <w:szCs w:val="32"/>
        </w:rPr>
      </w:pPr>
      <w:r>
        <w:rPr>
          <w:rFonts w:hint="eastAsia" w:ascii="仿宋_GB2312" w:eastAsia="仿宋_GB2312"/>
          <w:sz w:val="32"/>
          <w:szCs w:val="32"/>
        </w:rPr>
        <w:t>4、提升学校基础设施设备的整体水平，加强学校基础设备设施的维护，确保校园安全，落实校园防火及其他安全隐患的预防工作。确保校园各设施设备的正常运行。</w:t>
      </w:r>
    </w:p>
    <w:p>
      <w:pPr>
        <w:pStyle w:val="20"/>
        <w:spacing w:line="579" w:lineRule="exact"/>
        <w:rPr>
          <w:rFonts w:ascii="仿宋_GB2312" w:eastAsia="仿宋_GB2312"/>
          <w:sz w:val="32"/>
          <w:szCs w:val="32"/>
        </w:rPr>
      </w:pPr>
      <w:r>
        <w:rPr>
          <w:rFonts w:hint="eastAsia" w:ascii="仿宋_GB2312" w:eastAsia="仿宋_GB2312"/>
          <w:sz w:val="32"/>
          <w:szCs w:val="32"/>
        </w:rPr>
        <w:t>5、开展各类课题研究，园本研究，加强教师培训和教师交流，提高教师教学水平，调动教师积极性，培养专家型教师人才，加强德育培训与研究，举办各类教育教学、学生社会实践活动，建立学生实践教育基地活动，提高学生的综合素质。</w:t>
      </w:r>
    </w:p>
    <w:p>
      <w:pPr>
        <w:pStyle w:val="20"/>
        <w:spacing w:line="579" w:lineRule="exact"/>
        <w:rPr>
          <w:rFonts w:ascii="仿宋_GB2312" w:eastAsia="仿宋_GB2312"/>
          <w:sz w:val="32"/>
          <w:szCs w:val="32"/>
        </w:rPr>
      </w:pPr>
      <w:r>
        <w:rPr>
          <w:rFonts w:hint="eastAsia" w:ascii="仿宋_GB2312" w:eastAsia="仿宋_GB2312"/>
          <w:sz w:val="32"/>
          <w:szCs w:val="32"/>
        </w:rPr>
        <w:t>6、学校的文化宣传整体布局建成学校校史馆，完成各班级、各科室及教师办公室的文化宣传布置，加大幼儿园办学理念、目标的宣传，形成具有特色的校园文化氛围。</w:t>
      </w:r>
    </w:p>
    <w:p>
      <w:pPr>
        <w:pStyle w:val="20"/>
        <w:spacing w:line="579" w:lineRule="exact"/>
        <w:rPr>
          <w:rFonts w:eastAsia="仿宋_GB2312"/>
          <w:sz w:val="32"/>
          <w:szCs w:val="32"/>
        </w:rPr>
      </w:pPr>
      <w:r>
        <w:rPr>
          <w:rFonts w:hint="eastAsia" w:ascii="仿宋_GB2312" w:eastAsia="仿宋_GB2312"/>
          <w:sz w:val="32"/>
          <w:szCs w:val="32"/>
        </w:rPr>
        <w:t>7、办人民满意的幼儿园，教师、幼儿、家长整体满意度达到90%以上</w:t>
      </w:r>
      <w:r>
        <w:rPr>
          <w:rFonts w:eastAsia="仿宋_GB2312"/>
          <w:sz w:val="32"/>
          <w:szCs w:val="32"/>
        </w:rPr>
        <w:t>。</w:t>
      </w:r>
    </w:p>
    <w:p>
      <w:pPr>
        <w:spacing w:line="579"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pStyle w:val="21"/>
        <w:spacing w:line="579" w:lineRule="exact"/>
        <w:rPr>
          <w:rFonts w:ascii="仿宋_GB2312" w:eastAsia="仿宋_GB2312"/>
          <w:sz w:val="32"/>
          <w:szCs w:val="32"/>
        </w:rPr>
      </w:pPr>
      <w:r>
        <w:rPr>
          <w:rFonts w:hint="eastAsia" w:ascii="仿宋_GB2312" w:eastAsia="仿宋_GB2312"/>
          <w:sz w:val="32"/>
          <w:szCs w:val="32"/>
        </w:rPr>
        <w:t>1、成立幼儿园监督小组，监督幼儿园工作，强化工作落实。</w:t>
      </w:r>
    </w:p>
    <w:p>
      <w:pPr>
        <w:pStyle w:val="21"/>
        <w:spacing w:line="579" w:lineRule="exact"/>
        <w:rPr>
          <w:rFonts w:ascii="仿宋_GB2312" w:eastAsia="仿宋_GB2312"/>
          <w:sz w:val="32"/>
          <w:szCs w:val="32"/>
        </w:rPr>
      </w:pPr>
      <w:r>
        <w:rPr>
          <w:rFonts w:hint="eastAsia" w:ascii="仿宋_GB2312" w:eastAsia="仿宋_GB2312"/>
          <w:sz w:val="32"/>
          <w:szCs w:val="32"/>
        </w:rPr>
        <w:t>2、做好工会工作，贯彻落实中央和省、市、区位关于重大节日开展对离退休干部进行走访慰问的指示精神，做好困难党员、群众、老教师、优抚对象、劳动模范的关心帮扶工作，充分体现党和政府对教育工作者的关怀。</w:t>
      </w:r>
    </w:p>
    <w:p>
      <w:pPr>
        <w:pStyle w:val="21"/>
        <w:spacing w:line="579" w:lineRule="exact"/>
        <w:rPr>
          <w:rFonts w:ascii="仿宋_GB2312" w:eastAsia="仿宋_GB2312"/>
          <w:sz w:val="32"/>
          <w:szCs w:val="32"/>
        </w:rPr>
      </w:pPr>
      <w:r>
        <w:rPr>
          <w:rFonts w:hint="eastAsia" w:ascii="仿宋_GB2312" w:eastAsia="仿宋_GB2312"/>
          <w:sz w:val="32"/>
          <w:szCs w:val="32"/>
        </w:rPr>
        <w:t>3、树立为教育教学提供优质服务的意识，基本实现规范化、标准化，为教育教学提供全方位的后勤保障，完善各项管理制度，强化人员思想教育和技能培训，实现服务的精细化，做好三重一大工作，大额资金项目进行公开招投标，定期进行项目巡查、召开工作会，完善监督职责。</w:t>
      </w:r>
    </w:p>
    <w:p>
      <w:pPr>
        <w:pStyle w:val="21"/>
        <w:spacing w:line="579" w:lineRule="exact"/>
        <w:rPr>
          <w:rFonts w:ascii="仿宋_GB2312" w:eastAsia="仿宋_GB2312"/>
          <w:sz w:val="32"/>
          <w:szCs w:val="32"/>
        </w:rPr>
      </w:pPr>
      <w:r>
        <w:rPr>
          <w:rFonts w:hint="eastAsia" w:ascii="仿宋_GB2312" w:eastAsia="仿宋_GB2312"/>
          <w:sz w:val="32"/>
          <w:szCs w:val="32"/>
        </w:rPr>
        <w:t>4、幼儿园体育、卫生工作根据《幼儿园健康体检管理办法》要求，对在校幼儿每年进行一次常规体检。</w:t>
      </w:r>
    </w:p>
    <w:p>
      <w:pPr>
        <w:pStyle w:val="21"/>
        <w:spacing w:line="579" w:lineRule="exact"/>
        <w:rPr>
          <w:rFonts w:ascii="仿宋_GB2312" w:eastAsia="仿宋_GB2312"/>
          <w:sz w:val="32"/>
          <w:szCs w:val="32"/>
        </w:rPr>
      </w:pPr>
      <w:r>
        <w:rPr>
          <w:rFonts w:hint="eastAsia" w:ascii="仿宋_GB2312" w:eastAsia="仿宋_GB2312"/>
          <w:sz w:val="32"/>
          <w:szCs w:val="32"/>
        </w:rPr>
        <w:t>5、完善拓展德育队伍建设，树立全员育人观念，并取得一定成绩，形成幼儿园、家庭、社会三位一体的教育格局，完善强化德育评比体制，如班主任绩效考核，做好各级各类优秀集体和个人的评选工作，完善心理咨询室的建设，寓心理健康教育于教育教学工作中，开展好理论学习和个案分析。</w:t>
      </w:r>
    </w:p>
    <w:p>
      <w:pPr>
        <w:pStyle w:val="21"/>
        <w:spacing w:line="579" w:lineRule="exact"/>
        <w:rPr>
          <w:rFonts w:ascii="仿宋_GB2312" w:eastAsia="仿宋_GB2312"/>
          <w:sz w:val="32"/>
          <w:szCs w:val="32"/>
        </w:rPr>
      </w:pPr>
      <w:r>
        <w:rPr>
          <w:rFonts w:hint="eastAsia" w:ascii="仿宋_GB2312" w:eastAsia="仿宋_GB2312"/>
          <w:sz w:val="32"/>
          <w:szCs w:val="32"/>
        </w:rPr>
        <w:t>加强政治理论学习，强化党风廉政建设，做好师德传承活动，落实老中青传帮带，弘扬办学精神，加强师德宣传与学习活动，开展形式多样、扎实有效的师德教育活动，逐步制定、完善相关制度，规范教师师德、加强园本培训和继续教育工作。提升教师能力，落实教师评价工作，完善考核机制，搭建教师发展平台。</w:t>
      </w:r>
    </w:p>
    <w:p>
      <w:pPr>
        <w:overflowPunct w:val="0"/>
        <w:adjustRightInd w:val="0"/>
        <w:snapToGrid w:val="0"/>
        <w:spacing w:afterLines="50" w:line="579"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79"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79"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79" w:lineRule="exact"/>
        <w:ind w:firstLine="630" w:firstLineChars="196"/>
        <w:jc w:val="left"/>
        <w:rPr>
          <w:rFonts w:hint="eastAsia" w:ascii="楷体_GB2312" w:eastAsia="楷体_GB2312" w:cs="Times New Roman"/>
          <w:b/>
          <w:sz w:val="32"/>
          <w:szCs w:val="32"/>
        </w:rPr>
      </w:pPr>
    </w:p>
    <w:p>
      <w:pPr>
        <w:overflowPunct w:val="0"/>
        <w:adjustRightInd w:val="0"/>
        <w:snapToGrid w:val="0"/>
        <w:spacing w:afterLines="50" w:line="579" w:lineRule="exact"/>
        <w:ind w:firstLine="630" w:firstLineChars="196"/>
        <w:jc w:val="left"/>
        <w:rPr>
          <w:rFonts w:ascii="仿宋_GB2312" w:eastAsia="仿宋_GB2312" w:cs="Times New Roman"/>
          <w:sz w:val="32"/>
          <w:szCs w:val="32"/>
        </w:rPr>
      </w:pPr>
      <w:r>
        <w:rPr>
          <w:rFonts w:hint="eastAsia" w:ascii="楷体_GB2312" w:eastAsia="楷体_GB2312" w:cs="Times New Roman"/>
          <w:b/>
          <w:sz w:val="32"/>
          <w:szCs w:val="32"/>
        </w:rPr>
        <w:t>（四）部门整体支出绩效指标</w:t>
      </w:r>
    </w:p>
    <w:tbl>
      <w:tblPr>
        <w:tblStyle w:val="8"/>
        <w:tblW w:w="13745" w:type="dxa"/>
        <w:tblInd w:w="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238"/>
        <w:gridCol w:w="1918"/>
        <w:gridCol w:w="2259"/>
        <w:gridCol w:w="3816"/>
        <w:gridCol w:w="670"/>
        <w:gridCol w:w="587"/>
        <w:gridCol w:w="1577"/>
        <w:gridCol w:w="8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83" w:type="dxa"/>
            <w:vMerge w:val="restart"/>
            <w:tcBorders>
              <w:tl2br w:val="nil"/>
              <w:tr2bl w:val="nil"/>
            </w:tcBorders>
            <w:shd w:val="clear" w:color="auto" w:fill="auto"/>
            <w:vAlign w:val="center"/>
          </w:tcPr>
          <w:p>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rPr>
              <w:t>一级指标</w:t>
            </w:r>
          </w:p>
        </w:tc>
        <w:tc>
          <w:tcPr>
            <w:tcW w:w="1238" w:type="dxa"/>
            <w:vMerge w:val="restart"/>
            <w:tcBorders>
              <w:tl2br w:val="nil"/>
              <w:tr2bl w:val="nil"/>
            </w:tcBorders>
            <w:shd w:val="clear" w:color="auto" w:fill="auto"/>
            <w:vAlign w:val="center"/>
          </w:tcPr>
          <w:p>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rPr>
              <w:t>二级指标</w:t>
            </w:r>
          </w:p>
        </w:tc>
        <w:tc>
          <w:tcPr>
            <w:tcW w:w="1918" w:type="dxa"/>
            <w:vMerge w:val="restart"/>
            <w:tcBorders>
              <w:tl2br w:val="nil"/>
              <w:tr2bl w:val="nil"/>
            </w:tcBorders>
            <w:shd w:val="clear" w:color="auto" w:fill="auto"/>
            <w:vAlign w:val="center"/>
          </w:tcPr>
          <w:p>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rPr>
              <w:t>三级指标</w:t>
            </w:r>
          </w:p>
        </w:tc>
        <w:tc>
          <w:tcPr>
            <w:tcW w:w="2259" w:type="dxa"/>
            <w:vMerge w:val="restart"/>
            <w:tcBorders>
              <w:tl2br w:val="nil"/>
              <w:tr2bl w:val="nil"/>
            </w:tcBorders>
            <w:shd w:val="clear" w:color="auto" w:fill="auto"/>
            <w:vAlign w:val="center"/>
          </w:tcPr>
          <w:p>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rPr>
              <w:t>绩效指标描述</w:t>
            </w:r>
          </w:p>
        </w:tc>
        <w:tc>
          <w:tcPr>
            <w:tcW w:w="3816" w:type="dxa"/>
            <w:vMerge w:val="restart"/>
            <w:tcBorders>
              <w:tl2br w:val="nil"/>
              <w:tr2bl w:val="nil"/>
            </w:tcBorders>
            <w:shd w:val="clear" w:color="auto" w:fill="auto"/>
            <w:vAlign w:val="center"/>
          </w:tcPr>
          <w:p>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rPr>
              <w:t>评（扣）分标准</w:t>
            </w:r>
          </w:p>
        </w:tc>
        <w:tc>
          <w:tcPr>
            <w:tcW w:w="2834" w:type="dxa"/>
            <w:gridSpan w:val="3"/>
            <w:tcBorders>
              <w:tl2br w:val="nil"/>
              <w:tr2bl w:val="nil"/>
            </w:tcBorders>
            <w:shd w:val="clear" w:color="auto" w:fill="auto"/>
            <w:vAlign w:val="center"/>
          </w:tcPr>
          <w:p>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rPr>
              <w:t>指标值</w:t>
            </w:r>
          </w:p>
        </w:tc>
        <w:tc>
          <w:tcPr>
            <w:tcW w:w="897" w:type="dxa"/>
            <w:vMerge w:val="restart"/>
            <w:tcBorders>
              <w:tl2br w:val="nil"/>
              <w:tr2bl w:val="nil"/>
            </w:tcBorders>
            <w:shd w:val="clear" w:color="auto" w:fill="auto"/>
            <w:vAlign w:val="center"/>
          </w:tcPr>
          <w:p>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rPr>
              <w:t>指标值确定依据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83" w:type="dxa"/>
            <w:vMerge w:val="continue"/>
            <w:tcBorders>
              <w:tl2br w:val="nil"/>
              <w:tr2bl w:val="nil"/>
            </w:tcBorders>
            <w:shd w:val="clear" w:color="auto" w:fill="auto"/>
            <w:vAlign w:val="center"/>
          </w:tcPr>
          <w:p>
            <w:pPr>
              <w:spacing w:line="240" w:lineRule="auto"/>
              <w:jc w:val="center"/>
              <w:rPr>
                <w:rFonts w:ascii="宋体" w:hAnsi="宋体" w:cs="宋体"/>
                <w:color w:val="000000"/>
                <w:sz w:val="22"/>
              </w:rPr>
            </w:pPr>
          </w:p>
        </w:tc>
        <w:tc>
          <w:tcPr>
            <w:tcW w:w="1238" w:type="dxa"/>
            <w:vMerge w:val="continue"/>
            <w:tcBorders>
              <w:tl2br w:val="nil"/>
              <w:tr2bl w:val="nil"/>
            </w:tcBorders>
            <w:shd w:val="clear" w:color="auto" w:fill="auto"/>
            <w:vAlign w:val="center"/>
          </w:tcPr>
          <w:p>
            <w:pPr>
              <w:spacing w:line="240" w:lineRule="auto"/>
              <w:jc w:val="center"/>
              <w:rPr>
                <w:rFonts w:ascii="宋体" w:hAnsi="宋体" w:cs="宋体"/>
                <w:color w:val="000000"/>
                <w:sz w:val="22"/>
              </w:rPr>
            </w:pPr>
          </w:p>
        </w:tc>
        <w:tc>
          <w:tcPr>
            <w:tcW w:w="1918" w:type="dxa"/>
            <w:vMerge w:val="continue"/>
            <w:tcBorders>
              <w:tl2br w:val="nil"/>
              <w:tr2bl w:val="nil"/>
            </w:tcBorders>
            <w:shd w:val="clear" w:color="auto" w:fill="auto"/>
            <w:vAlign w:val="center"/>
          </w:tcPr>
          <w:p>
            <w:pPr>
              <w:spacing w:line="240" w:lineRule="auto"/>
              <w:jc w:val="center"/>
              <w:rPr>
                <w:rFonts w:ascii="宋体" w:hAnsi="宋体" w:cs="宋体"/>
                <w:color w:val="000000"/>
                <w:sz w:val="22"/>
              </w:rPr>
            </w:pPr>
          </w:p>
        </w:tc>
        <w:tc>
          <w:tcPr>
            <w:tcW w:w="2259" w:type="dxa"/>
            <w:vMerge w:val="continue"/>
            <w:tcBorders>
              <w:tl2br w:val="nil"/>
              <w:tr2bl w:val="nil"/>
            </w:tcBorders>
            <w:shd w:val="clear" w:color="auto" w:fill="auto"/>
            <w:vAlign w:val="center"/>
          </w:tcPr>
          <w:p>
            <w:pPr>
              <w:spacing w:line="240" w:lineRule="auto"/>
              <w:jc w:val="center"/>
              <w:rPr>
                <w:rFonts w:ascii="宋体" w:hAnsi="宋体" w:cs="宋体"/>
                <w:color w:val="000000"/>
                <w:sz w:val="22"/>
              </w:rPr>
            </w:pPr>
          </w:p>
        </w:tc>
        <w:tc>
          <w:tcPr>
            <w:tcW w:w="3816" w:type="dxa"/>
            <w:vMerge w:val="continue"/>
            <w:tcBorders>
              <w:tl2br w:val="nil"/>
              <w:tr2bl w:val="nil"/>
            </w:tcBorders>
            <w:shd w:val="clear" w:color="auto" w:fill="auto"/>
            <w:vAlign w:val="center"/>
          </w:tcPr>
          <w:p>
            <w:pPr>
              <w:spacing w:line="240" w:lineRule="auto"/>
              <w:jc w:val="center"/>
              <w:rPr>
                <w:rFonts w:ascii="宋体" w:hAnsi="宋体" w:cs="宋体"/>
                <w:color w:val="000000"/>
                <w:sz w:val="22"/>
              </w:rPr>
            </w:pPr>
          </w:p>
        </w:tc>
        <w:tc>
          <w:tcPr>
            <w:tcW w:w="670" w:type="dxa"/>
            <w:tcBorders>
              <w:tl2br w:val="nil"/>
              <w:tr2bl w:val="nil"/>
            </w:tcBorders>
            <w:shd w:val="clear" w:color="auto" w:fill="auto"/>
            <w:vAlign w:val="center"/>
          </w:tcPr>
          <w:p>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rPr>
              <w:t>符号</w:t>
            </w:r>
          </w:p>
        </w:tc>
        <w:tc>
          <w:tcPr>
            <w:tcW w:w="587" w:type="dxa"/>
            <w:tcBorders>
              <w:tl2br w:val="nil"/>
              <w:tr2bl w:val="nil"/>
            </w:tcBorders>
            <w:shd w:val="clear" w:color="auto" w:fill="auto"/>
            <w:vAlign w:val="center"/>
          </w:tcPr>
          <w:p>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rPr>
              <w:t>值</w:t>
            </w:r>
          </w:p>
        </w:tc>
        <w:tc>
          <w:tcPr>
            <w:tcW w:w="1577" w:type="dxa"/>
            <w:tcBorders>
              <w:tl2br w:val="nil"/>
              <w:tr2bl w:val="nil"/>
            </w:tcBorders>
            <w:shd w:val="clear" w:color="auto" w:fill="auto"/>
            <w:vAlign w:val="center"/>
          </w:tcPr>
          <w:p>
            <w:pPr>
              <w:widowControl/>
              <w:spacing w:line="240" w:lineRule="auto"/>
              <w:jc w:val="center"/>
              <w:textAlignment w:val="center"/>
              <w:rPr>
                <w:rFonts w:ascii="宋体" w:hAnsi="宋体" w:cs="宋体"/>
                <w:color w:val="000000"/>
                <w:sz w:val="22"/>
              </w:rPr>
            </w:pPr>
            <w:r>
              <w:rPr>
                <w:rFonts w:hint="eastAsia" w:ascii="宋体" w:hAnsi="宋体" w:cs="宋体"/>
                <w:color w:val="000000"/>
                <w:kern w:val="0"/>
                <w:sz w:val="22"/>
              </w:rPr>
              <w:t>单位（文字描述）</w:t>
            </w:r>
          </w:p>
        </w:tc>
        <w:tc>
          <w:tcPr>
            <w:tcW w:w="897" w:type="dxa"/>
            <w:vMerge w:val="continue"/>
            <w:tcBorders>
              <w:tl2br w:val="nil"/>
              <w:tr2bl w:val="nil"/>
            </w:tcBorders>
            <w:shd w:val="clear" w:color="auto" w:fill="auto"/>
            <w:vAlign w:val="center"/>
          </w:tcPr>
          <w:p>
            <w:pPr>
              <w:spacing w:line="240" w:lineRule="auto"/>
              <w:jc w:val="center"/>
              <w:rPr>
                <w:rFonts w:ascii="宋体" w:hAnsi="宋体" w:cs="宋体"/>
                <w:color w:val="00000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83" w:type="dxa"/>
            <w:vMerge w:val="restart"/>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产出指标</w:t>
            </w:r>
          </w:p>
        </w:tc>
        <w:tc>
          <w:tcPr>
            <w:tcW w:w="1238" w:type="dxa"/>
            <w:tcBorders>
              <w:tl2br w:val="nil"/>
              <w:tr2bl w:val="nil"/>
            </w:tcBorders>
            <w:shd w:val="clear" w:color="auto" w:fill="auto"/>
            <w:noWrap/>
            <w:vAlign w:val="center"/>
          </w:tcPr>
          <w:p>
            <w:pPr>
              <w:widowControl/>
              <w:spacing w:line="240" w:lineRule="auto"/>
              <w:jc w:val="left"/>
              <w:textAlignment w:val="center"/>
              <w:rPr>
                <w:rFonts w:ascii="宋体" w:hAnsi="宋体" w:cs="宋体"/>
                <w:color w:val="000000"/>
                <w:sz w:val="22"/>
              </w:rPr>
            </w:pPr>
            <w:r>
              <w:rPr>
                <w:rFonts w:hint="eastAsia" w:ascii="宋体" w:hAnsi="宋体" w:cs="宋体"/>
                <w:color w:val="000000"/>
                <w:kern w:val="0"/>
                <w:sz w:val="22"/>
              </w:rPr>
              <w:t>数量指标</w:t>
            </w:r>
          </w:p>
        </w:tc>
        <w:tc>
          <w:tcPr>
            <w:tcW w:w="1918"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幼儿园毕业生生合格率</w:t>
            </w:r>
          </w:p>
        </w:tc>
        <w:tc>
          <w:tcPr>
            <w:tcW w:w="2259"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幼儿园毕业生合格率</w:t>
            </w:r>
          </w:p>
        </w:tc>
        <w:tc>
          <w:tcPr>
            <w:tcW w:w="3816"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20分毕业生合格率100%得满分，否则不得分</w:t>
            </w:r>
          </w:p>
        </w:tc>
        <w:tc>
          <w:tcPr>
            <w:tcW w:w="670"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w:t>
            </w:r>
          </w:p>
        </w:tc>
        <w:tc>
          <w:tcPr>
            <w:tcW w:w="587"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100</w:t>
            </w:r>
          </w:p>
        </w:tc>
        <w:tc>
          <w:tcPr>
            <w:tcW w:w="1577"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w:t>
            </w:r>
          </w:p>
        </w:tc>
        <w:tc>
          <w:tcPr>
            <w:tcW w:w="897"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岗位职责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83" w:type="dxa"/>
            <w:vMerge w:val="continue"/>
            <w:tcBorders>
              <w:tl2br w:val="nil"/>
              <w:tr2bl w:val="nil"/>
            </w:tcBorders>
            <w:shd w:val="clear" w:color="auto" w:fill="auto"/>
            <w:noWrap/>
          </w:tcPr>
          <w:p>
            <w:pPr>
              <w:spacing w:line="240" w:lineRule="auto"/>
              <w:jc w:val="left"/>
              <w:rPr>
                <w:rFonts w:cs="Calibri"/>
                <w:color w:val="000000"/>
                <w:sz w:val="22"/>
              </w:rPr>
            </w:pPr>
          </w:p>
        </w:tc>
        <w:tc>
          <w:tcPr>
            <w:tcW w:w="1238" w:type="dxa"/>
            <w:tcBorders>
              <w:tl2br w:val="nil"/>
              <w:tr2bl w:val="nil"/>
            </w:tcBorders>
            <w:shd w:val="clear" w:color="auto" w:fill="auto"/>
            <w:noWrap/>
            <w:vAlign w:val="center"/>
          </w:tcPr>
          <w:p>
            <w:pPr>
              <w:widowControl/>
              <w:spacing w:line="240" w:lineRule="auto"/>
              <w:jc w:val="left"/>
              <w:textAlignment w:val="center"/>
              <w:rPr>
                <w:rFonts w:ascii="宋体" w:hAnsi="宋体" w:cs="宋体"/>
                <w:color w:val="000000"/>
                <w:sz w:val="22"/>
              </w:rPr>
            </w:pPr>
            <w:r>
              <w:rPr>
                <w:rFonts w:hint="eastAsia" w:ascii="宋体" w:hAnsi="宋体" w:cs="宋体"/>
                <w:color w:val="000000"/>
                <w:kern w:val="0"/>
                <w:sz w:val="22"/>
              </w:rPr>
              <w:t>质量指标</w:t>
            </w:r>
          </w:p>
        </w:tc>
        <w:tc>
          <w:tcPr>
            <w:tcW w:w="1918"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采购物资、建设工程合格率</w:t>
            </w:r>
          </w:p>
        </w:tc>
        <w:tc>
          <w:tcPr>
            <w:tcW w:w="2259"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采购物资、建设工程合格率</w:t>
            </w:r>
          </w:p>
        </w:tc>
        <w:tc>
          <w:tcPr>
            <w:tcW w:w="3816"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20分合格率100%得满分，否则不得分</w:t>
            </w:r>
          </w:p>
        </w:tc>
        <w:tc>
          <w:tcPr>
            <w:tcW w:w="670"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w:t>
            </w:r>
          </w:p>
        </w:tc>
        <w:tc>
          <w:tcPr>
            <w:tcW w:w="587"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100</w:t>
            </w:r>
          </w:p>
        </w:tc>
        <w:tc>
          <w:tcPr>
            <w:tcW w:w="1577"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w:t>
            </w:r>
          </w:p>
        </w:tc>
        <w:tc>
          <w:tcPr>
            <w:tcW w:w="897"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质量评价标准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83" w:type="dxa"/>
            <w:vMerge w:val="continue"/>
            <w:tcBorders>
              <w:tl2br w:val="nil"/>
              <w:tr2bl w:val="nil"/>
            </w:tcBorders>
            <w:shd w:val="clear" w:color="auto" w:fill="auto"/>
            <w:noWrap/>
          </w:tcPr>
          <w:p>
            <w:pPr>
              <w:spacing w:line="240" w:lineRule="auto"/>
              <w:jc w:val="left"/>
              <w:rPr>
                <w:rFonts w:cs="Calibri"/>
                <w:color w:val="000000"/>
                <w:sz w:val="22"/>
              </w:rPr>
            </w:pPr>
          </w:p>
        </w:tc>
        <w:tc>
          <w:tcPr>
            <w:tcW w:w="1238" w:type="dxa"/>
            <w:tcBorders>
              <w:tl2br w:val="nil"/>
              <w:tr2bl w:val="nil"/>
            </w:tcBorders>
            <w:shd w:val="clear" w:color="auto" w:fill="auto"/>
            <w:noWrap/>
            <w:vAlign w:val="center"/>
          </w:tcPr>
          <w:p>
            <w:pPr>
              <w:widowControl/>
              <w:spacing w:line="240" w:lineRule="auto"/>
              <w:jc w:val="left"/>
              <w:textAlignment w:val="center"/>
              <w:rPr>
                <w:rFonts w:ascii="宋体" w:hAnsi="宋体" w:cs="宋体"/>
                <w:color w:val="000000"/>
                <w:sz w:val="22"/>
              </w:rPr>
            </w:pPr>
            <w:r>
              <w:rPr>
                <w:rFonts w:hint="eastAsia" w:ascii="宋体" w:hAnsi="宋体" w:cs="宋体"/>
                <w:color w:val="000000"/>
                <w:kern w:val="0"/>
                <w:sz w:val="22"/>
              </w:rPr>
              <w:t>数量指标</w:t>
            </w:r>
          </w:p>
        </w:tc>
        <w:tc>
          <w:tcPr>
            <w:tcW w:w="1918"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重点工作实际完成率</w:t>
            </w:r>
          </w:p>
        </w:tc>
        <w:tc>
          <w:tcPr>
            <w:tcW w:w="2259"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重点工作实际完成率</w:t>
            </w:r>
          </w:p>
        </w:tc>
        <w:tc>
          <w:tcPr>
            <w:tcW w:w="3816"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10分不低于95%得满分，否则不得分</w:t>
            </w:r>
          </w:p>
        </w:tc>
        <w:tc>
          <w:tcPr>
            <w:tcW w:w="670"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w:t>
            </w:r>
          </w:p>
        </w:tc>
        <w:tc>
          <w:tcPr>
            <w:tcW w:w="587"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95</w:t>
            </w:r>
          </w:p>
        </w:tc>
        <w:tc>
          <w:tcPr>
            <w:tcW w:w="1577"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w:t>
            </w:r>
          </w:p>
        </w:tc>
        <w:tc>
          <w:tcPr>
            <w:tcW w:w="897"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83" w:type="dxa"/>
            <w:vMerge w:val="continue"/>
            <w:tcBorders>
              <w:tl2br w:val="nil"/>
              <w:tr2bl w:val="nil"/>
            </w:tcBorders>
            <w:shd w:val="clear" w:color="auto" w:fill="auto"/>
            <w:noWrap/>
          </w:tcPr>
          <w:p>
            <w:pPr>
              <w:spacing w:line="240" w:lineRule="auto"/>
              <w:jc w:val="left"/>
              <w:rPr>
                <w:rFonts w:cs="Calibri"/>
                <w:color w:val="000000"/>
                <w:sz w:val="22"/>
              </w:rPr>
            </w:pPr>
          </w:p>
        </w:tc>
        <w:tc>
          <w:tcPr>
            <w:tcW w:w="1238" w:type="dxa"/>
            <w:tcBorders>
              <w:tl2br w:val="nil"/>
              <w:tr2bl w:val="nil"/>
            </w:tcBorders>
            <w:shd w:val="clear" w:color="auto" w:fill="auto"/>
            <w:noWrap/>
            <w:vAlign w:val="center"/>
          </w:tcPr>
          <w:p>
            <w:pPr>
              <w:widowControl/>
              <w:spacing w:line="240" w:lineRule="auto"/>
              <w:jc w:val="left"/>
              <w:textAlignment w:val="center"/>
              <w:rPr>
                <w:rFonts w:ascii="宋体" w:hAnsi="宋体" w:cs="宋体"/>
                <w:color w:val="000000"/>
                <w:sz w:val="22"/>
              </w:rPr>
            </w:pPr>
            <w:r>
              <w:rPr>
                <w:rFonts w:hint="eastAsia" w:ascii="宋体" w:hAnsi="宋体" w:cs="宋体"/>
                <w:color w:val="000000"/>
                <w:kern w:val="0"/>
                <w:sz w:val="22"/>
              </w:rPr>
              <w:t>成本指标</w:t>
            </w:r>
          </w:p>
        </w:tc>
        <w:tc>
          <w:tcPr>
            <w:tcW w:w="1918"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教育经费使用控制率</w:t>
            </w:r>
          </w:p>
        </w:tc>
        <w:tc>
          <w:tcPr>
            <w:tcW w:w="2259"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支出的公用经费总额与预算安排得比率</w:t>
            </w:r>
          </w:p>
        </w:tc>
        <w:tc>
          <w:tcPr>
            <w:tcW w:w="3816"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10分教育经费决算数不大于调整预算数得满分</w:t>
            </w:r>
          </w:p>
        </w:tc>
        <w:tc>
          <w:tcPr>
            <w:tcW w:w="670"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文字描述</w:t>
            </w:r>
          </w:p>
        </w:tc>
        <w:tc>
          <w:tcPr>
            <w:tcW w:w="587" w:type="dxa"/>
            <w:tcBorders>
              <w:tl2br w:val="nil"/>
              <w:tr2bl w:val="nil"/>
            </w:tcBorders>
            <w:shd w:val="clear" w:color="auto" w:fill="auto"/>
            <w:noWrap/>
          </w:tcPr>
          <w:p>
            <w:pPr>
              <w:spacing w:line="240" w:lineRule="auto"/>
              <w:jc w:val="left"/>
              <w:rPr>
                <w:rFonts w:cs="Calibri"/>
                <w:color w:val="000000"/>
                <w:sz w:val="22"/>
              </w:rPr>
            </w:pPr>
          </w:p>
        </w:tc>
        <w:tc>
          <w:tcPr>
            <w:tcW w:w="1577"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教育经费决算数不大于调整预算数</w:t>
            </w:r>
          </w:p>
        </w:tc>
        <w:tc>
          <w:tcPr>
            <w:tcW w:w="897"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实际工作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83" w:type="dxa"/>
            <w:vMerge w:val="continue"/>
            <w:tcBorders>
              <w:tl2br w:val="nil"/>
              <w:tr2bl w:val="nil"/>
            </w:tcBorders>
            <w:shd w:val="clear" w:color="auto" w:fill="auto"/>
            <w:noWrap/>
          </w:tcPr>
          <w:p>
            <w:pPr>
              <w:spacing w:line="240" w:lineRule="auto"/>
              <w:jc w:val="left"/>
              <w:rPr>
                <w:rFonts w:cs="Calibri"/>
                <w:color w:val="000000"/>
                <w:sz w:val="22"/>
              </w:rPr>
            </w:pPr>
          </w:p>
        </w:tc>
        <w:tc>
          <w:tcPr>
            <w:tcW w:w="1238" w:type="dxa"/>
            <w:tcBorders>
              <w:tl2br w:val="nil"/>
              <w:tr2bl w:val="nil"/>
            </w:tcBorders>
            <w:shd w:val="clear" w:color="auto" w:fill="auto"/>
            <w:noWrap/>
            <w:vAlign w:val="center"/>
          </w:tcPr>
          <w:p>
            <w:pPr>
              <w:widowControl/>
              <w:spacing w:line="240" w:lineRule="auto"/>
              <w:jc w:val="left"/>
              <w:textAlignment w:val="center"/>
              <w:rPr>
                <w:rFonts w:ascii="宋体" w:hAnsi="宋体" w:cs="宋体"/>
                <w:color w:val="000000"/>
                <w:sz w:val="22"/>
              </w:rPr>
            </w:pPr>
            <w:r>
              <w:rPr>
                <w:rFonts w:hint="eastAsia" w:ascii="宋体" w:hAnsi="宋体" w:cs="宋体"/>
                <w:color w:val="000000"/>
                <w:kern w:val="0"/>
                <w:sz w:val="22"/>
              </w:rPr>
              <w:t>时效指标</w:t>
            </w:r>
          </w:p>
        </w:tc>
        <w:tc>
          <w:tcPr>
            <w:tcW w:w="1918"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学校的各项工作任务及时完成情况</w:t>
            </w:r>
          </w:p>
        </w:tc>
        <w:tc>
          <w:tcPr>
            <w:tcW w:w="2259"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学校的各项工作任务及时完成情况</w:t>
            </w:r>
          </w:p>
        </w:tc>
        <w:tc>
          <w:tcPr>
            <w:tcW w:w="3816"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10分及时完成得满分，否则不得分</w:t>
            </w:r>
          </w:p>
        </w:tc>
        <w:tc>
          <w:tcPr>
            <w:tcW w:w="670"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文字描述</w:t>
            </w:r>
          </w:p>
        </w:tc>
        <w:tc>
          <w:tcPr>
            <w:tcW w:w="587" w:type="dxa"/>
            <w:tcBorders>
              <w:tl2br w:val="nil"/>
              <w:tr2bl w:val="nil"/>
            </w:tcBorders>
            <w:shd w:val="clear" w:color="auto" w:fill="auto"/>
            <w:noWrap/>
          </w:tcPr>
          <w:p>
            <w:pPr>
              <w:spacing w:line="240" w:lineRule="auto"/>
              <w:jc w:val="left"/>
              <w:rPr>
                <w:rFonts w:cs="Calibri"/>
                <w:color w:val="000000"/>
                <w:sz w:val="22"/>
              </w:rPr>
            </w:pPr>
          </w:p>
        </w:tc>
        <w:tc>
          <w:tcPr>
            <w:tcW w:w="1577"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及时</w:t>
            </w:r>
          </w:p>
        </w:tc>
        <w:tc>
          <w:tcPr>
            <w:tcW w:w="897"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年初工作计划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83"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效益指标</w:t>
            </w:r>
          </w:p>
        </w:tc>
        <w:tc>
          <w:tcPr>
            <w:tcW w:w="1238" w:type="dxa"/>
            <w:tcBorders>
              <w:tl2br w:val="nil"/>
              <w:tr2bl w:val="nil"/>
            </w:tcBorders>
            <w:shd w:val="clear" w:color="auto" w:fill="auto"/>
            <w:noWrap/>
            <w:vAlign w:val="center"/>
          </w:tcPr>
          <w:p>
            <w:pPr>
              <w:widowControl/>
              <w:spacing w:line="240" w:lineRule="auto"/>
              <w:jc w:val="left"/>
              <w:textAlignment w:val="center"/>
              <w:rPr>
                <w:rFonts w:ascii="宋体" w:hAnsi="宋体" w:cs="宋体"/>
                <w:color w:val="000000"/>
                <w:sz w:val="22"/>
              </w:rPr>
            </w:pPr>
            <w:r>
              <w:rPr>
                <w:rFonts w:hint="eastAsia" w:ascii="宋体" w:hAnsi="宋体" w:cs="宋体"/>
                <w:color w:val="000000"/>
                <w:kern w:val="0"/>
                <w:sz w:val="22"/>
              </w:rPr>
              <w:t>社会效益指标</w:t>
            </w:r>
          </w:p>
        </w:tc>
        <w:tc>
          <w:tcPr>
            <w:tcW w:w="1918"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学前教育高质量发展</w:t>
            </w:r>
          </w:p>
        </w:tc>
        <w:tc>
          <w:tcPr>
            <w:tcW w:w="2259"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推动学前教育从数量扩张向质量提高转变</w:t>
            </w:r>
          </w:p>
        </w:tc>
        <w:tc>
          <w:tcPr>
            <w:tcW w:w="3816"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30分。支持学前教育发展得25分，不支持不得分。</w:t>
            </w:r>
          </w:p>
        </w:tc>
        <w:tc>
          <w:tcPr>
            <w:tcW w:w="670"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w:t>
            </w:r>
          </w:p>
        </w:tc>
        <w:tc>
          <w:tcPr>
            <w:tcW w:w="587"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95</w:t>
            </w:r>
          </w:p>
        </w:tc>
        <w:tc>
          <w:tcPr>
            <w:tcW w:w="1577"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w:t>
            </w:r>
          </w:p>
        </w:tc>
        <w:tc>
          <w:tcPr>
            <w:tcW w:w="897"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部门职责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83" w:type="dxa"/>
            <w:vMerge w:val="restart"/>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满意度指标</w:t>
            </w:r>
          </w:p>
        </w:tc>
        <w:tc>
          <w:tcPr>
            <w:tcW w:w="1238" w:type="dxa"/>
            <w:tcBorders>
              <w:tl2br w:val="nil"/>
              <w:tr2bl w:val="nil"/>
            </w:tcBorders>
            <w:shd w:val="clear" w:color="auto" w:fill="auto"/>
            <w:noWrap/>
            <w:vAlign w:val="center"/>
          </w:tcPr>
          <w:p>
            <w:pPr>
              <w:widowControl/>
              <w:spacing w:line="240" w:lineRule="auto"/>
              <w:jc w:val="left"/>
              <w:textAlignment w:val="center"/>
              <w:rPr>
                <w:rFonts w:ascii="宋体" w:hAnsi="宋体" w:cs="宋体"/>
                <w:color w:val="000000"/>
                <w:sz w:val="22"/>
              </w:rPr>
            </w:pPr>
            <w:r>
              <w:rPr>
                <w:rFonts w:hint="eastAsia" w:ascii="宋体" w:hAnsi="宋体" w:cs="宋体"/>
                <w:color w:val="000000"/>
                <w:kern w:val="0"/>
                <w:sz w:val="22"/>
              </w:rPr>
              <w:t>服务对象满意度指标</w:t>
            </w:r>
          </w:p>
        </w:tc>
        <w:tc>
          <w:tcPr>
            <w:tcW w:w="1918"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在校师生的满意程度</w:t>
            </w:r>
          </w:p>
        </w:tc>
        <w:tc>
          <w:tcPr>
            <w:tcW w:w="2259"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在校师生的满意程度</w:t>
            </w:r>
          </w:p>
        </w:tc>
        <w:tc>
          <w:tcPr>
            <w:tcW w:w="3816"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10分在校师生的满意度达到95%得满分，每降低1%扣1分，扣完为止。</w:t>
            </w:r>
          </w:p>
        </w:tc>
        <w:tc>
          <w:tcPr>
            <w:tcW w:w="670"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w:t>
            </w:r>
          </w:p>
        </w:tc>
        <w:tc>
          <w:tcPr>
            <w:tcW w:w="587"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95</w:t>
            </w:r>
          </w:p>
        </w:tc>
        <w:tc>
          <w:tcPr>
            <w:tcW w:w="1577"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w:t>
            </w:r>
          </w:p>
        </w:tc>
        <w:tc>
          <w:tcPr>
            <w:tcW w:w="897"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调查问卷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783" w:type="dxa"/>
            <w:vMerge w:val="continue"/>
            <w:tcBorders>
              <w:tl2br w:val="nil"/>
              <w:tr2bl w:val="nil"/>
            </w:tcBorders>
            <w:shd w:val="clear" w:color="auto" w:fill="auto"/>
            <w:noWrap/>
          </w:tcPr>
          <w:p>
            <w:pPr>
              <w:spacing w:line="240" w:lineRule="auto"/>
              <w:jc w:val="left"/>
              <w:rPr>
                <w:rFonts w:cs="Calibri"/>
                <w:color w:val="000000"/>
                <w:sz w:val="22"/>
              </w:rPr>
            </w:pPr>
          </w:p>
        </w:tc>
        <w:tc>
          <w:tcPr>
            <w:tcW w:w="1238" w:type="dxa"/>
            <w:tcBorders>
              <w:tl2br w:val="nil"/>
              <w:tr2bl w:val="nil"/>
            </w:tcBorders>
            <w:shd w:val="clear" w:color="auto" w:fill="auto"/>
            <w:noWrap/>
            <w:vAlign w:val="center"/>
          </w:tcPr>
          <w:p>
            <w:pPr>
              <w:widowControl/>
              <w:spacing w:line="240" w:lineRule="auto"/>
              <w:jc w:val="left"/>
              <w:textAlignment w:val="center"/>
              <w:rPr>
                <w:rFonts w:ascii="宋体" w:hAnsi="宋体" w:cs="宋体"/>
                <w:color w:val="000000"/>
                <w:sz w:val="22"/>
              </w:rPr>
            </w:pPr>
            <w:r>
              <w:rPr>
                <w:rFonts w:hint="eastAsia" w:ascii="宋体" w:hAnsi="宋体" w:cs="宋体"/>
                <w:color w:val="000000"/>
                <w:kern w:val="0"/>
                <w:sz w:val="22"/>
              </w:rPr>
              <w:t>服务对象满意度指标</w:t>
            </w:r>
          </w:p>
        </w:tc>
        <w:tc>
          <w:tcPr>
            <w:tcW w:w="1918"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家长的满意程度</w:t>
            </w:r>
          </w:p>
        </w:tc>
        <w:tc>
          <w:tcPr>
            <w:tcW w:w="2259"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家长的满意程度</w:t>
            </w:r>
          </w:p>
        </w:tc>
        <w:tc>
          <w:tcPr>
            <w:tcW w:w="3816"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10分家长的满意度达到95%得满分，每降低1%扣1分，扣完为止。</w:t>
            </w:r>
          </w:p>
        </w:tc>
        <w:tc>
          <w:tcPr>
            <w:tcW w:w="670"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w:t>
            </w:r>
          </w:p>
        </w:tc>
        <w:tc>
          <w:tcPr>
            <w:tcW w:w="587"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95</w:t>
            </w:r>
          </w:p>
        </w:tc>
        <w:tc>
          <w:tcPr>
            <w:tcW w:w="1577"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w:t>
            </w:r>
          </w:p>
        </w:tc>
        <w:tc>
          <w:tcPr>
            <w:tcW w:w="897" w:type="dxa"/>
            <w:tcBorders>
              <w:tl2br w:val="nil"/>
              <w:tr2bl w:val="nil"/>
            </w:tcBorders>
            <w:shd w:val="clear" w:color="auto" w:fill="auto"/>
            <w:noWrap/>
          </w:tcPr>
          <w:p>
            <w:pPr>
              <w:widowControl/>
              <w:spacing w:line="240" w:lineRule="auto"/>
              <w:jc w:val="left"/>
              <w:textAlignment w:val="top"/>
              <w:rPr>
                <w:rFonts w:cs="Calibri"/>
                <w:color w:val="000000"/>
                <w:sz w:val="22"/>
              </w:rPr>
            </w:pPr>
            <w:r>
              <w:rPr>
                <w:rFonts w:cs="Calibri"/>
                <w:color w:val="000000"/>
                <w:kern w:val="0"/>
                <w:sz w:val="22"/>
              </w:rPr>
              <w:t>调查问卷</w:t>
            </w:r>
          </w:p>
        </w:tc>
      </w:tr>
    </w:tbl>
    <w:p>
      <w:pPr>
        <w:spacing w:line="579"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spacing w:line="579" w:lineRule="exact"/>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1.</w:t>
      </w:r>
      <w:r>
        <w:rPr>
          <w:rFonts w:hint="eastAsia" w:ascii="Times New Roman" w:hAnsi="Times New Roman" w:eastAsia="仿宋_GB2312" w:cs="Times New Roman"/>
          <w:sz w:val="28"/>
        </w:rPr>
        <w:t>廊坊市广阳区第六幼儿园合同制教师人员经费</w:t>
      </w:r>
      <w:r>
        <w:rPr>
          <w:rFonts w:ascii="Times New Roman" w:hAnsi="Times New Roman" w:eastAsia="仿宋_GB2312" w:cs="Times New Roman"/>
          <w:sz w:val="28"/>
        </w:rPr>
        <w:t>绩效目标表</w:t>
      </w:r>
      <w:bookmarkStart w:id="0" w:name="_Toc29799657"/>
      <w:bookmarkEnd w:id="0"/>
    </w:p>
    <w:p>
      <w:pPr>
        <w:spacing w:line="579"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240" w:lineRule="auto"/>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240" w:lineRule="auto"/>
              <w:rPr>
                <w:rFonts w:ascii="Times New Roman" w:hAnsi="Times New Roman" w:eastAsia="仿宋_GB2312" w:cs="Times New Roman"/>
                <w:b w:val="0"/>
                <w:bCs/>
              </w:rPr>
            </w:pPr>
            <w:r>
              <w:rPr>
                <w:rFonts w:ascii="Times New Roman" w:hAnsi="Times New Roman" w:eastAsia="仿宋_GB2312" w:cs="Times New Roman"/>
                <w:b w:val="0"/>
                <w:bCs/>
              </w:rPr>
              <w:t>1.目标内容1缓解教师短缺，保障教育教学正常的进行</w:t>
            </w:r>
          </w:p>
          <w:p>
            <w:pPr>
              <w:spacing w:line="240" w:lineRule="auto"/>
              <w:rPr>
                <w:rFonts w:ascii="Times New Roman" w:hAnsi="Times New Roman" w:eastAsia="仿宋_GB2312" w:cs="Times New Roman"/>
                <w:b w:val="0"/>
                <w:bCs/>
              </w:rPr>
            </w:pPr>
            <w:r>
              <w:rPr>
                <w:rFonts w:ascii="Times New Roman" w:hAnsi="Times New Roman" w:eastAsia="仿宋_GB2312" w:cs="Times New Roman"/>
                <w:b w:val="0"/>
                <w:bCs/>
              </w:rPr>
              <w:t>2.目标内容2保障教学质量，提升教育水平</w:t>
            </w:r>
          </w:p>
          <w:p>
            <w:pPr>
              <w:spacing w:line="240" w:lineRule="auto"/>
              <w:rPr>
                <w:rFonts w:ascii="Times New Roman" w:hAnsi="Times New Roman" w:eastAsia="仿宋_GB2312" w:cs="Times New Roman"/>
                <w:b w:val="0"/>
                <w:bCs/>
              </w:rPr>
            </w:pPr>
            <w:r>
              <w:rPr>
                <w:rFonts w:ascii="Times New Roman" w:hAnsi="Times New Roman" w:eastAsia="仿宋_GB2312" w:cs="Times New Roman"/>
                <w:b w:val="0"/>
                <w:bCs/>
              </w:rPr>
              <w:t>3.目标内容3保障合同制教师工资福利待遇，并及时发放。</w:t>
            </w:r>
          </w:p>
          <w:p>
            <w:pPr>
              <w:spacing w:line="240" w:lineRule="auto"/>
              <w:rPr>
                <w:rFonts w:ascii="Times New Roman" w:hAnsi="Times New Roman" w:eastAsia="仿宋_GB2312" w:cs="Times New Roman"/>
                <w:b w:val="0"/>
                <w:bCs/>
              </w:rPr>
            </w:pPr>
            <w:r>
              <w:rPr>
                <w:rFonts w:ascii="Times New Roman" w:hAnsi="Times New Roman" w:eastAsia="仿宋_GB2312" w:cs="Times New Roman"/>
                <w:b w:val="0"/>
                <w:bCs/>
              </w:rPr>
              <w:t>4.目标内容4学生、学校、家长对合同制教师的满意度达到95%以上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240" w:lineRule="auto"/>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240" w:lineRule="auto"/>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240" w:lineRule="auto"/>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240" w:lineRule="auto"/>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240" w:lineRule="auto"/>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240" w:lineRule="auto"/>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240" w:lineRule="auto"/>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pStyle w:val="14"/>
              <w:spacing w:line="240" w:lineRule="auto"/>
              <w:rPr>
                <w:rFonts w:ascii="Times New Roman" w:hAnsi="Times New Roman" w:eastAsia="仿宋_GB2312" w:cs="Times New Roman"/>
                <w:kern w:val="2"/>
                <w:szCs w:val="22"/>
              </w:rPr>
            </w:pPr>
            <w:r>
              <w:rPr>
                <w:rFonts w:ascii="Times New Roman" w:hAnsi="Times New Roman" w:eastAsia="仿宋_GB2312" w:cs="Times New Roman"/>
                <w:kern w:val="2"/>
                <w:szCs w:val="22"/>
                <w:lang w:eastAsia="zh-CN"/>
              </w:rPr>
              <w:t>数量指标</w:t>
            </w:r>
          </w:p>
        </w:tc>
        <w:tc>
          <w:tcPr>
            <w:tcW w:w="1985" w:type="dxa"/>
            <w:shd w:val="clear" w:color="auto" w:fill="auto"/>
            <w:vAlign w:val="center"/>
          </w:tcPr>
          <w:p>
            <w:pPr>
              <w:pStyle w:val="14"/>
              <w:spacing w:line="240" w:lineRule="auto"/>
              <w:rPr>
                <w:rFonts w:ascii="Times New Roman" w:hAnsi="Times New Roman" w:eastAsia="仿宋_GB2312" w:cs="Times New Roman"/>
                <w:kern w:val="2"/>
                <w:szCs w:val="22"/>
              </w:rPr>
            </w:pPr>
            <w:r>
              <w:rPr>
                <w:rFonts w:ascii="Times New Roman" w:hAnsi="Times New Roman" w:eastAsia="仿宋_GB2312" w:cs="Times New Roman"/>
                <w:kern w:val="2"/>
                <w:szCs w:val="22"/>
                <w:lang w:eastAsia="zh-CN"/>
              </w:rPr>
              <w:t>合同制教师在校人数</w:t>
            </w:r>
          </w:p>
        </w:tc>
        <w:tc>
          <w:tcPr>
            <w:tcW w:w="3402" w:type="dxa"/>
            <w:shd w:val="clear" w:color="auto" w:fill="auto"/>
            <w:vAlign w:val="center"/>
          </w:tcPr>
          <w:p>
            <w:pPr>
              <w:pStyle w:val="14"/>
              <w:spacing w:line="240" w:lineRule="auto"/>
              <w:rPr>
                <w:rFonts w:ascii="Times New Roman" w:hAnsi="Times New Roman" w:eastAsia="仿宋_GB2312" w:cs="Times New Roman"/>
                <w:kern w:val="2"/>
                <w:szCs w:val="22"/>
              </w:rPr>
            </w:pPr>
            <w:r>
              <w:rPr>
                <w:rFonts w:ascii="Times New Roman" w:hAnsi="Times New Roman" w:eastAsia="仿宋_GB2312" w:cs="Times New Roman"/>
                <w:kern w:val="2"/>
                <w:szCs w:val="22"/>
                <w:lang w:eastAsia="zh-CN"/>
              </w:rPr>
              <w:t>保障2022合同制教师 62人工资福利</w:t>
            </w:r>
          </w:p>
        </w:tc>
        <w:tc>
          <w:tcPr>
            <w:tcW w:w="1843" w:type="dxa"/>
            <w:shd w:val="clear" w:color="auto" w:fill="auto"/>
            <w:vAlign w:val="center"/>
          </w:tcPr>
          <w:p>
            <w:pPr>
              <w:pStyle w:val="14"/>
              <w:spacing w:line="240" w:lineRule="auto"/>
              <w:rPr>
                <w:rFonts w:ascii="Times New Roman" w:hAnsi="Times New Roman" w:eastAsia="仿宋_GB2312" w:cs="Times New Roman"/>
                <w:kern w:val="2"/>
                <w:szCs w:val="22"/>
              </w:rPr>
            </w:pPr>
            <w:r>
              <w:rPr>
                <w:rFonts w:ascii="Times New Roman" w:hAnsi="Times New Roman" w:eastAsia="仿宋_GB2312" w:cs="Times New Roman"/>
                <w:kern w:val="2"/>
                <w:szCs w:val="22"/>
                <w:lang w:eastAsia="zh-CN"/>
              </w:rPr>
              <w:t>62人</w:t>
            </w:r>
          </w:p>
        </w:tc>
        <w:tc>
          <w:tcPr>
            <w:tcW w:w="2155" w:type="dxa"/>
            <w:shd w:val="clear" w:color="auto" w:fill="auto"/>
            <w:vAlign w:val="center"/>
          </w:tcPr>
          <w:p>
            <w:pPr>
              <w:pStyle w:val="14"/>
              <w:spacing w:line="240" w:lineRule="auto"/>
              <w:rPr>
                <w:rFonts w:ascii="Times New Roman" w:hAnsi="Times New Roman" w:eastAsia="仿宋_GB2312" w:cs="Times New Roman"/>
                <w:kern w:val="2"/>
                <w:szCs w:val="22"/>
              </w:rPr>
            </w:pPr>
            <w:r>
              <w:rPr>
                <w:rFonts w:ascii="Times New Roman" w:hAnsi="Times New Roman" w:eastAsia="仿宋_GB2312" w:cs="Times New Roman"/>
                <w:kern w:val="2"/>
                <w:szCs w:val="22"/>
                <w:lang w:eastAsia="zh-CN"/>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240" w:lineRule="auto"/>
            </w:pPr>
          </w:p>
        </w:tc>
        <w:tc>
          <w:tcPr>
            <w:tcW w:w="2268" w:type="dxa"/>
            <w:shd w:val="clear" w:color="auto" w:fill="auto"/>
            <w:vAlign w:val="center"/>
          </w:tcPr>
          <w:p>
            <w:pPr>
              <w:pStyle w:val="14"/>
              <w:spacing w:line="240" w:lineRule="auto"/>
              <w:rPr>
                <w:rFonts w:ascii="Times New Roman" w:hAnsi="Times New Roman" w:eastAsia="仿宋_GB2312" w:cs="Times New Roman"/>
                <w:kern w:val="2"/>
                <w:szCs w:val="22"/>
              </w:rPr>
            </w:pPr>
            <w:r>
              <w:rPr>
                <w:rFonts w:ascii="Times New Roman" w:hAnsi="Times New Roman" w:eastAsia="仿宋_GB2312" w:cs="Times New Roman"/>
                <w:kern w:val="2"/>
                <w:szCs w:val="22"/>
                <w:lang w:eastAsia="zh-CN"/>
              </w:rPr>
              <w:t>质量指标</w:t>
            </w:r>
          </w:p>
        </w:tc>
        <w:tc>
          <w:tcPr>
            <w:tcW w:w="1985" w:type="dxa"/>
            <w:shd w:val="clear" w:color="auto" w:fill="auto"/>
            <w:vAlign w:val="center"/>
          </w:tcPr>
          <w:p>
            <w:pPr>
              <w:pStyle w:val="14"/>
              <w:spacing w:line="240" w:lineRule="auto"/>
              <w:rPr>
                <w:rFonts w:ascii="Times New Roman" w:hAnsi="Times New Roman" w:eastAsia="仿宋_GB2312" w:cs="Times New Roman"/>
                <w:kern w:val="2"/>
                <w:szCs w:val="22"/>
              </w:rPr>
            </w:pPr>
            <w:r>
              <w:rPr>
                <w:rFonts w:ascii="Times New Roman" w:hAnsi="Times New Roman" w:eastAsia="仿宋_GB2312" w:cs="Times New Roman"/>
                <w:kern w:val="2"/>
                <w:szCs w:val="22"/>
                <w:lang w:eastAsia="zh-CN"/>
              </w:rPr>
              <w:t>合同制教师完成岗位目标</w:t>
            </w:r>
          </w:p>
        </w:tc>
        <w:tc>
          <w:tcPr>
            <w:tcW w:w="3402" w:type="dxa"/>
            <w:shd w:val="clear" w:color="auto" w:fill="auto"/>
            <w:vAlign w:val="center"/>
          </w:tcPr>
          <w:p>
            <w:pPr>
              <w:pStyle w:val="14"/>
              <w:spacing w:line="240" w:lineRule="auto"/>
              <w:rPr>
                <w:rFonts w:ascii="Times New Roman" w:hAnsi="Times New Roman" w:eastAsia="仿宋_GB2312" w:cs="Times New Roman"/>
                <w:kern w:val="2"/>
                <w:szCs w:val="22"/>
              </w:rPr>
            </w:pPr>
            <w:r>
              <w:rPr>
                <w:rFonts w:ascii="Times New Roman" w:hAnsi="Times New Roman" w:eastAsia="仿宋_GB2312" w:cs="Times New Roman"/>
                <w:kern w:val="2"/>
                <w:szCs w:val="22"/>
                <w:lang w:eastAsia="zh-CN"/>
              </w:rPr>
              <w:t>合同制教师岗位目标明确，并得以执行</w:t>
            </w:r>
          </w:p>
        </w:tc>
        <w:tc>
          <w:tcPr>
            <w:tcW w:w="1843" w:type="dxa"/>
            <w:shd w:val="clear" w:color="auto" w:fill="auto"/>
            <w:vAlign w:val="center"/>
          </w:tcPr>
          <w:p>
            <w:pPr>
              <w:pStyle w:val="14"/>
              <w:spacing w:line="240" w:lineRule="auto"/>
              <w:rPr>
                <w:rFonts w:ascii="Times New Roman" w:hAnsi="Times New Roman" w:eastAsia="仿宋_GB2312" w:cs="Times New Roman"/>
                <w:kern w:val="2"/>
                <w:szCs w:val="22"/>
              </w:rPr>
            </w:pPr>
            <w:r>
              <w:rPr>
                <w:rFonts w:ascii="Times New Roman" w:hAnsi="Times New Roman" w:eastAsia="仿宋_GB2312" w:cs="Times New Roman"/>
                <w:kern w:val="2"/>
                <w:szCs w:val="22"/>
                <w:lang w:eastAsia="zh-CN"/>
              </w:rPr>
              <w:t>完成岗位目标职责</w:t>
            </w:r>
          </w:p>
        </w:tc>
        <w:tc>
          <w:tcPr>
            <w:tcW w:w="2155" w:type="dxa"/>
            <w:shd w:val="clear" w:color="auto" w:fill="auto"/>
            <w:vAlign w:val="center"/>
          </w:tcPr>
          <w:p>
            <w:pPr>
              <w:pStyle w:val="14"/>
              <w:spacing w:line="240" w:lineRule="auto"/>
              <w:rPr>
                <w:rFonts w:ascii="Times New Roman" w:hAnsi="Times New Roman" w:eastAsia="仿宋_GB2312" w:cs="Times New Roman"/>
                <w:kern w:val="2"/>
                <w:szCs w:val="22"/>
              </w:rPr>
            </w:pPr>
            <w:r>
              <w:rPr>
                <w:rFonts w:ascii="Times New Roman" w:hAnsi="Times New Roman" w:eastAsia="仿宋_GB2312" w:cs="Times New Roman"/>
                <w:kern w:val="2"/>
                <w:szCs w:val="22"/>
                <w:lang w:eastAsia="zh-CN"/>
              </w:rPr>
              <w:t>区在职教师考核办法文件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240" w:lineRule="auto"/>
            </w:pPr>
          </w:p>
        </w:tc>
        <w:tc>
          <w:tcPr>
            <w:tcW w:w="2268" w:type="dxa"/>
            <w:shd w:val="clear" w:color="auto" w:fill="auto"/>
            <w:vAlign w:val="center"/>
          </w:tcPr>
          <w:p>
            <w:pPr>
              <w:pStyle w:val="14"/>
              <w:spacing w:line="240" w:lineRule="auto"/>
              <w:rPr>
                <w:rFonts w:ascii="Times New Roman" w:hAnsi="Times New Roman" w:eastAsia="仿宋_GB2312" w:cs="Times New Roman"/>
                <w:kern w:val="2"/>
                <w:szCs w:val="22"/>
              </w:rPr>
            </w:pPr>
            <w:r>
              <w:rPr>
                <w:rFonts w:ascii="Times New Roman" w:hAnsi="Times New Roman" w:eastAsia="仿宋_GB2312" w:cs="Times New Roman"/>
                <w:kern w:val="2"/>
                <w:szCs w:val="22"/>
                <w:lang w:eastAsia="zh-CN"/>
              </w:rPr>
              <w:t>质量指标</w:t>
            </w:r>
          </w:p>
        </w:tc>
        <w:tc>
          <w:tcPr>
            <w:tcW w:w="1985" w:type="dxa"/>
            <w:shd w:val="clear" w:color="auto" w:fill="auto"/>
            <w:vAlign w:val="center"/>
          </w:tcPr>
          <w:p>
            <w:pPr>
              <w:pStyle w:val="14"/>
              <w:spacing w:line="240" w:lineRule="auto"/>
              <w:rPr>
                <w:rFonts w:ascii="Times New Roman" w:hAnsi="Times New Roman" w:eastAsia="仿宋_GB2312" w:cs="Times New Roman"/>
                <w:kern w:val="2"/>
                <w:szCs w:val="22"/>
              </w:rPr>
            </w:pPr>
            <w:r>
              <w:rPr>
                <w:rFonts w:ascii="Times New Roman" w:hAnsi="Times New Roman" w:eastAsia="仿宋_GB2312" w:cs="Times New Roman"/>
                <w:kern w:val="2"/>
                <w:szCs w:val="22"/>
                <w:lang w:eastAsia="zh-CN"/>
              </w:rPr>
              <w:t>合同制教师的考核合格率</w:t>
            </w:r>
          </w:p>
        </w:tc>
        <w:tc>
          <w:tcPr>
            <w:tcW w:w="3402" w:type="dxa"/>
            <w:shd w:val="clear" w:color="auto" w:fill="auto"/>
            <w:vAlign w:val="center"/>
          </w:tcPr>
          <w:p>
            <w:pPr>
              <w:pStyle w:val="14"/>
              <w:spacing w:line="240" w:lineRule="auto"/>
              <w:rPr>
                <w:rFonts w:ascii="Times New Roman" w:hAnsi="Times New Roman" w:eastAsia="仿宋_GB2312" w:cs="Times New Roman"/>
                <w:kern w:val="2"/>
                <w:szCs w:val="22"/>
              </w:rPr>
            </w:pPr>
            <w:r>
              <w:rPr>
                <w:rFonts w:ascii="Times New Roman" w:hAnsi="Times New Roman" w:eastAsia="仿宋_GB2312" w:cs="Times New Roman"/>
                <w:kern w:val="2"/>
                <w:szCs w:val="22"/>
                <w:lang w:eastAsia="zh-CN"/>
              </w:rPr>
              <w:t>合格率达到100%</w:t>
            </w:r>
          </w:p>
        </w:tc>
        <w:tc>
          <w:tcPr>
            <w:tcW w:w="1843" w:type="dxa"/>
            <w:shd w:val="clear" w:color="auto" w:fill="auto"/>
            <w:vAlign w:val="center"/>
          </w:tcPr>
          <w:p>
            <w:pPr>
              <w:pStyle w:val="14"/>
              <w:spacing w:line="240" w:lineRule="auto"/>
              <w:rPr>
                <w:rFonts w:ascii="Times New Roman" w:hAnsi="Times New Roman" w:eastAsia="仿宋_GB2312" w:cs="Times New Roman"/>
                <w:kern w:val="2"/>
                <w:szCs w:val="22"/>
              </w:rPr>
            </w:pPr>
            <w:r>
              <w:rPr>
                <w:rFonts w:ascii="Times New Roman" w:hAnsi="Times New Roman" w:eastAsia="仿宋_GB2312" w:cs="Times New Roman"/>
                <w:kern w:val="2"/>
                <w:szCs w:val="22"/>
                <w:lang w:eastAsia="zh-CN"/>
              </w:rPr>
              <w:t>≥98%</w:t>
            </w:r>
          </w:p>
        </w:tc>
        <w:tc>
          <w:tcPr>
            <w:tcW w:w="2155" w:type="dxa"/>
            <w:shd w:val="clear" w:color="auto" w:fill="auto"/>
            <w:vAlign w:val="center"/>
          </w:tcPr>
          <w:p>
            <w:pPr>
              <w:pStyle w:val="14"/>
              <w:spacing w:line="240" w:lineRule="auto"/>
              <w:rPr>
                <w:rFonts w:ascii="Times New Roman" w:hAnsi="Times New Roman" w:eastAsia="仿宋_GB2312" w:cs="Times New Roman"/>
                <w:kern w:val="2"/>
                <w:szCs w:val="22"/>
              </w:rPr>
            </w:pPr>
            <w:r>
              <w:rPr>
                <w:rFonts w:ascii="Times New Roman" w:hAnsi="Times New Roman" w:eastAsia="仿宋_GB2312" w:cs="Times New Roman"/>
                <w:kern w:val="2"/>
                <w:szCs w:val="22"/>
                <w:lang w:eastAsia="zh-CN"/>
              </w:rPr>
              <w:t>区考核办法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240" w:lineRule="auto"/>
            </w:pPr>
          </w:p>
        </w:tc>
        <w:tc>
          <w:tcPr>
            <w:tcW w:w="2268" w:type="dxa"/>
            <w:shd w:val="clear" w:color="auto" w:fill="auto"/>
            <w:vAlign w:val="center"/>
          </w:tcPr>
          <w:p>
            <w:pPr>
              <w:pStyle w:val="14"/>
              <w:spacing w:line="240" w:lineRule="auto"/>
              <w:rPr>
                <w:rFonts w:ascii="Times New Roman" w:hAnsi="Times New Roman" w:eastAsia="仿宋_GB2312" w:cs="Times New Roman"/>
                <w:kern w:val="2"/>
                <w:szCs w:val="22"/>
              </w:rPr>
            </w:pPr>
            <w:r>
              <w:rPr>
                <w:rFonts w:ascii="Times New Roman" w:hAnsi="Times New Roman" w:eastAsia="仿宋_GB2312" w:cs="Times New Roman"/>
                <w:kern w:val="2"/>
                <w:szCs w:val="22"/>
                <w:lang w:eastAsia="zh-CN"/>
              </w:rPr>
              <w:t>时效指标</w:t>
            </w:r>
          </w:p>
        </w:tc>
        <w:tc>
          <w:tcPr>
            <w:tcW w:w="1985" w:type="dxa"/>
            <w:shd w:val="clear" w:color="auto" w:fill="auto"/>
            <w:vAlign w:val="center"/>
          </w:tcPr>
          <w:p>
            <w:pPr>
              <w:pStyle w:val="14"/>
              <w:spacing w:line="240" w:lineRule="auto"/>
              <w:rPr>
                <w:rFonts w:ascii="Times New Roman" w:hAnsi="Times New Roman" w:eastAsia="仿宋_GB2312" w:cs="Times New Roman"/>
                <w:kern w:val="2"/>
                <w:szCs w:val="22"/>
              </w:rPr>
            </w:pPr>
            <w:r>
              <w:rPr>
                <w:rFonts w:ascii="Times New Roman" w:hAnsi="Times New Roman" w:eastAsia="仿宋_GB2312" w:cs="Times New Roman"/>
                <w:kern w:val="2"/>
                <w:szCs w:val="22"/>
                <w:lang w:eastAsia="zh-CN"/>
              </w:rPr>
              <w:t>资金支出率（%）</w:t>
            </w:r>
          </w:p>
        </w:tc>
        <w:tc>
          <w:tcPr>
            <w:tcW w:w="3402" w:type="dxa"/>
            <w:shd w:val="clear" w:color="auto" w:fill="auto"/>
            <w:vAlign w:val="center"/>
          </w:tcPr>
          <w:p>
            <w:pPr>
              <w:pStyle w:val="14"/>
              <w:spacing w:line="240" w:lineRule="auto"/>
              <w:rPr>
                <w:rFonts w:ascii="Times New Roman" w:hAnsi="Times New Roman" w:eastAsia="仿宋_GB2312" w:cs="Times New Roman"/>
                <w:kern w:val="2"/>
                <w:szCs w:val="22"/>
              </w:rPr>
            </w:pPr>
            <w:r>
              <w:rPr>
                <w:rFonts w:ascii="Times New Roman" w:hAnsi="Times New Roman" w:eastAsia="仿宋_GB2312" w:cs="Times New Roman"/>
                <w:kern w:val="2"/>
                <w:szCs w:val="22"/>
                <w:lang w:eastAsia="zh-CN"/>
              </w:rPr>
              <w:t>按月支付合同制教师工资及缴纳社会保障及住房公积金</w:t>
            </w:r>
          </w:p>
        </w:tc>
        <w:tc>
          <w:tcPr>
            <w:tcW w:w="1843" w:type="dxa"/>
            <w:shd w:val="clear" w:color="auto" w:fill="auto"/>
            <w:vAlign w:val="center"/>
          </w:tcPr>
          <w:p>
            <w:pPr>
              <w:pStyle w:val="14"/>
              <w:spacing w:line="240" w:lineRule="auto"/>
              <w:rPr>
                <w:rFonts w:ascii="Times New Roman" w:hAnsi="Times New Roman" w:eastAsia="仿宋_GB2312" w:cs="Times New Roman"/>
                <w:kern w:val="2"/>
                <w:szCs w:val="22"/>
              </w:rPr>
            </w:pPr>
            <w:r>
              <w:rPr>
                <w:rFonts w:ascii="Times New Roman" w:hAnsi="Times New Roman" w:eastAsia="仿宋_GB2312" w:cs="Times New Roman"/>
                <w:kern w:val="2"/>
                <w:szCs w:val="22"/>
                <w:lang w:eastAsia="zh-CN"/>
              </w:rPr>
              <w:t>≥95%</w:t>
            </w:r>
          </w:p>
        </w:tc>
        <w:tc>
          <w:tcPr>
            <w:tcW w:w="2155" w:type="dxa"/>
            <w:shd w:val="clear" w:color="auto" w:fill="auto"/>
            <w:vAlign w:val="center"/>
          </w:tcPr>
          <w:p>
            <w:pPr>
              <w:pStyle w:val="14"/>
              <w:spacing w:line="240" w:lineRule="auto"/>
              <w:rPr>
                <w:rFonts w:ascii="Times New Roman" w:hAnsi="Times New Roman" w:eastAsia="仿宋_GB2312" w:cs="Times New Roman"/>
                <w:kern w:val="2"/>
                <w:szCs w:val="22"/>
              </w:rPr>
            </w:pPr>
            <w:r>
              <w:rPr>
                <w:rFonts w:ascii="Times New Roman" w:hAnsi="Times New Roman" w:eastAsia="仿宋_GB2312" w:cs="Times New Roman"/>
                <w:kern w:val="2"/>
                <w:szCs w:val="22"/>
                <w:lang w:eastAsia="zh-CN"/>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240" w:lineRule="auto"/>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pStyle w:val="14"/>
              <w:spacing w:line="240" w:lineRule="auto"/>
              <w:rPr>
                <w:rFonts w:ascii="Times New Roman" w:hAnsi="Times New Roman" w:eastAsia="仿宋_GB2312" w:cs="Times New Roman"/>
                <w:kern w:val="2"/>
                <w:szCs w:val="22"/>
              </w:rPr>
            </w:pPr>
            <w:r>
              <w:rPr>
                <w:rFonts w:ascii="Times New Roman" w:hAnsi="Times New Roman" w:eastAsia="仿宋_GB2312" w:cs="Times New Roman"/>
                <w:kern w:val="2"/>
                <w:szCs w:val="22"/>
                <w:lang w:eastAsia="zh-CN"/>
              </w:rPr>
              <w:t>成本指标</w:t>
            </w:r>
          </w:p>
        </w:tc>
        <w:tc>
          <w:tcPr>
            <w:tcW w:w="1985" w:type="dxa"/>
            <w:shd w:val="clear" w:color="auto" w:fill="auto"/>
            <w:vAlign w:val="center"/>
          </w:tcPr>
          <w:p>
            <w:pPr>
              <w:pStyle w:val="14"/>
              <w:spacing w:line="240" w:lineRule="auto"/>
              <w:rPr>
                <w:rFonts w:ascii="Times New Roman" w:hAnsi="Times New Roman" w:eastAsia="仿宋_GB2312" w:cs="Times New Roman"/>
                <w:kern w:val="2"/>
                <w:szCs w:val="22"/>
              </w:rPr>
            </w:pPr>
            <w:r>
              <w:rPr>
                <w:rFonts w:ascii="Times New Roman" w:hAnsi="Times New Roman" w:eastAsia="仿宋_GB2312" w:cs="Times New Roman"/>
                <w:kern w:val="2"/>
                <w:szCs w:val="22"/>
                <w:lang w:eastAsia="zh-CN"/>
              </w:rPr>
              <w:t>保障项目正常运行</w:t>
            </w:r>
          </w:p>
        </w:tc>
        <w:tc>
          <w:tcPr>
            <w:tcW w:w="3402" w:type="dxa"/>
            <w:shd w:val="clear" w:color="auto" w:fill="auto"/>
            <w:vAlign w:val="center"/>
          </w:tcPr>
          <w:p>
            <w:pPr>
              <w:pStyle w:val="14"/>
              <w:spacing w:line="240" w:lineRule="auto"/>
              <w:rPr>
                <w:rFonts w:ascii="Times New Roman" w:hAnsi="Times New Roman" w:eastAsia="仿宋_GB2312" w:cs="Times New Roman"/>
                <w:kern w:val="2"/>
                <w:szCs w:val="22"/>
              </w:rPr>
            </w:pPr>
            <w:r>
              <w:rPr>
                <w:rFonts w:ascii="Times New Roman" w:hAnsi="Times New Roman" w:eastAsia="仿宋_GB2312" w:cs="Times New Roman"/>
                <w:kern w:val="2"/>
                <w:szCs w:val="22"/>
                <w:lang w:eastAsia="zh-CN"/>
              </w:rPr>
              <w:t>合同制教师薪酬测算标准</w:t>
            </w:r>
          </w:p>
        </w:tc>
        <w:tc>
          <w:tcPr>
            <w:tcW w:w="1843" w:type="dxa"/>
            <w:shd w:val="clear" w:color="auto" w:fill="auto"/>
            <w:vAlign w:val="center"/>
          </w:tcPr>
          <w:p>
            <w:pPr>
              <w:pStyle w:val="14"/>
              <w:spacing w:line="240" w:lineRule="auto"/>
              <w:rPr>
                <w:rFonts w:ascii="Times New Roman" w:hAnsi="Times New Roman" w:eastAsia="仿宋_GB2312" w:cs="Times New Roman"/>
                <w:kern w:val="2"/>
                <w:szCs w:val="22"/>
              </w:rPr>
            </w:pPr>
            <w:r>
              <w:rPr>
                <w:rFonts w:ascii="Times New Roman" w:hAnsi="Times New Roman" w:eastAsia="仿宋_GB2312" w:cs="Times New Roman"/>
                <w:kern w:val="2"/>
                <w:szCs w:val="22"/>
                <w:lang w:eastAsia="zh-CN"/>
              </w:rPr>
              <w:t>根据廊广传【2021】19号文件合同制教师与在职教师同工同酬</w:t>
            </w:r>
          </w:p>
        </w:tc>
        <w:tc>
          <w:tcPr>
            <w:tcW w:w="2155" w:type="dxa"/>
            <w:shd w:val="clear" w:color="auto" w:fill="auto"/>
            <w:vAlign w:val="center"/>
          </w:tcPr>
          <w:p>
            <w:pPr>
              <w:pStyle w:val="14"/>
              <w:spacing w:line="240" w:lineRule="auto"/>
              <w:rPr>
                <w:rFonts w:ascii="Times New Roman" w:hAnsi="Times New Roman" w:eastAsia="仿宋_GB2312" w:cs="Times New Roman"/>
                <w:kern w:val="2"/>
                <w:szCs w:val="22"/>
              </w:rPr>
            </w:pPr>
            <w:r>
              <w:rPr>
                <w:rFonts w:ascii="Times New Roman" w:hAnsi="Times New Roman" w:eastAsia="仿宋_GB2312" w:cs="Times New Roman"/>
                <w:kern w:val="2"/>
                <w:szCs w:val="22"/>
                <w:lang w:eastAsia="zh-CN"/>
              </w:rPr>
              <w:t>廊广传【2021】19号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240" w:lineRule="auto"/>
            </w:pPr>
          </w:p>
        </w:tc>
        <w:tc>
          <w:tcPr>
            <w:tcW w:w="2268" w:type="dxa"/>
            <w:shd w:val="clear" w:color="auto" w:fill="auto"/>
            <w:vAlign w:val="center"/>
          </w:tcPr>
          <w:p>
            <w:pPr>
              <w:pStyle w:val="14"/>
              <w:spacing w:line="240" w:lineRule="auto"/>
              <w:rPr>
                <w:rFonts w:ascii="Times New Roman" w:hAnsi="Times New Roman" w:eastAsia="仿宋_GB2312" w:cs="Times New Roman"/>
                <w:kern w:val="2"/>
                <w:szCs w:val="22"/>
              </w:rPr>
            </w:pPr>
            <w:r>
              <w:rPr>
                <w:rFonts w:ascii="Times New Roman" w:hAnsi="Times New Roman" w:eastAsia="仿宋_GB2312" w:cs="Times New Roman"/>
                <w:kern w:val="2"/>
                <w:szCs w:val="22"/>
                <w:lang w:eastAsia="zh-CN"/>
              </w:rPr>
              <w:t>社会效益指标</w:t>
            </w:r>
          </w:p>
        </w:tc>
        <w:tc>
          <w:tcPr>
            <w:tcW w:w="1985" w:type="dxa"/>
            <w:shd w:val="clear" w:color="auto" w:fill="auto"/>
            <w:vAlign w:val="center"/>
          </w:tcPr>
          <w:p>
            <w:pPr>
              <w:pStyle w:val="14"/>
              <w:spacing w:line="240" w:lineRule="auto"/>
              <w:rPr>
                <w:rFonts w:ascii="Times New Roman" w:hAnsi="Times New Roman" w:eastAsia="仿宋_GB2312" w:cs="Times New Roman"/>
                <w:kern w:val="2"/>
                <w:szCs w:val="22"/>
              </w:rPr>
            </w:pPr>
            <w:r>
              <w:rPr>
                <w:rFonts w:ascii="Times New Roman" w:hAnsi="Times New Roman" w:eastAsia="仿宋_GB2312" w:cs="Times New Roman"/>
                <w:kern w:val="2"/>
                <w:szCs w:val="22"/>
                <w:lang w:eastAsia="zh-CN"/>
              </w:rPr>
              <w:t>缓解师资供需矛盾</w:t>
            </w:r>
          </w:p>
        </w:tc>
        <w:tc>
          <w:tcPr>
            <w:tcW w:w="3402" w:type="dxa"/>
            <w:shd w:val="clear" w:color="auto" w:fill="auto"/>
            <w:vAlign w:val="center"/>
          </w:tcPr>
          <w:p>
            <w:pPr>
              <w:pStyle w:val="14"/>
              <w:spacing w:line="240" w:lineRule="auto"/>
              <w:rPr>
                <w:rFonts w:ascii="Times New Roman" w:hAnsi="Times New Roman" w:eastAsia="仿宋_GB2312" w:cs="Times New Roman"/>
                <w:kern w:val="2"/>
                <w:szCs w:val="22"/>
              </w:rPr>
            </w:pPr>
            <w:r>
              <w:rPr>
                <w:rFonts w:ascii="Times New Roman" w:hAnsi="Times New Roman" w:eastAsia="仿宋_GB2312" w:cs="Times New Roman"/>
                <w:kern w:val="2"/>
                <w:szCs w:val="22"/>
                <w:lang w:eastAsia="zh-CN"/>
              </w:rPr>
              <w:t>缓解教师短缺，保障教育教学正常的进行</w:t>
            </w:r>
          </w:p>
        </w:tc>
        <w:tc>
          <w:tcPr>
            <w:tcW w:w="1843" w:type="dxa"/>
            <w:shd w:val="clear" w:color="auto" w:fill="auto"/>
            <w:vAlign w:val="center"/>
          </w:tcPr>
          <w:p>
            <w:pPr>
              <w:pStyle w:val="14"/>
              <w:spacing w:line="240" w:lineRule="auto"/>
              <w:rPr>
                <w:rFonts w:ascii="Times New Roman" w:hAnsi="Times New Roman" w:eastAsia="仿宋_GB2312" w:cs="Times New Roman"/>
                <w:kern w:val="2"/>
                <w:szCs w:val="22"/>
              </w:rPr>
            </w:pPr>
            <w:r>
              <w:rPr>
                <w:rFonts w:ascii="Times New Roman" w:hAnsi="Times New Roman" w:eastAsia="仿宋_GB2312" w:cs="Times New Roman"/>
                <w:kern w:val="2"/>
                <w:szCs w:val="22"/>
                <w:lang w:eastAsia="zh-CN"/>
              </w:rPr>
              <w:t>缓解</w:t>
            </w:r>
          </w:p>
        </w:tc>
        <w:tc>
          <w:tcPr>
            <w:tcW w:w="2155" w:type="dxa"/>
            <w:shd w:val="clear" w:color="auto" w:fill="auto"/>
            <w:vAlign w:val="center"/>
          </w:tcPr>
          <w:p>
            <w:pPr>
              <w:pStyle w:val="14"/>
              <w:spacing w:line="240" w:lineRule="auto"/>
              <w:rPr>
                <w:rFonts w:ascii="Times New Roman" w:hAnsi="Times New Roman" w:eastAsia="仿宋_GB2312" w:cs="Times New Roman"/>
                <w:kern w:val="2"/>
                <w:szCs w:val="22"/>
              </w:rPr>
            </w:pPr>
            <w:r>
              <w:rPr>
                <w:rFonts w:ascii="Times New Roman" w:hAnsi="Times New Roman" w:eastAsia="仿宋_GB2312" w:cs="Times New Roman"/>
                <w:kern w:val="2"/>
                <w:szCs w:val="22"/>
                <w:lang w:eastAsia="zh-CN"/>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240" w:lineRule="auto"/>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pStyle w:val="14"/>
              <w:spacing w:line="240" w:lineRule="auto"/>
              <w:rPr>
                <w:rFonts w:ascii="Times New Roman" w:hAnsi="Times New Roman" w:eastAsia="仿宋_GB2312" w:cs="Times New Roman"/>
                <w:kern w:val="2"/>
                <w:szCs w:val="22"/>
              </w:rPr>
            </w:pPr>
            <w:r>
              <w:rPr>
                <w:rFonts w:ascii="Times New Roman" w:hAnsi="Times New Roman" w:eastAsia="仿宋_GB2312" w:cs="Times New Roman"/>
                <w:kern w:val="2"/>
                <w:szCs w:val="22"/>
                <w:lang w:eastAsia="zh-CN"/>
              </w:rPr>
              <w:t>服务对象满意度指标</w:t>
            </w:r>
          </w:p>
        </w:tc>
        <w:tc>
          <w:tcPr>
            <w:tcW w:w="1985" w:type="dxa"/>
            <w:shd w:val="clear" w:color="auto" w:fill="auto"/>
            <w:vAlign w:val="center"/>
          </w:tcPr>
          <w:p>
            <w:pPr>
              <w:pStyle w:val="14"/>
              <w:spacing w:line="240" w:lineRule="auto"/>
              <w:rPr>
                <w:rFonts w:ascii="Times New Roman" w:hAnsi="Times New Roman" w:eastAsia="仿宋_GB2312" w:cs="Times New Roman"/>
                <w:kern w:val="2"/>
                <w:szCs w:val="22"/>
              </w:rPr>
            </w:pPr>
            <w:r>
              <w:rPr>
                <w:rFonts w:ascii="Times New Roman" w:hAnsi="Times New Roman" w:eastAsia="仿宋_GB2312" w:cs="Times New Roman"/>
                <w:kern w:val="2"/>
                <w:szCs w:val="22"/>
                <w:lang w:eastAsia="zh-CN"/>
              </w:rPr>
              <w:t>学生满意度</w:t>
            </w:r>
          </w:p>
        </w:tc>
        <w:tc>
          <w:tcPr>
            <w:tcW w:w="3402" w:type="dxa"/>
            <w:shd w:val="clear" w:color="auto" w:fill="auto"/>
            <w:vAlign w:val="center"/>
          </w:tcPr>
          <w:p>
            <w:pPr>
              <w:pStyle w:val="14"/>
              <w:spacing w:line="240" w:lineRule="auto"/>
              <w:rPr>
                <w:rFonts w:ascii="Times New Roman" w:hAnsi="Times New Roman" w:eastAsia="仿宋_GB2312" w:cs="Times New Roman"/>
                <w:kern w:val="2"/>
                <w:szCs w:val="22"/>
              </w:rPr>
            </w:pPr>
            <w:r>
              <w:rPr>
                <w:rFonts w:ascii="Times New Roman" w:hAnsi="Times New Roman" w:eastAsia="仿宋_GB2312" w:cs="Times New Roman"/>
                <w:kern w:val="2"/>
                <w:szCs w:val="22"/>
                <w:lang w:eastAsia="zh-CN"/>
              </w:rPr>
              <w:t>所教幼儿园学生满意度</w:t>
            </w:r>
          </w:p>
        </w:tc>
        <w:tc>
          <w:tcPr>
            <w:tcW w:w="1843" w:type="dxa"/>
            <w:shd w:val="clear" w:color="auto" w:fill="auto"/>
            <w:vAlign w:val="center"/>
          </w:tcPr>
          <w:p>
            <w:pPr>
              <w:pStyle w:val="14"/>
              <w:spacing w:line="240" w:lineRule="auto"/>
              <w:rPr>
                <w:rFonts w:ascii="Times New Roman" w:hAnsi="Times New Roman" w:eastAsia="仿宋_GB2312" w:cs="Times New Roman"/>
                <w:kern w:val="2"/>
                <w:szCs w:val="22"/>
              </w:rPr>
            </w:pPr>
            <w:r>
              <w:rPr>
                <w:rFonts w:ascii="Times New Roman" w:hAnsi="Times New Roman" w:eastAsia="仿宋_GB2312" w:cs="Times New Roman"/>
                <w:kern w:val="2"/>
                <w:szCs w:val="22"/>
                <w:lang w:eastAsia="zh-CN"/>
              </w:rPr>
              <w:t>≥95%</w:t>
            </w:r>
          </w:p>
        </w:tc>
        <w:tc>
          <w:tcPr>
            <w:tcW w:w="2155" w:type="dxa"/>
            <w:shd w:val="clear" w:color="auto" w:fill="auto"/>
            <w:vAlign w:val="center"/>
          </w:tcPr>
          <w:p>
            <w:pPr>
              <w:pStyle w:val="14"/>
              <w:spacing w:line="240" w:lineRule="auto"/>
              <w:rPr>
                <w:rFonts w:ascii="Times New Roman" w:hAnsi="Times New Roman" w:eastAsia="仿宋_GB2312" w:cs="Times New Roman"/>
                <w:kern w:val="2"/>
                <w:szCs w:val="22"/>
              </w:rPr>
            </w:pPr>
            <w:r>
              <w:rPr>
                <w:rFonts w:ascii="Times New Roman" w:hAnsi="Times New Roman" w:eastAsia="仿宋_GB2312" w:cs="Times New Roman"/>
                <w:kern w:val="2"/>
                <w:szCs w:val="22"/>
                <w:lang w:eastAsia="zh-CN"/>
              </w:rPr>
              <w:t>调查问卷</w:t>
            </w:r>
          </w:p>
        </w:tc>
      </w:tr>
    </w:tbl>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79"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1"/>
    <w:p>
      <w:pPr>
        <w:spacing w:line="579" w:lineRule="exact"/>
        <w:jc w:val="center"/>
        <w:outlineLvl w:val="1"/>
        <w:rPr>
          <w:rFonts w:ascii="方正小标宋_GBK" w:eastAsia="方正小标宋_GBK" w:cs="Times New Roman"/>
          <w:sz w:val="32"/>
        </w:rPr>
      </w:pPr>
      <w:bookmarkStart w:id="2" w:name="_Toc64920910"/>
      <w:r>
        <w:rPr>
          <w:rFonts w:hint="eastAsia" w:ascii="方正小标宋_GBK" w:eastAsia="方正小标宋_GBK" w:cs="Times New Roman"/>
          <w:sz w:val="32"/>
        </w:rPr>
        <w:t>部门政府采购预算</w:t>
      </w:r>
      <w:bookmarkEnd w:id="2"/>
    </w:p>
    <w:p>
      <w:pPr>
        <w:spacing w:line="579" w:lineRule="exact"/>
        <w:jc w:val="center"/>
        <w:outlineLvl w:val="1"/>
        <w:rPr>
          <w:rFonts w:ascii="方正小标宋_GBK" w:eastAsia="方正小标宋_GBK" w:cs="Times New Roman"/>
          <w:sz w:val="32"/>
        </w:rPr>
      </w:pPr>
      <w:r>
        <w:t>廊坊市</w:t>
      </w:r>
      <w:r>
        <w:rPr>
          <w:rFonts w:hint="eastAsia"/>
        </w:rPr>
        <w:t>广阳区第六幼儿园</w:t>
      </w:r>
      <w:r>
        <w:t xml:space="preserve">                                                                                                  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2"/>
              <w:spacing w:line="579" w:lineRule="exact"/>
            </w:pPr>
            <w:r>
              <w:t>政府采购项目来源</w:t>
            </w:r>
          </w:p>
        </w:tc>
        <w:tc>
          <w:tcPr>
            <w:tcW w:w="1134" w:type="dxa"/>
            <w:vMerge w:val="restart"/>
            <w:vAlign w:val="center"/>
          </w:tcPr>
          <w:p>
            <w:pPr>
              <w:pStyle w:val="12"/>
              <w:spacing w:line="579" w:lineRule="exact"/>
            </w:pPr>
            <w:r>
              <w:t>采购物品名称</w:t>
            </w:r>
          </w:p>
        </w:tc>
        <w:tc>
          <w:tcPr>
            <w:tcW w:w="1134" w:type="dxa"/>
            <w:vMerge w:val="restart"/>
            <w:vAlign w:val="center"/>
          </w:tcPr>
          <w:p>
            <w:pPr>
              <w:pStyle w:val="12"/>
              <w:spacing w:line="579" w:lineRule="exact"/>
            </w:pPr>
            <w:r>
              <w:t>政府采购目录序号</w:t>
            </w:r>
          </w:p>
        </w:tc>
        <w:tc>
          <w:tcPr>
            <w:tcW w:w="709" w:type="dxa"/>
            <w:vMerge w:val="restart"/>
            <w:vAlign w:val="center"/>
          </w:tcPr>
          <w:p>
            <w:pPr>
              <w:pStyle w:val="12"/>
              <w:spacing w:line="579" w:lineRule="exact"/>
            </w:pPr>
            <w:r>
              <w:t>计量  单位</w:t>
            </w:r>
          </w:p>
        </w:tc>
        <w:tc>
          <w:tcPr>
            <w:tcW w:w="850" w:type="dxa"/>
            <w:vMerge w:val="restart"/>
            <w:vAlign w:val="center"/>
          </w:tcPr>
          <w:p>
            <w:pPr>
              <w:pStyle w:val="12"/>
              <w:spacing w:line="579" w:lineRule="exact"/>
            </w:pPr>
            <w:r>
              <w:t>数量</w:t>
            </w:r>
          </w:p>
        </w:tc>
        <w:tc>
          <w:tcPr>
            <w:tcW w:w="850" w:type="dxa"/>
            <w:vMerge w:val="restart"/>
            <w:vAlign w:val="center"/>
          </w:tcPr>
          <w:p>
            <w:pPr>
              <w:pStyle w:val="12"/>
              <w:spacing w:line="579" w:lineRule="exact"/>
            </w:pPr>
            <w:r>
              <w:t>单价</w:t>
            </w:r>
          </w:p>
        </w:tc>
        <w:tc>
          <w:tcPr>
            <w:tcW w:w="7712" w:type="dxa"/>
            <w:gridSpan w:val="8"/>
            <w:vAlign w:val="center"/>
          </w:tcPr>
          <w:p>
            <w:pPr>
              <w:pStyle w:val="12"/>
              <w:spacing w:line="579" w:lineRule="exact"/>
            </w:pPr>
            <w:r>
              <w:t>政府采购金额（当年部门预算安排资金）</w:t>
            </w:r>
          </w:p>
        </w:tc>
        <w:tc>
          <w:tcPr>
            <w:tcW w:w="964" w:type="dxa"/>
            <w:vMerge w:val="restart"/>
            <w:vAlign w:val="center"/>
          </w:tcPr>
          <w:p>
            <w:pPr>
              <w:pStyle w:val="12"/>
              <w:spacing w:line="579" w:lineRule="exact"/>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vAlign w:val="center"/>
          </w:tcPr>
          <w:p>
            <w:pPr>
              <w:pStyle w:val="12"/>
              <w:spacing w:line="579" w:lineRule="exact"/>
            </w:pPr>
            <w:r>
              <w:t>项目名称</w:t>
            </w:r>
          </w:p>
        </w:tc>
        <w:tc>
          <w:tcPr>
            <w:tcW w:w="964" w:type="dxa"/>
            <w:vAlign w:val="center"/>
          </w:tcPr>
          <w:p>
            <w:pPr>
              <w:pStyle w:val="12"/>
              <w:spacing w:line="579" w:lineRule="exact"/>
            </w:pPr>
            <w:r>
              <w:t>预算    资金</w:t>
            </w:r>
          </w:p>
        </w:tc>
        <w:tc>
          <w:tcPr>
            <w:tcW w:w="1134" w:type="dxa"/>
            <w:vMerge w:val="continue"/>
          </w:tcPr>
          <w:p>
            <w:pPr>
              <w:spacing w:line="579" w:lineRule="exact"/>
            </w:pPr>
          </w:p>
        </w:tc>
        <w:tc>
          <w:tcPr>
            <w:tcW w:w="1134" w:type="dxa"/>
            <w:vMerge w:val="continue"/>
          </w:tcPr>
          <w:p>
            <w:pPr>
              <w:spacing w:line="579" w:lineRule="exact"/>
            </w:pPr>
          </w:p>
        </w:tc>
        <w:tc>
          <w:tcPr>
            <w:tcW w:w="709" w:type="dxa"/>
            <w:vMerge w:val="continue"/>
          </w:tcPr>
          <w:p>
            <w:pPr>
              <w:spacing w:line="579" w:lineRule="exact"/>
            </w:pPr>
          </w:p>
        </w:tc>
        <w:tc>
          <w:tcPr>
            <w:tcW w:w="850" w:type="dxa"/>
            <w:vMerge w:val="continue"/>
          </w:tcPr>
          <w:p>
            <w:pPr>
              <w:spacing w:line="579" w:lineRule="exact"/>
            </w:pPr>
          </w:p>
        </w:tc>
        <w:tc>
          <w:tcPr>
            <w:tcW w:w="850" w:type="dxa"/>
            <w:vMerge w:val="continue"/>
          </w:tcPr>
          <w:p>
            <w:pPr>
              <w:spacing w:line="579" w:lineRule="exact"/>
            </w:pPr>
          </w:p>
        </w:tc>
        <w:tc>
          <w:tcPr>
            <w:tcW w:w="964" w:type="dxa"/>
            <w:vAlign w:val="center"/>
          </w:tcPr>
          <w:p>
            <w:pPr>
              <w:pStyle w:val="12"/>
              <w:spacing w:line="579" w:lineRule="exact"/>
            </w:pPr>
            <w:r>
              <w:t>合计</w:t>
            </w:r>
          </w:p>
        </w:tc>
        <w:tc>
          <w:tcPr>
            <w:tcW w:w="964" w:type="dxa"/>
            <w:vAlign w:val="center"/>
          </w:tcPr>
          <w:p>
            <w:pPr>
              <w:pStyle w:val="12"/>
              <w:spacing w:line="579" w:lineRule="exact"/>
            </w:pPr>
            <w:r>
              <w:t>一般公共预算拨款</w:t>
            </w:r>
          </w:p>
        </w:tc>
        <w:tc>
          <w:tcPr>
            <w:tcW w:w="964" w:type="dxa"/>
            <w:vAlign w:val="center"/>
          </w:tcPr>
          <w:p>
            <w:pPr>
              <w:pStyle w:val="12"/>
              <w:spacing w:line="579" w:lineRule="exact"/>
            </w:pPr>
            <w:r>
              <w:t>基金预算拨款</w:t>
            </w:r>
          </w:p>
        </w:tc>
        <w:tc>
          <w:tcPr>
            <w:tcW w:w="964" w:type="dxa"/>
            <w:vAlign w:val="center"/>
          </w:tcPr>
          <w:p>
            <w:pPr>
              <w:pStyle w:val="12"/>
              <w:spacing w:line="579" w:lineRule="exact"/>
            </w:pPr>
            <w:r>
              <w:t>国有资本经营预算拨款</w:t>
            </w:r>
          </w:p>
        </w:tc>
        <w:tc>
          <w:tcPr>
            <w:tcW w:w="964" w:type="dxa"/>
            <w:vAlign w:val="center"/>
          </w:tcPr>
          <w:p>
            <w:pPr>
              <w:pStyle w:val="12"/>
              <w:spacing w:line="579" w:lineRule="exact"/>
            </w:pPr>
            <w:r>
              <w:t>财政专户核拨</w:t>
            </w:r>
          </w:p>
        </w:tc>
        <w:tc>
          <w:tcPr>
            <w:tcW w:w="964" w:type="dxa"/>
            <w:vAlign w:val="center"/>
          </w:tcPr>
          <w:p>
            <w:pPr>
              <w:pStyle w:val="12"/>
              <w:spacing w:line="579" w:lineRule="exact"/>
            </w:pPr>
            <w:r>
              <w:t>单位    资金</w:t>
            </w:r>
          </w:p>
        </w:tc>
        <w:tc>
          <w:tcPr>
            <w:tcW w:w="964" w:type="dxa"/>
            <w:vAlign w:val="center"/>
          </w:tcPr>
          <w:p>
            <w:pPr>
              <w:pStyle w:val="12"/>
              <w:spacing w:line="579" w:lineRule="exact"/>
            </w:pPr>
            <w:r>
              <w:t>财政拨    款结转</w:t>
            </w:r>
          </w:p>
        </w:tc>
        <w:tc>
          <w:tcPr>
            <w:tcW w:w="964" w:type="dxa"/>
            <w:vAlign w:val="center"/>
          </w:tcPr>
          <w:p>
            <w:pPr>
              <w:pStyle w:val="12"/>
              <w:spacing w:line="579" w:lineRule="exact"/>
            </w:pPr>
            <w:r>
              <w:t>非财政    拨款结    转结余</w:t>
            </w:r>
          </w:p>
        </w:tc>
        <w:tc>
          <w:tcPr>
            <w:tcW w:w="964" w:type="dxa"/>
            <w:vMerge w:val="continue"/>
          </w:tcPr>
          <w:p>
            <w:pPr>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spacing w:line="579" w:lineRule="exact"/>
            </w:pPr>
            <w:r>
              <w:t>合  计</w:t>
            </w:r>
          </w:p>
        </w:tc>
        <w:tc>
          <w:tcPr>
            <w:tcW w:w="964" w:type="dxa"/>
            <w:vAlign w:val="center"/>
          </w:tcPr>
          <w:p>
            <w:pPr>
              <w:pStyle w:val="17"/>
              <w:spacing w:line="579" w:lineRule="exact"/>
            </w:pPr>
          </w:p>
        </w:tc>
        <w:tc>
          <w:tcPr>
            <w:tcW w:w="1134" w:type="dxa"/>
            <w:vAlign w:val="center"/>
          </w:tcPr>
          <w:p>
            <w:pPr>
              <w:pStyle w:val="18"/>
              <w:spacing w:line="579" w:lineRule="exact"/>
            </w:pPr>
          </w:p>
        </w:tc>
        <w:tc>
          <w:tcPr>
            <w:tcW w:w="1134" w:type="dxa"/>
            <w:vAlign w:val="center"/>
          </w:tcPr>
          <w:p>
            <w:pPr>
              <w:pStyle w:val="18"/>
              <w:spacing w:line="579" w:lineRule="exact"/>
            </w:pPr>
          </w:p>
        </w:tc>
        <w:tc>
          <w:tcPr>
            <w:tcW w:w="709" w:type="dxa"/>
            <w:vAlign w:val="center"/>
          </w:tcPr>
          <w:p>
            <w:pPr>
              <w:pStyle w:val="16"/>
              <w:spacing w:line="579" w:lineRule="exact"/>
            </w:pPr>
          </w:p>
        </w:tc>
        <w:tc>
          <w:tcPr>
            <w:tcW w:w="850" w:type="dxa"/>
            <w:vAlign w:val="center"/>
          </w:tcPr>
          <w:p>
            <w:pPr>
              <w:pStyle w:val="17"/>
              <w:spacing w:line="579" w:lineRule="exact"/>
            </w:pPr>
          </w:p>
        </w:tc>
        <w:tc>
          <w:tcPr>
            <w:tcW w:w="850"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spacing w:line="579" w:lineRule="exact"/>
            </w:pPr>
          </w:p>
        </w:tc>
        <w:tc>
          <w:tcPr>
            <w:tcW w:w="964" w:type="dxa"/>
            <w:vAlign w:val="center"/>
          </w:tcPr>
          <w:p>
            <w:pPr>
              <w:pStyle w:val="17"/>
              <w:spacing w:line="579" w:lineRule="exact"/>
            </w:pPr>
          </w:p>
        </w:tc>
        <w:tc>
          <w:tcPr>
            <w:tcW w:w="1134" w:type="dxa"/>
            <w:vAlign w:val="center"/>
          </w:tcPr>
          <w:p>
            <w:pPr>
              <w:pStyle w:val="18"/>
              <w:spacing w:line="579" w:lineRule="exact"/>
            </w:pPr>
          </w:p>
        </w:tc>
        <w:tc>
          <w:tcPr>
            <w:tcW w:w="1134" w:type="dxa"/>
            <w:vAlign w:val="center"/>
          </w:tcPr>
          <w:p>
            <w:pPr>
              <w:pStyle w:val="18"/>
              <w:spacing w:line="579" w:lineRule="exact"/>
            </w:pPr>
          </w:p>
        </w:tc>
        <w:tc>
          <w:tcPr>
            <w:tcW w:w="709" w:type="dxa"/>
            <w:vAlign w:val="center"/>
          </w:tcPr>
          <w:p>
            <w:pPr>
              <w:pStyle w:val="16"/>
              <w:spacing w:line="579" w:lineRule="exact"/>
            </w:pPr>
          </w:p>
        </w:tc>
        <w:tc>
          <w:tcPr>
            <w:tcW w:w="850" w:type="dxa"/>
            <w:vAlign w:val="center"/>
          </w:tcPr>
          <w:p>
            <w:pPr>
              <w:pStyle w:val="17"/>
              <w:spacing w:line="579" w:lineRule="exact"/>
            </w:pPr>
          </w:p>
        </w:tc>
        <w:tc>
          <w:tcPr>
            <w:tcW w:w="850"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c>
          <w:tcPr>
            <w:tcW w:w="964" w:type="dxa"/>
            <w:vAlign w:val="center"/>
          </w:tcPr>
          <w:p>
            <w:pPr>
              <w:pStyle w:val="17"/>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spacing w:line="579" w:lineRule="exact"/>
            </w:pPr>
          </w:p>
        </w:tc>
        <w:tc>
          <w:tcPr>
            <w:tcW w:w="964" w:type="dxa"/>
            <w:vAlign w:val="center"/>
          </w:tcPr>
          <w:p>
            <w:pPr>
              <w:pStyle w:val="13"/>
              <w:spacing w:line="579" w:lineRule="exact"/>
            </w:pPr>
          </w:p>
        </w:tc>
        <w:tc>
          <w:tcPr>
            <w:tcW w:w="1134" w:type="dxa"/>
            <w:vAlign w:val="center"/>
          </w:tcPr>
          <w:p>
            <w:pPr>
              <w:pStyle w:val="14"/>
              <w:spacing w:line="579" w:lineRule="exact"/>
            </w:pPr>
          </w:p>
        </w:tc>
        <w:tc>
          <w:tcPr>
            <w:tcW w:w="1134" w:type="dxa"/>
            <w:vAlign w:val="center"/>
          </w:tcPr>
          <w:p>
            <w:pPr>
              <w:pStyle w:val="14"/>
              <w:spacing w:line="579" w:lineRule="exact"/>
            </w:pPr>
          </w:p>
        </w:tc>
        <w:tc>
          <w:tcPr>
            <w:tcW w:w="709" w:type="dxa"/>
            <w:vAlign w:val="center"/>
          </w:tcPr>
          <w:p>
            <w:pPr>
              <w:pStyle w:val="15"/>
              <w:spacing w:line="579" w:lineRule="exact"/>
            </w:pPr>
          </w:p>
        </w:tc>
        <w:tc>
          <w:tcPr>
            <w:tcW w:w="850" w:type="dxa"/>
            <w:vAlign w:val="center"/>
          </w:tcPr>
          <w:p>
            <w:pPr>
              <w:pStyle w:val="13"/>
              <w:spacing w:line="579" w:lineRule="exact"/>
            </w:pPr>
          </w:p>
        </w:tc>
        <w:tc>
          <w:tcPr>
            <w:tcW w:w="850"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spacing w:line="579" w:lineRule="exact"/>
            </w:pPr>
          </w:p>
        </w:tc>
        <w:tc>
          <w:tcPr>
            <w:tcW w:w="964" w:type="dxa"/>
            <w:vAlign w:val="center"/>
          </w:tcPr>
          <w:p>
            <w:pPr>
              <w:pStyle w:val="13"/>
              <w:spacing w:line="579" w:lineRule="exact"/>
            </w:pPr>
          </w:p>
        </w:tc>
        <w:tc>
          <w:tcPr>
            <w:tcW w:w="1134" w:type="dxa"/>
            <w:vAlign w:val="center"/>
          </w:tcPr>
          <w:p>
            <w:pPr>
              <w:pStyle w:val="14"/>
              <w:spacing w:line="579" w:lineRule="exact"/>
            </w:pPr>
          </w:p>
        </w:tc>
        <w:tc>
          <w:tcPr>
            <w:tcW w:w="1134" w:type="dxa"/>
            <w:vAlign w:val="center"/>
          </w:tcPr>
          <w:p>
            <w:pPr>
              <w:pStyle w:val="14"/>
              <w:spacing w:line="579" w:lineRule="exact"/>
            </w:pPr>
          </w:p>
        </w:tc>
        <w:tc>
          <w:tcPr>
            <w:tcW w:w="709" w:type="dxa"/>
            <w:vAlign w:val="center"/>
          </w:tcPr>
          <w:p>
            <w:pPr>
              <w:pStyle w:val="15"/>
              <w:spacing w:line="579" w:lineRule="exact"/>
            </w:pPr>
          </w:p>
        </w:tc>
        <w:tc>
          <w:tcPr>
            <w:tcW w:w="850" w:type="dxa"/>
            <w:vAlign w:val="center"/>
          </w:tcPr>
          <w:p>
            <w:pPr>
              <w:pStyle w:val="13"/>
              <w:spacing w:line="579" w:lineRule="exact"/>
            </w:pPr>
          </w:p>
        </w:tc>
        <w:tc>
          <w:tcPr>
            <w:tcW w:w="850"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4"/>
              <w:spacing w:line="579" w:lineRule="exact"/>
            </w:pPr>
          </w:p>
        </w:tc>
        <w:tc>
          <w:tcPr>
            <w:tcW w:w="964" w:type="dxa"/>
            <w:vAlign w:val="center"/>
          </w:tcPr>
          <w:p>
            <w:pPr>
              <w:pStyle w:val="13"/>
              <w:spacing w:line="579" w:lineRule="exact"/>
            </w:pPr>
          </w:p>
        </w:tc>
        <w:tc>
          <w:tcPr>
            <w:tcW w:w="1134" w:type="dxa"/>
            <w:vAlign w:val="center"/>
          </w:tcPr>
          <w:p>
            <w:pPr>
              <w:pStyle w:val="14"/>
              <w:spacing w:line="579" w:lineRule="exact"/>
            </w:pPr>
          </w:p>
        </w:tc>
        <w:tc>
          <w:tcPr>
            <w:tcW w:w="1134" w:type="dxa"/>
            <w:vAlign w:val="center"/>
          </w:tcPr>
          <w:p>
            <w:pPr>
              <w:pStyle w:val="14"/>
              <w:spacing w:line="579" w:lineRule="exact"/>
            </w:pPr>
          </w:p>
        </w:tc>
        <w:tc>
          <w:tcPr>
            <w:tcW w:w="709" w:type="dxa"/>
            <w:vAlign w:val="center"/>
          </w:tcPr>
          <w:p>
            <w:pPr>
              <w:pStyle w:val="15"/>
              <w:spacing w:line="579" w:lineRule="exact"/>
            </w:pPr>
          </w:p>
        </w:tc>
        <w:tc>
          <w:tcPr>
            <w:tcW w:w="850" w:type="dxa"/>
            <w:vAlign w:val="center"/>
          </w:tcPr>
          <w:p>
            <w:pPr>
              <w:pStyle w:val="13"/>
              <w:spacing w:line="579" w:lineRule="exact"/>
            </w:pPr>
          </w:p>
        </w:tc>
        <w:tc>
          <w:tcPr>
            <w:tcW w:w="850"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c>
          <w:tcPr>
            <w:tcW w:w="964" w:type="dxa"/>
            <w:vAlign w:val="center"/>
          </w:tcPr>
          <w:p>
            <w:pPr>
              <w:pStyle w:val="13"/>
              <w:spacing w:line="579" w:lineRule="exact"/>
            </w:pPr>
          </w:p>
        </w:tc>
      </w:tr>
    </w:tbl>
    <w:p>
      <w:pPr>
        <w:spacing w:line="579"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79" w:lineRule="exact"/>
        <w:ind w:firstLine="420"/>
        <w:rPr>
          <w:rFonts w:ascii="方正仿宋_GBK" w:hAnsi="方正仿宋_GBK" w:eastAsia="方正仿宋_GBK" w:cs="方正仿宋_GBK"/>
          <w:color w:val="000000"/>
        </w:rPr>
      </w:pPr>
    </w:p>
    <w:p>
      <w:pPr>
        <w:spacing w:line="579"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79"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广阳区第六幼儿园</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总额为0万元，</w:t>
      </w:r>
      <w:r>
        <w:rPr>
          <w:rFonts w:ascii="Times New Roman" w:hAnsi="Times New Roman" w:eastAsia="仿宋_GB2312" w:cs="Times New Roman"/>
          <w:sz w:val="32"/>
          <w:szCs w:val="32"/>
        </w:rPr>
        <w:t>已列入政府采购预算</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详见</w:t>
      </w:r>
      <w:r>
        <w:rPr>
          <w:rFonts w:hint="eastAsia" w:ascii="Times New Roman" w:hAnsi="Times New Roman" w:eastAsia="仿宋_GB2312" w:cs="Times New Roman"/>
          <w:sz w:val="32"/>
          <w:szCs w:val="32"/>
        </w:rPr>
        <w:t>政府采购</w:t>
      </w:r>
      <w:r>
        <w:rPr>
          <w:rFonts w:ascii="Times New Roman" w:hAnsi="Times New Roman" w:eastAsia="仿宋_GB2312" w:cs="Times New Roman"/>
          <w:sz w:val="32"/>
          <w:szCs w:val="32"/>
        </w:rPr>
        <w:t>预算表。</w:t>
      </w:r>
    </w:p>
    <w:p>
      <w:pPr>
        <w:spacing w:line="579"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79"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rPr>
              <w:t>广阳区区</w:t>
            </w:r>
            <w:r>
              <w:rPr>
                <w:rFonts w:ascii="Times New Roman" w:hAnsi="Times New Roman" w:eastAsia="仿宋_GB2312" w:cs="Times New Roman"/>
                <w:b/>
                <w:bCs/>
                <w:kern w:val="0"/>
                <w:sz w:val="32"/>
                <w:szCs w:val="32"/>
              </w:rPr>
              <w:t>直部门固定资产占用情况表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79"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编制部门：廊坊市</w:t>
            </w:r>
            <w:r>
              <w:rPr>
                <w:rFonts w:hint="eastAsia" w:ascii="Times New Roman" w:hAnsi="Times New Roman" w:eastAsia="仿宋_GB2312" w:cs="Times New Roman"/>
                <w:kern w:val="0"/>
                <w:sz w:val="22"/>
              </w:rPr>
              <w:t>广阳区第六幼儿园</w:t>
            </w:r>
          </w:p>
        </w:tc>
        <w:tc>
          <w:tcPr>
            <w:tcW w:w="5103" w:type="dxa"/>
            <w:tcBorders>
              <w:top w:val="nil"/>
              <w:left w:val="nil"/>
              <w:bottom w:val="nil"/>
              <w:right w:val="nil"/>
            </w:tcBorders>
            <w:shd w:val="clear" w:color="auto" w:fill="auto"/>
            <w:noWrap/>
            <w:vAlign w:val="center"/>
          </w:tcPr>
          <w:p>
            <w:pPr>
              <w:widowControl/>
              <w:spacing w:line="579"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4954</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4954</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79"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c>
          <w:tcPr>
            <w:tcW w:w="5103" w:type="dxa"/>
            <w:tcBorders>
              <w:top w:val="nil"/>
              <w:left w:val="nil"/>
              <w:bottom w:val="single" w:color="auto" w:sz="4" w:space="0"/>
              <w:right w:val="single" w:color="auto" w:sz="4" w:space="0"/>
            </w:tcBorders>
            <w:shd w:val="clear" w:color="auto" w:fill="auto"/>
            <w:noWrap/>
            <w:vAlign w:val="center"/>
          </w:tcPr>
          <w:p>
            <w:pPr>
              <w:spacing w:line="579"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0</w:t>
            </w:r>
          </w:p>
        </w:tc>
      </w:tr>
    </w:tbl>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79"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79"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79"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79"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13</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230E6"/>
    <w:rsid w:val="0002587E"/>
    <w:rsid w:val="000F6018"/>
    <w:rsid w:val="00175627"/>
    <w:rsid w:val="0025632D"/>
    <w:rsid w:val="003059E0"/>
    <w:rsid w:val="004A54AA"/>
    <w:rsid w:val="007511D6"/>
    <w:rsid w:val="0082508F"/>
    <w:rsid w:val="00944233"/>
    <w:rsid w:val="00B40732"/>
    <w:rsid w:val="00B80935"/>
    <w:rsid w:val="00D012E8"/>
    <w:rsid w:val="00D347CC"/>
    <w:rsid w:val="00DC72B4"/>
    <w:rsid w:val="00E55A5A"/>
    <w:rsid w:val="01B54123"/>
    <w:rsid w:val="0997368C"/>
    <w:rsid w:val="0CEC1180"/>
    <w:rsid w:val="0F3C22B4"/>
    <w:rsid w:val="1D97156E"/>
    <w:rsid w:val="40216E2D"/>
    <w:rsid w:val="5FF7399B"/>
    <w:rsid w:val="606E69D1"/>
    <w:rsid w:val="71FE0894"/>
    <w:rsid w:val="73693C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总体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line="500" w:lineRule="exact"/>
      <w:ind w:firstLine="560"/>
      <w:jc w:val="left"/>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743</Words>
  <Characters>4236</Characters>
  <Lines>35</Lines>
  <Paragraphs>9</Paragraphs>
  <TotalTime>1</TotalTime>
  <ScaleCrop>false</ScaleCrop>
  <LinksUpToDate>false</LinksUpToDate>
  <CharactersWithSpaces>4970</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lenovo</cp:lastModifiedBy>
  <cp:lastPrinted>2018-01-30T06:12:00Z</cp:lastPrinted>
  <dcterms:modified xsi:type="dcterms:W3CDTF">2022-07-07T02:07:52Z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6AD804826AE943549EA6DB406E83BDB0</vt:lpwstr>
  </property>
</Properties>
</file>