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3" w:name="_GoBack"/>
      <w:r>
        <w:rPr>
          <w:rFonts w:hint="eastAsia" w:ascii="Times New Roman" w:hAnsi="Times New Roman" w:eastAsia="方正小标宋简体" w:cs="Times New Roman"/>
          <w:sz w:val="44"/>
          <w:szCs w:val="44"/>
        </w:rPr>
        <w:t>第二幼儿园</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广阳区第二幼儿园</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ascii="Times New Roman" w:hAnsi="Times New Roman" w:eastAsia="仿宋_GB2312" w:cs="Times New Roman"/>
          <w:sz w:val="32"/>
          <w:szCs w:val="32"/>
        </w:rPr>
      </w:pPr>
      <w:r>
        <w:rPr>
          <w:rFonts w:hint="eastAsia" w:ascii="仿宋_GB2312" w:eastAsia="仿宋_GB2312"/>
          <w:sz w:val="32"/>
          <w:szCs w:val="32"/>
        </w:rPr>
        <w:t>贯彻执行党和国家的教育方针、政策、法律法规，对3周岁以上幼儿进行保育和教育。</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noWrap w:val="0"/>
            <w:vAlign w:val="center"/>
          </w:tcPr>
          <w:p/>
        </w:tc>
        <w:tc>
          <w:tcPr>
            <w:tcW w:w="1134" w:type="dxa"/>
            <w:vMerge w:val="continue"/>
            <w:noWrap w:val="0"/>
            <w:vAlign w:val="center"/>
          </w:tcPr>
          <w:p/>
        </w:tc>
        <w:tc>
          <w:tcPr>
            <w:tcW w:w="1276" w:type="dxa"/>
            <w:vMerge w:val="continue"/>
            <w:noWrap w:val="0"/>
            <w:vAlign w:val="center"/>
          </w:tcPr>
          <w:p/>
        </w:tc>
        <w:tc>
          <w:tcPr>
            <w:tcW w:w="2902" w:type="dxa"/>
            <w:vMerge w:val="continue"/>
            <w:noWrap w:val="0"/>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noWrap w:val="0"/>
            <w:vAlign w:val="top"/>
          </w:tcPr>
          <w:p>
            <w:r>
              <w:rPr>
                <w:rFonts w:hint="eastAsia"/>
              </w:rPr>
              <w:t>廊坊市广阳区第二幼儿园</w:t>
            </w:r>
          </w:p>
        </w:tc>
        <w:tc>
          <w:tcPr>
            <w:tcW w:w="1134" w:type="dxa"/>
            <w:noWrap w:val="0"/>
            <w:vAlign w:val="top"/>
          </w:tcPr>
          <w:p>
            <w:r>
              <w:rPr>
                <w:rFonts w:hint="eastAsia"/>
              </w:rPr>
              <w:t>全额事业</w:t>
            </w:r>
          </w:p>
        </w:tc>
        <w:tc>
          <w:tcPr>
            <w:tcW w:w="1276" w:type="dxa"/>
            <w:noWrap w:val="0"/>
            <w:vAlign w:val="top"/>
          </w:tcPr>
          <w:p/>
        </w:tc>
        <w:tc>
          <w:tcPr>
            <w:tcW w:w="2902" w:type="dxa"/>
            <w:noWrap w:val="0"/>
            <w:vAlign w:val="top"/>
          </w:tcPr>
          <w:p>
            <w:r>
              <w:rPr>
                <w:rFonts w:hint="eastAsia"/>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广阳区第二幼儿园</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1010.63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1010.63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广阳区第二幼儿园2022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1010.63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747.35</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738.3</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9.05</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263.28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全部是</w:t>
      </w:r>
      <w:r>
        <w:rPr>
          <w:rFonts w:ascii="Times New Roman" w:hAnsi="Times New Roman" w:eastAsia="仿宋_GB2312" w:cs="Times New Roman"/>
          <w:sz w:val="32"/>
          <w:szCs w:val="32"/>
        </w:rPr>
        <w:t>本级支出主要为</w:t>
      </w:r>
      <w:r>
        <w:rPr>
          <w:rFonts w:hint="eastAsia" w:ascii="Times New Roman" w:hAnsi="Times New Roman" w:eastAsia="仿宋_GB2312" w:cs="Times New Roman"/>
          <w:sz w:val="32"/>
          <w:szCs w:val="32"/>
        </w:rPr>
        <w:t>合同制教师工资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幼儿日常教学经费</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1010.63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97.06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减少149.98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主要为公用经费支出减少，</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rPr>
        <w:t>247.04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支付合同制教师人员经费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我单位无</w:t>
      </w:r>
      <w:r>
        <w:rPr>
          <w:rFonts w:ascii="Times New Roman" w:hAnsi="Times New Roman" w:eastAsia="仿宋_GB2312" w:cs="Times New Roman"/>
          <w:sz w:val="32"/>
          <w:szCs w:val="32"/>
        </w:rPr>
        <w:t xml:space="preserve"> “三公”经费预算安排</w:t>
      </w:r>
      <w:r>
        <w:rPr>
          <w:rFonts w:hint="eastAsia" w:ascii="Times New Roman" w:hAnsi="Times New Roman" w:eastAsia="仿宋_GB2312" w:cs="Times New Roman"/>
          <w:sz w:val="32"/>
          <w:szCs w:val="32"/>
        </w:rPr>
        <w:t>。</w:t>
      </w:r>
    </w:p>
    <w:p>
      <w:pPr>
        <w:spacing w:line="584" w:lineRule="exact"/>
        <w:ind w:firstLine="800" w:firstLineChars="25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800" w:firstLineChars="25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1.改善办公条件，提升教育环境，开展教师培训，提高教师队伍水平</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2.降低幼儿辍学率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3.改善办园条件，促进学前教育健康发展，办好人民满意的教育</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1.正常开展教育教学活动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w:t>
      </w:r>
      <w:r>
        <w:rPr>
          <w:rFonts w:hint="eastAsia"/>
        </w:rPr>
        <w:t xml:space="preserve"> </w:t>
      </w:r>
      <w:r>
        <w:rPr>
          <w:rFonts w:hint="eastAsia" w:ascii="仿宋_GB2312" w:eastAsia="仿宋_GB2312" w:cs="Times New Roman"/>
          <w:sz w:val="32"/>
          <w:szCs w:val="32"/>
        </w:rPr>
        <w:t>购买的物资、玩教具符合国家质检标准</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3.降低辍学幼儿占幼儿总数的比例</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4.提升幼儿和家长对学校教育保育活动的满意度</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成立园领导班子、教研组长、后勤人员的规划领导小组，负责规划的制定和实施，保障资金依法依规使用。</w:t>
      </w: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4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831"/>
        <w:gridCol w:w="1319"/>
        <w:gridCol w:w="2173"/>
        <w:gridCol w:w="4289"/>
        <w:gridCol w:w="2810"/>
        <w:gridCol w:w="957"/>
        <w:gridCol w:w="529"/>
        <w:gridCol w:w="407"/>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831"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319"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173"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4289"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810"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893" w:type="dxa"/>
            <w:gridSpan w:val="3"/>
            <w:noWrap w:val="0"/>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908"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831" w:type="dxa"/>
            <w:vMerge w:val="continue"/>
            <w:noWrap w:val="0"/>
            <w:vAlign w:val="center"/>
          </w:tcPr>
          <w:p/>
        </w:tc>
        <w:tc>
          <w:tcPr>
            <w:tcW w:w="1319" w:type="dxa"/>
            <w:vMerge w:val="continue"/>
            <w:noWrap w:val="0"/>
            <w:vAlign w:val="center"/>
          </w:tcPr>
          <w:p/>
        </w:tc>
        <w:tc>
          <w:tcPr>
            <w:tcW w:w="2173" w:type="dxa"/>
            <w:vMerge w:val="continue"/>
            <w:noWrap w:val="0"/>
            <w:vAlign w:val="center"/>
          </w:tcPr>
          <w:p/>
        </w:tc>
        <w:tc>
          <w:tcPr>
            <w:tcW w:w="4289" w:type="dxa"/>
            <w:vMerge w:val="continue"/>
            <w:noWrap w:val="0"/>
            <w:vAlign w:val="center"/>
          </w:tcPr>
          <w:p/>
        </w:tc>
        <w:tc>
          <w:tcPr>
            <w:tcW w:w="2810" w:type="dxa"/>
            <w:vMerge w:val="continue"/>
            <w:noWrap w:val="0"/>
            <w:vAlign w:val="center"/>
          </w:tcPr>
          <w:p/>
        </w:tc>
        <w:tc>
          <w:tcPr>
            <w:tcW w:w="957" w:type="dxa"/>
            <w:noWrap w:val="0"/>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29" w:type="dxa"/>
            <w:noWrap w:val="0"/>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407" w:type="dxa"/>
            <w:noWrap w:val="0"/>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908" w:type="dxa"/>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831" w:type="dxa"/>
            <w:vMerge w:val="restart"/>
            <w:noWrap w:val="0"/>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1319" w:type="dxa"/>
            <w:noWrap w:val="0"/>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173"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幼儿园毕业生合格率</w:t>
            </w:r>
          </w:p>
        </w:tc>
        <w:tc>
          <w:tcPr>
            <w:tcW w:w="4289"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20分毕业生合格率100%得满分，否则不得分</w:t>
            </w:r>
          </w:p>
        </w:tc>
        <w:tc>
          <w:tcPr>
            <w:tcW w:w="2810"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幼儿园毕业生合格率</w:t>
            </w:r>
          </w:p>
        </w:tc>
        <w:tc>
          <w:tcPr>
            <w:tcW w:w="957"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529"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00</w:t>
            </w:r>
          </w:p>
        </w:tc>
        <w:tc>
          <w:tcPr>
            <w:tcW w:w="407"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天</w:t>
            </w:r>
          </w:p>
        </w:tc>
        <w:tc>
          <w:tcPr>
            <w:tcW w:w="9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31" w:type="dxa"/>
            <w:vMerge w:val="continue"/>
            <w:noWrap w:val="0"/>
            <w:vAlign w:val="center"/>
          </w:tcPr>
          <w:p/>
        </w:tc>
        <w:tc>
          <w:tcPr>
            <w:tcW w:w="1319" w:type="dxa"/>
            <w:noWrap w:val="0"/>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数量</w:t>
            </w:r>
          </w:p>
        </w:tc>
        <w:tc>
          <w:tcPr>
            <w:tcW w:w="2173"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4289"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10分不低于95%得满分，否则不得分5每减少1%扣1分，扣完为止</w:t>
            </w:r>
          </w:p>
        </w:tc>
        <w:tc>
          <w:tcPr>
            <w:tcW w:w="2810"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957"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529" w:type="dxa"/>
            <w:noWrap w:val="0"/>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98</w:t>
            </w:r>
          </w:p>
        </w:tc>
        <w:tc>
          <w:tcPr>
            <w:tcW w:w="407" w:type="dxa"/>
            <w:noWrap w:val="0"/>
            <w:vAlign w:val="center"/>
          </w:tcPr>
          <w:p>
            <w:pPr>
              <w:widowControl/>
              <w:adjustRightInd w:val="0"/>
              <w:snapToGrid w:val="0"/>
              <w:jc w:val="center"/>
              <w:rPr>
                <w:rFonts w:hint="eastAsia" w:ascii="仿宋_GB2312" w:hAnsi="仿宋_GB2312" w:eastAsia="仿宋_GB2312" w:cs="仿宋_GB2312"/>
              </w:rPr>
            </w:pPr>
          </w:p>
        </w:tc>
        <w:tc>
          <w:tcPr>
            <w:tcW w:w="908"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31" w:type="dxa"/>
            <w:vMerge w:val="continue"/>
            <w:noWrap w:val="0"/>
            <w:vAlign w:val="center"/>
          </w:tcPr>
          <w:p/>
        </w:tc>
        <w:tc>
          <w:tcPr>
            <w:tcW w:w="1319" w:type="dxa"/>
            <w:noWrap w:val="0"/>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2173"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4289"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20分合格率100%得满分，否则不得分</w:t>
            </w:r>
          </w:p>
        </w:tc>
        <w:tc>
          <w:tcPr>
            <w:tcW w:w="2810"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957"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529"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407"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908"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31" w:type="dxa"/>
            <w:noWrap w:val="0"/>
            <w:vAlign w:val="center"/>
          </w:tcPr>
          <w:p>
            <w:pPr>
              <w:adjustRightInd w:val="0"/>
              <w:snapToGrid w:val="0"/>
              <w:jc w:val="center"/>
              <w:rPr>
                <w:rFonts w:ascii="方正书宋_GBK" w:eastAsia="方正书宋_GBK"/>
              </w:rPr>
            </w:pPr>
          </w:p>
        </w:tc>
        <w:tc>
          <w:tcPr>
            <w:tcW w:w="1319" w:type="dxa"/>
            <w:noWrap w:val="0"/>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时效</w:t>
            </w:r>
          </w:p>
        </w:tc>
        <w:tc>
          <w:tcPr>
            <w:tcW w:w="2173"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学校的各项工作任务及时完成情况</w:t>
            </w:r>
          </w:p>
        </w:tc>
        <w:tc>
          <w:tcPr>
            <w:tcW w:w="4289"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10分及时完成得满分，否则不得分</w:t>
            </w:r>
          </w:p>
        </w:tc>
        <w:tc>
          <w:tcPr>
            <w:tcW w:w="2810"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幼儿园的各项工作任务及时完成情况</w:t>
            </w:r>
          </w:p>
        </w:tc>
        <w:tc>
          <w:tcPr>
            <w:tcW w:w="957" w:type="dxa"/>
            <w:noWrap w:val="0"/>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文字描述</w:t>
            </w:r>
          </w:p>
        </w:tc>
        <w:tc>
          <w:tcPr>
            <w:tcW w:w="529" w:type="dxa"/>
            <w:noWrap w:val="0"/>
            <w:vAlign w:val="center"/>
          </w:tcPr>
          <w:p>
            <w:pPr>
              <w:widowControl/>
              <w:adjustRightInd w:val="0"/>
              <w:snapToGrid w:val="0"/>
              <w:jc w:val="center"/>
              <w:rPr>
                <w:rFonts w:hint="eastAsia" w:ascii="仿宋_GB2312" w:hAnsi="仿宋_GB2312" w:eastAsia="仿宋_GB2312" w:cs="仿宋_GB2312"/>
              </w:rPr>
            </w:pPr>
          </w:p>
        </w:tc>
        <w:tc>
          <w:tcPr>
            <w:tcW w:w="407" w:type="dxa"/>
            <w:noWrap w:val="0"/>
            <w:vAlign w:val="center"/>
          </w:tcPr>
          <w:p>
            <w:pPr>
              <w:widowControl/>
              <w:adjustRightInd w:val="0"/>
              <w:snapToGrid w:val="0"/>
              <w:jc w:val="center"/>
              <w:rPr>
                <w:rFonts w:hint="eastAsia" w:ascii="仿宋_GB2312" w:hAnsi="仿宋_GB2312" w:eastAsia="仿宋_GB2312" w:cs="仿宋_GB2312"/>
              </w:rPr>
            </w:pPr>
          </w:p>
        </w:tc>
        <w:tc>
          <w:tcPr>
            <w:tcW w:w="908"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31" w:type="dxa"/>
            <w:noWrap w:val="0"/>
            <w:vAlign w:val="center"/>
          </w:tcPr>
          <w:p>
            <w:pPr>
              <w:adjustRightInd w:val="0"/>
              <w:snapToGrid w:val="0"/>
              <w:jc w:val="center"/>
              <w:rPr>
                <w:rFonts w:ascii="方正书宋_GBK" w:eastAsia="方正书宋_GBK"/>
              </w:rPr>
            </w:pPr>
          </w:p>
        </w:tc>
        <w:tc>
          <w:tcPr>
            <w:tcW w:w="1319" w:type="dxa"/>
            <w:noWrap w:val="0"/>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成本</w:t>
            </w:r>
          </w:p>
        </w:tc>
        <w:tc>
          <w:tcPr>
            <w:tcW w:w="2173"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教育经费使用控制率</w:t>
            </w:r>
          </w:p>
        </w:tc>
        <w:tc>
          <w:tcPr>
            <w:tcW w:w="4289"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10分教育经费决算数不大于调整预算数得满分，否则不得分</w:t>
            </w:r>
          </w:p>
        </w:tc>
        <w:tc>
          <w:tcPr>
            <w:tcW w:w="2810"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支出的公用经费总额与预算安排的比率</w:t>
            </w:r>
          </w:p>
        </w:tc>
        <w:tc>
          <w:tcPr>
            <w:tcW w:w="957" w:type="dxa"/>
            <w:noWrap w:val="0"/>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文字描述</w:t>
            </w:r>
          </w:p>
        </w:tc>
        <w:tc>
          <w:tcPr>
            <w:tcW w:w="529" w:type="dxa"/>
            <w:noWrap w:val="0"/>
            <w:vAlign w:val="center"/>
          </w:tcPr>
          <w:p>
            <w:pPr>
              <w:widowControl/>
              <w:adjustRightInd w:val="0"/>
              <w:snapToGrid w:val="0"/>
              <w:jc w:val="center"/>
              <w:rPr>
                <w:rFonts w:hint="eastAsia" w:ascii="仿宋_GB2312" w:hAnsi="仿宋_GB2312" w:eastAsia="仿宋_GB2312" w:cs="仿宋_GB2312"/>
              </w:rPr>
            </w:pPr>
          </w:p>
        </w:tc>
        <w:tc>
          <w:tcPr>
            <w:tcW w:w="407" w:type="dxa"/>
            <w:noWrap w:val="0"/>
            <w:vAlign w:val="center"/>
          </w:tcPr>
          <w:p>
            <w:pPr>
              <w:widowControl/>
              <w:adjustRightInd w:val="0"/>
              <w:snapToGrid w:val="0"/>
              <w:jc w:val="center"/>
              <w:rPr>
                <w:rFonts w:hint="eastAsia" w:ascii="仿宋_GB2312" w:hAnsi="仿宋_GB2312" w:eastAsia="仿宋_GB2312" w:cs="仿宋_GB2312"/>
              </w:rPr>
            </w:pPr>
          </w:p>
        </w:tc>
        <w:tc>
          <w:tcPr>
            <w:tcW w:w="908"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31" w:type="dxa"/>
            <w:vMerge w:val="restart"/>
            <w:noWrap w:val="0"/>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1319" w:type="dxa"/>
            <w:noWrap w:val="0"/>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2173"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4289"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10分学生、家长、社会对学校整体满意度达到95%得满分，每降低1%扣1分，扣完为止。</w:t>
            </w:r>
          </w:p>
        </w:tc>
        <w:tc>
          <w:tcPr>
            <w:tcW w:w="2810"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957"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529" w:type="dxa"/>
            <w:noWrap w:val="0"/>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407"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908"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831" w:type="dxa"/>
            <w:vMerge w:val="continue"/>
            <w:noWrap w:val="0"/>
            <w:vAlign w:val="center"/>
          </w:tcPr>
          <w:p/>
        </w:tc>
        <w:tc>
          <w:tcPr>
            <w:tcW w:w="1319" w:type="dxa"/>
            <w:noWrap w:val="0"/>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2173" w:type="dxa"/>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在园师幼的满意程度</w:t>
            </w:r>
          </w:p>
        </w:tc>
        <w:tc>
          <w:tcPr>
            <w:tcW w:w="4289" w:type="dxa"/>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10分在园师幼的满意度达到95%得满分，每降低1%扣1分，扣完为止。</w:t>
            </w:r>
          </w:p>
        </w:tc>
        <w:tc>
          <w:tcPr>
            <w:tcW w:w="2810" w:type="dxa"/>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在园师幼的满意程度</w:t>
            </w:r>
          </w:p>
        </w:tc>
        <w:tc>
          <w:tcPr>
            <w:tcW w:w="957"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 xml:space="preserve"> ≥</w:t>
            </w:r>
          </w:p>
        </w:tc>
        <w:tc>
          <w:tcPr>
            <w:tcW w:w="529" w:type="dxa"/>
            <w:noWrap w:val="0"/>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95</w:t>
            </w:r>
          </w:p>
        </w:tc>
        <w:tc>
          <w:tcPr>
            <w:tcW w:w="407"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 xml:space="preserve">  %</w:t>
            </w:r>
          </w:p>
        </w:tc>
        <w:tc>
          <w:tcPr>
            <w:tcW w:w="908"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831" w:type="dxa"/>
            <w:noWrap w:val="0"/>
            <w:vAlign w:val="center"/>
          </w:tcPr>
          <w:p/>
        </w:tc>
        <w:tc>
          <w:tcPr>
            <w:tcW w:w="1319" w:type="dxa"/>
            <w:noWrap w:val="0"/>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满意度</w:t>
            </w:r>
          </w:p>
        </w:tc>
        <w:tc>
          <w:tcPr>
            <w:tcW w:w="2173" w:type="dxa"/>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4289" w:type="dxa"/>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10分家长的满意度达到95%得满分，每降低1%扣1分，扣完为止。</w:t>
            </w:r>
          </w:p>
        </w:tc>
        <w:tc>
          <w:tcPr>
            <w:tcW w:w="2810" w:type="dxa"/>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957"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529" w:type="dxa"/>
            <w:noWrap w:val="0"/>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407" w:type="dxa"/>
            <w:noWrap w:val="0"/>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908" w:type="dxa"/>
            <w:noWrap w:val="0"/>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调查问卷</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line="58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bookmarkStart w:id="0" w:name="_Toc29799657"/>
      <w:bookmarkEnd w:id="0"/>
      <w:r>
        <w:rPr>
          <w:rFonts w:hint="eastAsia" w:ascii="仿宋_GB2312" w:hAnsi="仿宋_GB2312" w:eastAsia="仿宋_GB2312" w:cs="仿宋_GB2312"/>
          <w:sz w:val="32"/>
          <w:szCs w:val="32"/>
        </w:rPr>
        <w:t xml:space="preserve"> 幼儿园生均经费区级资金绩效目标表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1.按项目实施方案及时、准确的统计在校学生人数，按照绩效管理的要求及时上报汇总申请资金，按照文件要求合理、合规保障学校运转及事业发展。</w:t>
            </w:r>
          </w:p>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2.保障义务教育学校运转，改善学校基本办学条件，促进义务教育均衡发展及学生素质提高。</w:t>
            </w:r>
          </w:p>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3.广阳二幼对2022年在校学生380人，按照义务教育生均公用经费标准申请财政预算资金，通过合理、合规使用资金达到保证学校正常运转，改善办学条件，促进义务教育发展。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843"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指标值</w:t>
            </w:r>
          </w:p>
        </w:tc>
        <w:tc>
          <w:tcPr>
            <w:tcW w:w="2155"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数量指标</w:t>
            </w:r>
          </w:p>
        </w:tc>
        <w:tc>
          <w:tcPr>
            <w:tcW w:w="198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申请生均公用经费的学生人数</w:t>
            </w:r>
          </w:p>
        </w:tc>
        <w:tc>
          <w:tcPr>
            <w:tcW w:w="3402"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按文件要求申请生均公用经费的学生人数</w:t>
            </w:r>
          </w:p>
        </w:tc>
        <w:tc>
          <w:tcPr>
            <w:tcW w:w="1843" w:type="dxa"/>
            <w:noWrap w:val="0"/>
            <w:vAlign w:val="center"/>
          </w:tcPr>
          <w:p>
            <w:pPr>
              <w:pStyle w:val="14"/>
              <w:rPr>
                <w:rFonts w:hint="default" w:ascii="仿宋_GB2312" w:hAnsi="仿宋_GB2312" w:eastAsia="仿宋_GB2312" w:cs="仿宋_GB2312"/>
                <w:kern w:val="2"/>
                <w:szCs w:val="22"/>
                <w:lang w:val="en-US" w:eastAsia="zh-CN"/>
              </w:rPr>
            </w:pPr>
            <w:r>
              <w:rPr>
                <w:rFonts w:hint="eastAsia" w:ascii="仿宋_GB2312" w:hAnsi="仿宋_GB2312" w:eastAsia="仿宋_GB2312" w:cs="仿宋_GB2312"/>
                <w:kern w:val="2"/>
                <w:szCs w:val="22"/>
                <w:lang w:eastAsia="zh-CN"/>
              </w:rPr>
              <w:t>3</w:t>
            </w:r>
            <w:r>
              <w:rPr>
                <w:rFonts w:hint="eastAsia" w:ascii="仿宋_GB2312" w:hAnsi="仿宋_GB2312" w:eastAsia="仿宋_GB2312" w:cs="仿宋_GB2312"/>
                <w:kern w:val="2"/>
                <w:szCs w:val="22"/>
                <w:lang w:val="en-US" w:eastAsia="zh-CN"/>
              </w:rPr>
              <w:t>6</w:t>
            </w:r>
            <w:r>
              <w:rPr>
                <w:rFonts w:hint="eastAsia" w:ascii="仿宋_GB2312" w:hAnsi="仿宋_GB2312" w:eastAsia="仿宋_GB2312" w:cs="仿宋_GB2312"/>
                <w:kern w:val="2"/>
                <w:szCs w:val="22"/>
                <w:lang w:eastAsia="zh-CN"/>
              </w:rPr>
              <w:t>0人</w:t>
            </w:r>
          </w:p>
        </w:tc>
        <w:tc>
          <w:tcPr>
            <w:tcW w:w="215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冀财教【2018】99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质量指标</w:t>
            </w:r>
          </w:p>
        </w:tc>
        <w:tc>
          <w:tcPr>
            <w:tcW w:w="198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生均公用经费使用的合规率</w:t>
            </w:r>
          </w:p>
        </w:tc>
        <w:tc>
          <w:tcPr>
            <w:tcW w:w="3402"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生均公用经费使用符合文件中的相关规定</w:t>
            </w:r>
          </w:p>
        </w:tc>
        <w:tc>
          <w:tcPr>
            <w:tcW w:w="1843"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100%</w:t>
            </w:r>
          </w:p>
        </w:tc>
        <w:tc>
          <w:tcPr>
            <w:tcW w:w="215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冀财教【2018】99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时效指标</w:t>
            </w:r>
          </w:p>
        </w:tc>
        <w:tc>
          <w:tcPr>
            <w:tcW w:w="198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用于保障学校正常运转项目完成及时率</w:t>
            </w:r>
          </w:p>
        </w:tc>
        <w:tc>
          <w:tcPr>
            <w:tcW w:w="3402"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使用生均公用经费，用于保障学校正常运转的项目完成情况</w:t>
            </w:r>
          </w:p>
        </w:tc>
        <w:tc>
          <w:tcPr>
            <w:tcW w:w="1843"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100%</w:t>
            </w:r>
          </w:p>
        </w:tc>
        <w:tc>
          <w:tcPr>
            <w:tcW w:w="215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成本指标</w:t>
            </w:r>
          </w:p>
        </w:tc>
        <w:tc>
          <w:tcPr>
            <w:tcW w:w="198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使用生均公用经费，用于保障学校正常运转的项目支出成本</w:t>
            </w:r>
          </w:p>
        </w:tc>
        <w:tc>
          <w:tcPr>
            <w:tcW w:w="3402"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使用生均公用经费，用于保障学校正常运转的项目支出成本等于400元/生</w:t>
            </w:r>
          </w:p>
        </w:tc>
        <w:tc>
          <w:tcPr>
            <w:tcW w:w="1843"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400元</w:t>
            </w:r>
          </w:p>
        </w:tc>
        <w:tc>
          <w:tcPr>
            <w:tcW w:w="215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冀财教【2018】99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社会效益指标</w:t>
            </w:r>
          </w:p>
        </w:tc>
        <w:tc>
          <w:tcPr>
            <w:tcW w:w="198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学前教育高质量发展</w:t>
            </w:r>
          </w:p>
        </w:tc>
        <w:tc>
          <w:tcPr>
            <w:tcW w:w="3402"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该资金用于学校正常运转，改善办学条件，促进学前教育均衡发展及学生素质提高</w:t>
            </w:r>
          </w:p>
        </w:tc>
        <w:tc>
          <w:tcPr>
            <w:tcW w:w="1843"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支持</w:t>
            </w:r>
          </w:p>
        </w:tc>
        <w:tc>
          <w:tcPr>
            <w:tcW w:w="215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冀财教【201</w:t>
            </w:r>
            <w:r>
              <w:rPr>
                <w:rFonts w:hint="eastAsia" w:ascii="仿宋_GB2312" w:hAnsi="仿宋_GB2312" w:eastAsia="仿宋_GB2312" w:cs="仿宋_GB2312"/>
                <w:kern w:val="2"/>
                <w:szCs w:val="22"/>
                <w:lang w:val="en-US" w:eastAsia="zh-CN"/>
              </w:rPr>
              <w:t>8</w:t>
            </w:r>
            <w:r>
              <w:rPr>
                <w:rFonts w:hint="eastAsia" w:ascii="仿宋_GB2312" w:hAnsi="仿宋_GB2312" w:eastAsia="仿宋_GB2312" w:cs="仿宋_GB2312"/>
                <w:kern w:val="2"/>
                <w:szCs w:val="22"/>
                <w:lang w:eastAsia="zh-CN"/>
              </w:rPr>
              <w:t>】</w:t>
            </w:r>
            <w:r>
              <w:rPr>
                <w:rFonts w:hint="eastAsia" w:ascii="仿宋_GB2312" w:hAnsi="仿宋_GB2312" w:eastAsia="仿宋_GB2312" w:cs="仿宋_GB2312"/>
                <w:kern w:val="2"/>
                <w:szCs w:val="22"/>
                <w:lang w:val="en-US" w:eastAsia="zh-CN"/>
              </w:rPr>
              <w:t>99</w:t>
            </w:r>
            <w:r>
              <w:rPr>
                <w:rFonts w:hint="eastAsia" w:ascii="仿宋_GB2312" w:hAnsi="仿宋_GB2312" w:eastAsia="仿宋_GB2312" w:cs="仿宋_GB2312"/>
                <w:kern w:val="2"/>
                <w:szCs w:val="22"/>
                <w:lang w:eastAsia="zh-CN"/>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198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在校师生的满意程度</w:t>
            </w:r>
          </w:p>
        </w:tc>
        <w:tc>
          <w:tcPr>
            <w:tcW w:w="3402"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在校师生的满意程度</w:t>
            </w:r>
          </w:p>
        </w:tc>
        <w:tc>
          <w:tcPr>
            <w:tcW w:w="1843"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≥90%</w:t>
            </w:r>
          </w:p>
        </w:tc>
        <w:tc>
          <w:tcPr>
            <w:tcW w:w="215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bl>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2.</w:t>
      </w:r>
      <w:r>
        <w:rPr>
          <w:rFonts w:hint="eastAsia" w:ascii="仿宋_GB2312" w:hAnsi="仿宋_GB2312" w:eastAsia="仿宋_GB2312" w:cs="仿宋_GB2312"/>
          <w:color w:val="000000"/>
          <w:sz w:val="28"/>
        </w:rPr>
        <w:t xml:space="preserve"> 合同制教师人员经费绩效目标表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1.缓解教师短缺，保障教育教学正常的进行</w:t>
            </w:r>
          </w:p>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2.保障教学质量，提升教育水平</w:t>
            </w:r>
          </w:p>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3.保障合同制教师工资福利待遇，并及时发放。</w:t>
            </w:r>
          </w:p>
          <w:p>
            <w:pPr>
              <w:spacing w:line="300" w:lineRule="exact"/>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二级指标</w:t>
            </w:r>
          </w:p>
        </w:tc>
        <w:tc>
          <w:tcPr>
            <w:tcW w:w="1985"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三级指标</w:t>
            </w:r>
          </w:p>
        </w:tc>
        <w:tc>
          <w:tcPr>
            <w:tcW w:w="3402"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843"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指标值</w:t>
            </w:r>
          </w:p>
        </w:tc>
        <w:tc>
          <w:tcPr>
            <w:tcW w:w="2155"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数量指标</w:t>
            </w:r>
          </w:p>
        </w:tc>
        <w:tc>
          <w:tcPr>
            <w:tcW w:w="198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合同制教师在校人数</w:t>
            </w:r>
          </w:p>
        </w:tc>
        <w:tc>
          <w:tcPr>
            <w:tcW w:w="3402"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 xml:space="preserve">保障2022合同制教师 </w:t>
            </w:r>
            <w:r>
              <w:rPr>
                <w:rFonts w:hint="eastAsia" w:ascii="仿宋_GB2312" w:hAnsi="仿宋_GB2312" w:eastAsia="仿宋_GB2312" w:cs="仿宋_GB2312"/>
                <w:kern w:val="2"/>
                <w:szCs w:val="22"/>
                <w:lang w:val="en-US" w:eastAsia="zh-CN"/>
              </w:rPr>
              <w:t>23</w:t>
            </w:r>
            <w:r>
              <w:rPr>
                <w:rFonts w:hint="eastAsia" w:ascii="仿宋_GB2312" w:hAnsi="仿宋_GB2312" w:eastAsia="仿宋_GB2312" w:cs="仿宋_GB2312"/>
                <w:kern w:val="2"/>
                <w:szCs w:val="22"/>
                <w:lang w:eastAsia="zh-CN"/>
              </w:rPr>
              <w:t>人工资福利</w:t>
            </w:r>
          </w:p>
        </w:tc>
        <w:tc>
          <w:tcPr>
            <w:tcW w:w="1843"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val="en-US" w:eastAsia="zh-CN"/>
              </w:rPr>
              <w:t>23</w:t>
            </w:r>
            <w:r>
              <w:rPr>
                <w:rFonts w:hint="eastAsia" w:ascii="仿宋_GB2312" w:hAnsi="仿宋_GB2312" w:eastAsia="仿宋_GB2312" w:cs="仿宋_GB2312"/>
                <w:kern w:val="2"/>
                <w:szCs w:val="22"/>
                <w:lang w:eastAsia="zh-CN"/>
              </w:rPr>
              <w:t>人</w:t>
            </w:r>
          </w:p>
        </w:tc>
        <w:tc>
          <w:tcPr>
            <w:tcW w:w="215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质量指标</w:t>
            </w:r>
          </w:p>
        </w:tc>
        <w:tc>
          <w:tcPr>
            <w:tcW w:w="198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合同制教师完成岗位目标</w:t>
            </w:r>
          </w:p>
        </w:tc>
        <w:tc>
          <w:tcPr>
            <w:tcW w:w="3402"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不同学科合同制教师岗位目标明确，并得以执行</w:t>
            </w:r>
          </w:p>
        </w:tc>
        <w:tc>
          <w:tcPr>
            <w:tcW w:w="1843"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完成岗位目标职责</w:t>
            </w:r>
          </w:p>
          <w:p>
            <w:pPr>
              <w:pStyle w:val="14"/>
              <w:rPr>
                <w:rFonts w:hint="eastAsia" w:ascii="仿宋_GB2312" w:hAnsi="仿宋_GB2312" w:eastAsia="仿宋_GB2312" w:cs="仿宋_GB2312"/>
                <w:kern w:val="2"/>
                <w:szCs w:val="22"/>
                <w:lang w:eastAsia="zh-CN"/>
              </w:rPr>
            </w:pPr>
          </w:p>
        </w:tc>
        <w:tc>
          <w:tcPr>
            <w:tcW w:w="215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质量指标</w:t>
            </w:r>
          </w:p>
        </w:tc>
        <w:tc>
          <w:tcPr>
            <w:tcW w:w="198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合同制教师的考核合格率</w:t>
            </w:r>
          </w:p>
        </w:tc>
        <w:tc>
          <w:tcPr>
            <w:tcW w:w="3402"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合格率达到100%</w:t>
            </w:r>
          </w:p>
        </w:tc>
        <w:tc>
          <w:tcPr>
            <w:tcW w:w="1843"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≥98%</w:t>
            </w:r>
          </w:p>
        </w:tc>
        <w:tc>
          <w:tcPr>
            <w:tcW w:w="215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时效指标</w:t>
            </w:r>
          </w:p>
        </w:tc>
        <w:tc>
          <w:tcPr>
            <w:tcW w:w="198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资金支出率（%）</w:t>
            </w:r>
          </w:p>
        </w:tc>
        <w:tc>
          <w:tcPr>
            <w:tcW w:w="3402"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按月支付合同制教师工资及缴纳社会保障及住房公积金</w:t>
            </w:r>
          </w:p>
        </w:tc>
        <w:tc>
          <w:tcPr>
            <w:tcW w:w="1843"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215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rPr>
                <w:rFonts w:hint="eastAsia" w:ascii="仿宋_GB2312" w:hAnsi="仿宋_GB2312" w:eastAsia="仿宋_GB2312" w:cs="仿宋_GB2312"/>
              </w:rPr>
            </w:pPr>
          </w:p>
        </w:tc>
        <w:tc>
          <w:tcPr>
            <w:tcW w:w="2268"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成本指标</w:t>
            </w:r>
          </w:p>
        </w:tc>
        <w:tc>
          <w:tcPr>
            <w:tcW w:w="198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保障项目正常运行</w:t>
            </w:r>
          </w:p>
        </w:tc>
        <w:tc>
          <w:tcPr>
            <w:tcW w:w="3402"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合同制教师薪酬测算标准</w:t>
            </w:r>
          </w:p>
        </w:tc>
        <w:tc>
          <w:tcPr>
            <w:tcW w:w="1843"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根据廊广传【2021】19号文件合同制教师与在职教师同工同酬</w:t>
            </w:r>
          </w:p>
        </w:tc>
        <w:tc>
          <w:tcPr>
            <w:tcW w:w="215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社会效益指标</w:t>
            </w:r>
          </w:p>
        </w:tc>
        <w:tc>
          <w:tcPr>
            <w:tcW w:w="198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缓解师资供需矛盾</w:t>
            </w:r>
          </w:p>
        </w:tc>
        <w:tc>
          <w:tcPr>
            <w:tcW w:w="3402"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缓解教师短缺，保障教育教学正常的进行</w:t>
            </w:r>
          </w:p>
        </w:tc>
        <w:tc>
          <w:tcPr>
            <w:tcW w:w="1843"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缓解</w:t>
            </w:r>
          </w:p>
        </w:tc>
        <w:tc>
          <w:tcPr>
            <w:tcW w:w="215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198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学生满意度</w:t>
            </w:r>
          </w:p>
        </w:tc>
        <w:tc>
          <w:tcPr>
            <w:tcW w:w="3402"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所教班级学生满意度</w:t>
            </w:r>
          </w:p>
        </w:tc>
        <w:tc>
          <w:tcPr>
            <w:tcW w:w="1843"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215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198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学校满意度</w:t>
            </w:r>
          </w:p>
        </w:tc>
        <w:tc>
          <w:tcPr>
            <w:tcW w:w="3402"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在校教师满意度</w:t>
            </w:r>
          </w:p>
        </w:tc>
        <w:tc>
          <w:tcPr>
            <w:tcW w:w="1843"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215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spacing w:line="300" w:lineRule="exact"/>
              <w:jc w:val="center"/>
              <w:rPr>
                <w:rFonts w:ascii="Times New Roman" w:hAnsi="Times New Roman" w:eastAsia="仿宋_GB2312" w:cs="Times New Roman"/>
              </w:rPr>
            </w:pPr>
          </w:p>
        </w:tc>
        <w:tc>
          <w:tcPr>
            <w:tcW w:w="2268"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198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家长满意度</w:t>
            </w:r>
          </w:p>
        </w:tc>
        <w:tc>
          <w:tcPr>
            <w:tcW w:w="3402"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所教班级家长满意度</w:t>
            </w:r>
          </w:p>
        </w:tc>
        <w:tc>
          <w:tcPr>
            <w:tcW w:w="1843"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215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bl>
    <w:p>
      <w:pPr>
        <w:spacing w:line="14" w:lineRule="exact"/>
        <w:ind w:firstLine="420" w:firstLineChars="200"/>
        <w:jc w:val="center"/>
        <w:rPr>
          <w:rFonts w:ascii="Times New Roman" w:hAnsi="Times New Roman" w:eastAsia="仿宋_GB2312" w:cs="Times New Roman"/>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rPr>
        <w:t>单位未</w:t>
      </w:r>
      <w:r>
        <w:rPr>
          <w:rFonts w:ascii="Times New Roman" w:hAnsi="Times New Roman" w:eastAsia="仿宋_GB2312" w:cs="Times New Roman"/>
          <w:sz w:val="32"/>
          <w:szCs w:val="24"/>
        </w:rPr>
        <w:t>安排政府采购预算。</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outlineLvl w:val="1"/>
        <w:rPr>
          <w:rFonts w:ascii="方正小标宋_GBK" w:eastAsia="方正小标宋_GBK" w:cs="Times New Roman"/>
          <w:sz w:val="32"/>
        </w:rPr>
      </w:pPr>
      <w:r>
        <w:rPr>
          <w:rFonts w:hint="eastAsia"/>
        </w:rPr>
        <w:t>廊坊市广阳区第二幼儿园</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noWrap w:val="0"/>
            <w:vAlign w:val="center"/>
          </w:tcPr>
          <w:p>
            <w:pPr>
              <w:pStyle w:val="12"/>
              <w:spacing w:line="240" w:lineRule="exact"/>
            </w:pPr>
            <w:r>
              <w:t>政府采购项目来源</w:t>
            </w:r>
          </w:p>
        </w:tc>
        <w:tc>
          <w:tcPr>
            <w:tcW w:w="1134" w:type="dxa"/>
            <w:vMerge w:val="restart"/>
            <w:noWrap w:val="0"/>
            <w:vAlign w:val="center"/>
          </w:tcPr>
          <w:p>
            <w:pPr>
              <w:pStyle w:val="12"/>
              <w:spacing w:line="240" w:lineRule="exact"/>
            </w:pPr>
            <w:r>
              <w:t>采购物品名称</w:t>
            </w:r>
          </w:p>
        </w:tc>
        <w:tc>
          <w:tcPr>
            <w:tcW w:w="1134" w:type="dxa"/>
            <w:vMerge w:val="restart"/>
            <w:noWrap w:val="0"/>
            <w:vAlign w:val="center"/>
          </w:tcPr>
          <w:p>
            <w:pPr>
              <w:pStyle w:val="12"/>
              <w:spacing w:line="240" w:lineRule="exact"/>
            </w:pPr>
            <w:r>
              <w:t>政府采购目录序号</w:t>
            </w:r>
          </w:p>
        </w:tc>
        <w:tc>
          <w:tcPr>
            <w:tcW w:w="709" w:type="dxa"/>
            <w:vMerge w:val="restart"/>
            <w:noWrap w:val="0"/>
            <w:vAlign w:val="center"/>
          </w:tcPr>
          <w:p>
            <w:pPr>
              <w:pStyle w:val="12"/>
              <w:spacing w:line="240" w:lineRule="exact"/>
            </w:pPr>
            <w:r>
              <w:t>计量  单位</w:t>
            </w:r>
          </w:p>
        </w:tc>
        <w:tc>
          <w:tcPr>
            <w:tcW w:w="850" w:type="dxa"/>
            <w:vMerge w:val="restart"/>
            <w:noWrap w:val="0"/>
            <w:vAlign w:val="center"/>
          </w:tcPr>
          <w:p>
            <w:pPr>
              <w:pStyle w:val="12"/>
              <w:spacing w:line="240" w:lineRule="exact"/>
            </w:pPr>
            <w:r>
              <w:t>数量</w:t>
            </w:r>
          </w:p>
        </w:tc>
        <w:tc>
          <w:tcPr>
            <w:tcW w:w="850" w:type="dxa"/>
            <w:vMerge w:val="restart"/>
            <w:noWrap w:val="0"/>
            <w:vAlign w:val="center"/>
          </w:tcPr>
          <w:p>
            <w:pPr>
              <w:pStyle w:val="12"/>
              <w:spacing w:line="240" w:lineRule="exact"/>
            </w:pPr>
            <w:r>
              <w:t>单价</w:t>
            </w:r>
          </w:p>
        </w:tc>
        <w:tc>
          <w:tcPr>
            <w:tcW w:w="7712" w:type="dxa"/>
            <w:gridSpan w:val="8"/>
            <w:noWrap w:val="0"/>
            <w:vAlign w:val="center"/>
          </w:tcPr>
          <w:p>
            <w:pPr>
              <w:pStyle w:val="12"/>
              <w:spacing w:line="240" w:lineRule="exact"/>
            </w:pPr>
            <w:r>
              <w:t>政府采购金额（当年部门预算安排资金）</w:t>
            </w:r>
          </w:p>
        </w:tc>
        <w:tc>
          <w:tcPr>
            <w:tcW w:w="964" w:type="dxa"/>
            <w:vMerge w:val="restart"/>
            <w:noWrap w:val="0"/>
            <w:vAlign w:val="center"/>
          </w:tcPr>
          <w:p>
            <w:pPr>
              <w:pStyle w:val="12"/>
              <w:spacing w:line="24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noWrap w:val="0"/>
            <w:vAlign w:val="center"/>
          </w:tcPr>
          <w:p>
            <w:pPr>
              <w:pStyle w:val="12"/>
              <w:spacing w:line="240" w:lineRule="exact"/>
            </w:pPr>
            <w:r>
              <w:t>项目名称</w:t>
            </w:r>
          </w:p>
        </w:tc>
        <w:tc>
          <w:tcPr>
            <w:tcW w:w="964" w:type="dxa"/>
            <w:noWrap w:val="0"/>
            <w:vAlign w:val="center"/>
          </w:tcPr>
          <w:p>
            <w:pPr>
              <w:pStyle w:val="12"/>
              <w:spacing w:line="240" w:lineRule="exact"/>
            </w:pPr>
            <w:r>
              <w:t>预算    资金</w:t>
            </w:r>
          </w:p>
        </w:tc>
        <w:tc>
          <w:tcPr>
            <w:tcW w:w="1134" w:type="dxa"/>
            <w:vMerge w:val="continue"/>
            <w:noWrap w:val="0"/>
            <w:vAlign w:val="top"/>
          </w:tcPr>
          <w:p>
            <w:pPr>
              <w:spacing w:line="240" w:lineRule="exact"/>
            </w:pPr>
          </w:p>
        </w:tc>
        <w:tc>
          <w:tcPr>
            <w:tcW w:w="1134" w:type="dxa"/>
            <w:vMerge w:val="continue"/>
            <w:noWrap w:val="0"/>
            <w:vAlign w:val="top"/>
          </w:tcPr>
          <w:p>
            <w:pPr>
              <w:spacing w:line="240" w:lineRule="exact"/>
            </w:pPr>
          </w:p>
        </w:tc>
        <w:tc>
          <w:tcPr>
            <w:tcW w:w="709" w:type="dxa"/>
            <w:vMerge w:val="continue"/>
            <w:noWrap w:val="0"/>
            <w:vAlign w:val="top"/>
          </w:tcPr>
          <w:p>
            <w:pPr>
              <w:spacing w:line="240" w:lineRule="exact"/>
            </w:pPr>
          </w:p>
        </w:tc>
        <w:tc>
          <w:tcPr>
            <w:tcW w:w="850" w:type="dxa"/>
            <w:vMerge w:val="continue"/>
            <w:noWrap w:val="0"/>
            <w:vAlign w:val="top"/>
          </w:tcPr>
          <w:p>
            <w:pPr>
              <w:spacing w:line="240" w:lineRule="exact"/>
            </w:pPr>
          </w:p>
        </w:tc>
        <w:tc>
          <w:tcPr>
            <w:tcW w:w="850" w:type="dxa"/>
            <w:vMerge w:val="continue"/>
            <w:noWrap w:val="0"/>
            <w:vAlign w:val="top"/>
          </w:tcPr>
          <w:p>
            <w:pPr>
              <w:spacing w:line="240" w:lineRule="exact"/>
            </w:pPr>
          </w:p>
        </w:tc>
        <w:tc>
          <w:tcPr>
            <w:tcW w:w="964" w:type="dxa"/>
            <w:noWrap w:val="0"/>
            <w:vAlign w:val="center"/>
          </w:tcPr>
          <w:p>
            <w:pPr>
              <w:pStyle w:val="12"/>
              <w:spacing w:line="240" w:lineRule="exact"/>
            </w:pPr>
            <w:r>
              <w:t>合计</w:t>
            </w:r>
          </w:p>
        </w:tc>
        <w:tc>
          <w:tcPr>
            <w:tcW w:w="964" w:type="dxa"/>
            <w:noWrap w:val="0"/>
            <w:vAlign w:val="center"/>
          </w:tcPr>
          <w:p>
            <w:pPr>
              <w:pStyle w:val="12"/>
              <w:spacing w:line="240" w:lineRule="exact"/>
            </w:pPr>
            <w:r>
              <w:t>一般公共预算拨款</w:t>
            </w:r>
          </w:p>
        </w:tc>
        <w:tc>
          <w:tcPr>
            <w:tcW w:w="964" w:type="dxa"/>
            <w:noWrap w:val="0"/>
            <w:vAlign w:val="center"/>
          </w:tcPr>
          <w:p>
            <w:pPr>
              <w:pStyle w:val="12"/>
              <w:spacing w:line="240" w:lineRule="exact"/>
            </w:pPr>
            <w:r>
              <w:t>基金预算拨款</w:t>
            </w:r>
          </w:p>
        </w:tc>
        <w:tc>
          <w:tcPr>
            <w:tcW w:w="964" w:type="dxa"/>
            <w:noWrap w:val="0"/>
            <w:vAlign w:val="center"/>
          </w:tcPr>
          <w:p>
            <w:pPr>
              <w:pStyle w:val="12"/>
              <w:spacing w:line="240" w:lineRule="exact"/>
            </w:pPr>
            <w:r>
              <w:t>国有资本经营预算拨款</w:t>
            </w:r>
          </w:p>
        </w:tc>
        <w:tc>
          <w:tcPr>
            <w:tcW w:w="964" w:type="dxa"/>
            <w:noWrap w:val="0"/>
            <w:vAlign w:val="center"/>
          </w:tcPr>
          <w:p>
            <w:pPr>
              <w:pStyle w:val="12"/>
              <w:spacing w:line="240" w:lineRule="exact"/>
            </w:pPr>
            <w:r>
              <w:t>财政专户核拨</w:t>
            </w:r>
          </w:p>
        </w:tc>
        <w:tc>
          <w:tcPr>
            <w:tcW w:w="964" w:type="dxa"/>
            <w:noWrap w:val="0"/>
            <w:vAlign w:val="center"/>
          </w:tcPr>
          <w:p>
            <w:pPr>
              <w:pStyle w:val="12"/>
              <w:spacing w:line="240" w:lineRule="exact"/>
            </w:pPr>
            <w:r>
              <w:t>单位    资金</w:t>
            </w:r>
          </w:p>
        </w:tc>
        <w:tc>
          <w:tcPr>
            <w:tcW w:w="964" w:type="dxa"/>
            <w:noWrap w:val="0"/>
            <w:vAlign w:val="center"/>
          </w:tcPr>
          <w:p>
            <w:pPr>
              <w:pStyle w:val="12"/>
              <w:spacing w:line="240" w:lineRule="exact"/>
            </w:pPr>
            <w:r>
              <w:t>财政拨    款结转</w:t>
            </w:r>
          </w:p>
        </w:tc>
        <w:tc>
          <w:tcPr>
            <w:tcW w:w="964" w:type="dxa"/>
            <w:noWrap w:val="0"/>
            <w:vAlign w:val="center"/>
          </w:tcPr>
          <w:p>
            <w:pPr>
              <w:pStyle w:val="12"/>
              <w:spacing w:line="240" w:lineRule="exact"/>
            </w:pPr>
            <w:r>
              <w:t>非财政    拨款结    转结余</w:t>
            </w:r>
          </w:p>
        </w:tc>
        <w:tc>
          <w:tcPr>
            <w:tcW w:w="964" w:type="dxa"/>
            <w:vMerge w:val="continue"/>
            <w:noWrap w:val="0"/>
            <w:vAlign w:val="top"/>
          </w:tcPr>
          <w:p>
            <w:pPr>
              <w:spacing w:line="24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1097" w:type="dxa"/>
            <w:noWrap w:val="0"/>
            <w:vAlign w:val="center"/>
          </w:tcPr>
          <w:p>
            <w:pPr>
              <w:pStyle w:val="16"/>
              <w:spacing w:line="240" w:lineRule="exact"/>
            </w:pPr>
            <w:r>
              <w:t>合  计</w:t>
            </w:r>
          </w:p>
        </w:tc>
        <w:tc>
          <w:tcPr>
            <w:tcW w:w="964" w:type="dxa"/>
            <w:noWrap w:val="0"/>
            <w:vAlign w:val="center"/>
          </w:tcPr>
          <w:p>
            <w:pPr>
              <w:pStyle w:val="17"/>
              <w:spacing w:line="240" w:lineRule="exact"/>
              <w:rPr>
                <w:rFonts w:hint="eastAsia" w:eastAsia="宋体"/>
                <w:lang w:eastAsia="zh-CN"/>
              </w:rPr>
            </w:pPr>
            <w:r>
              <w:rPr>
                <w:rFonts w:hint="eastAsia" w:eastAsia="宋体"/>
                <w:lang w:eastAsia="zh-CN"/>
              </w:rPr>
              <w:t>0</w:t>
            </w:r>
          </w:p>
        </w:tc>
        <w:tc>
          <w:tcPr>
            <w:tcW w:w="1134" w:type="dxa"/>
            <w:noWrap w:val="0"/>
            <w:vAlign w:val="center"/>
          </w:tcPr>
          <w:p>
            <w:pPr>
              <w:pStyle w:val="18"/>
              <w:spacing w:line="240" w:lineRule="exact"/>
            </w:pPr>
          </w:p>
        </w:tc>
        <w:tc>
          <w:tcPr>
            <w:tcW w:w="1134" w:type="dxa"/>
            <w:noWrap w:val="0"/>
            <w:vAlign w:val="center"/>
          </w:tcPr>
          <w:p>
            <w:pPr>
              <w:pStyle w:val="18"/>
              <w:spacing w:line="240" w:lineRule="exact"/>
            </w:pPr>
          </w:p>
        </w:tc>
        <w:tc>
          <w:tcPr>
            <w:tcW w:w="709" w:type="dxa"/>
            <w:noWrap w:val="0"/>
            <w:vAlign w:val="center"/>
          </w:tcPr>
          <w:p>
            <w:pPr>
              <w:pStyle w:val="16"/>
              <w:spacing w:line="240" w:lineRule="exact"/>
            </w:pPr>
          </w:p>
        </w:tc>
        <w:tc>
          <w:tcPr>
            <w:tcW w:w="850" w:type="dxa"/>
            <w:noWrap w:val="0"/>
            <w:vAlign w:val="center"/>
          </w:tcPr>
          <w:p>
            <w:pPr>
              <w:pStyle w:val="17"/>
              <w:spacing w:line="240" w:lineRule="exact"/>
            </w:pPr>
          </w:p>
        </w:tc>
        <w:tc>
          <w:tcPr>
            <w:tcW w:w="850" w:type="dxa"/>
            <w:noWrap w:val="0"/>
            <w:vAlign w:val="center"/>
          </w:tcPr>
          <w:p>
            <w:pPr>
              <w:pStyle w:val="17"/>
              <w:spacing w:line="240" w:lineRule="exact"/>
            </w:pPr>
          </w:p>
        </w:tc>
        <w:tc>
          <w:tcPr>
            <w:tcW w:w="964" w:type="dxa"/>
            <w:noWrap w:val="0"/>
            <w:vAlign w:val="center"/>
          </w:tcPr>
          <w:p>
            <w:pPr>
              <w:pStyle w:val="17"/>
              <w:spacing w:line="240" w:lineRule="exact"/>
            </w:pPr>
          </w:p>
        </w:tc>
        <w:tc>
          <w:tcPr>
            <w:tcW w:w="964" w:type="dxa"/>
            <w:noWrap w:val="0"/>
            <w:vAlign w:val="center"/>
          </w:tcPr>
          <w:p>
            <w:pPr>
              <w:pStyle w:val="17"/>
              <w:spacing w:line="240" w:lineRule="exact"/>
            </w:pPr>
          </w:p>
        </w:tc>
        <w:tc>
          <w:tcPr>
            <w:tcW w:w="964" w:type="dxa"/>
            <w:noWrap w:val="0"/>
            <w:vAlign w:val="center"/>
          </w:tcPr>
          <w:p>
            <w:pPr>
              <w:pStyle w:val="17"/>
              <w:spacing w:line="240" w:lineRule="exact"/>
            </w:pPr>
          </w:p>
        </w:tc>
        <w:tc>
          <w:tcPr>
            <w:tcW w:w="964" w:type="dxa"/>
            <w:noWrap w:val="0"/>
            <w:vAlign w:val="center"/>
          </w:tcPr>
          <w:p>
            <w:pPr>
              <w:pStyle w:val="17"/>
              <w:spacing w:line="240" w:lineRule="exact"/>
            </w:pPr>
          </w:p>
        </w:tc>
        <w:tc>
          <w:tcPr>
            <w:tcW w:w="964" w:type="dxa"/>
            <w:noWrap w:val="0"/>
            <w:vAlign w:val="center"/>
          </w:tcPr>
          <w:p>
            <w:pPr>
              <w:pStyle w:val="17"/>
              <w:spacing w:line="240" w:lineRule="exact"/>
            </w:pPr>
          </w:p>
        </w:tc>
        <w:tc>
          <w:tcPr>
            <w:tcW w:w="964" w:type="dxa"/>
            <w:noWrap w:val="0"/>
            <w:vAlign w:val="center"/>
          </w:tcPr>
          <w:p>
            <w:pPr>
              <w:pStyle w:val="17"/>
              <w:spacing w:line="240" w:lineRule="exact"/>
            </w:pPr>
          </w:p>
        </w:tc>
        <w:tc>
          <w:tcPr>
            <w:tcW w:w="964" w:type="dxa"/>
            <w:noWrap w:val="0"/>
            <w:vAlign w:val="center"/>
          </w:tcPr>
          <w:p>
            <w:pPr>
              <w:pStyle w:val="17"/>
              <w:spacing w:line="240" w:lineRule="exact"/>
            </w:pPr>
          </w:p>
        </w:tc>
        <w:tc>
          <w:tcPr>
            <w:tcW w:w="964" w:type="dxa"/>
            <w:noWrap w:val="0"/>
            <w:vAlign w:val="center"/>
          </w:tcPr>
          <w:p>
            <w:pPr>
              <w:pStyle w:val="17"/>
              <w:spacing w:line="240" w:lineRule="exact"/>
            </w:pPr>
          </w:p>
        </w:tc>
        <w:tc>
          <w:tcPr>
            <w:tcW w:w="964" w:type="dxa"/>
            <w:noWrap w:val="0"/>
            <w:vAlign w:val="center"/>
          </w:tcPr>
          <w:p>
            <w:pPr>
              <w:pStyle w:val="17"/>
              <w:spacing w:line="24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1097" w:type="dxa"/>
            <w:noWrap w:val="0"/>
            <w:vAlign w:val="center"/>
          </w:tcPr>
          <w:p>
            <w:pPr>
              <w:pStyle w:val="16"/>
            </w:pPr>
          </w:p>
        </w:tc>
        <w:tc>
          <w:tcPr>
            <w:tcW w:w="964" w:type="dxa"/>
            <w:noWrap w:val="0"/>
            <w:vAlign w:val="center"/>
          </w:tcPr>
          <w:p>
            <w:pPr>
              <w:pStyle w:val="17"/>
            </w:pPr>
          </w:p>
        </w:tc>
        <w:tc>
          <w:tcPr>
            <w:tcW w:w="1134" w:type="dxa"/>
            <w:noWrap w:val="0"/>
            <w:vAlign w:val="center"/>
          </w:tcPr>
          <w:p>
            <w:pPr>
              <w:pStyle w:val="18"/>
            </w:pPr>
          </w:p>
        </w:tc>
        <w:tc>
          <w:tcPr>
            <w:tcW w:w="1134" w:type="dxa"/>
            <w:noWrap w:val="0"/>
            <w:vAlign w:val="center"/>
          </w:tcPr>
          <w:p>
            <w:pPr>
              <w:pStyle w:val="18"/>
            </w:pPr>
          </w:p>
        </w:tc>
        <w:tc>
          <w:tcPr>
            <w:tcW w:w="709" w:type="dxa"/>
            <w:noWrap w:val="0"/>
            <w:vAlign w:val="center"/>
          </w:tcPr>
          <w:p>
            <w:pPr>
              <w:pStyle w:val="16"/>
            </w:pPr>
          </w:p>
        </w:tc>
        <w:tc>
          <w:tcPr>
            <w:tcW w:w="850" w:type="dxa"/>
            <w:noWrap w:val="0"/>
            <w:vAlign w:val="center"/>
          </w:tcPr>
          <w:p>
            <w:pPr>
              <w:pStyle w:val="17"/>
            </w:pPr>
          </w:p>
        </w:tc>
        <w:tc>
          <w:tcPr>
            <w:tcW w:w="850"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hint="eastAsia" w:ascii="Times New Roman" w:hAnsi="Times New Roman" w:eastAsia="黑体" w:cs="Times New Roman"/>
          <w:sz w:val="32"/>
          <w:szCs w:val="32"/>
        </w:rPr>
      </w:pPr>
    </w:p>
    <w:p>
      <w:pPr>
        <w:spacing w:line="500" w:lineRule="exact"/>
        <w:ind w:firstLine="420"/>
        <w:rPr>
          <w:rFonts w:hint="eastAsia" w:ascii="Times New Roman" w:hAnsi="Times New Roman" w:eastAsia="黑体" w:cs="Times New Roman"/>
          <w:sz w:val="32"/>
          <w:szCs w:val="32"/>
        </w:rPr>
      </w:pPr>
    </w:p>
    <w:p>
      <w:pPr>
        <w:spacing w:line="500" w:lineRule="exact"/>
        <w:ind w:firstLine="420"/>
        <w:rPr>
          <w:rFonts w:hint="eastAsia"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广阳区第二幼儿园</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643.536927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广阳区第二幼儿园</w:t>
            </w:r>
          </w:p>
        </w:tc>
        <w:tc>
          <w:tcPr>
            <w:tcW w:w="5103" w:type="dxa"/>
            <w:tcBorders>
              <w:top w:val="nil"/>
              <w:left w:val="nil"/>
              <w:bottom w:val="nil"/>
              <w:right w:val="nil"/>
            </w:tcBorders>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highlight w:val="yellow"/>
              </w:rPr>
            </w:pPr>
            <w:r>
              <w:rPr>
                <w:rFonts w:hint="eastAsia" w:ascii="Times New Roman" w:hAnsi="Times New Roman" w:eastAsia="仿宋_GB2312" w:cs="Times New Roman"/>
                <w:sz w:val="22"/>
              </w:rPr>
              <w:t>643.536927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3067</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highlight w:val="yellow"/>
              </w:rPr>
            </w:pPr>
            <w:r>
              <w:rPr>
                <w:rFonts w:hint="eastAsia" w:ascii="Times New Roman" w:hAnsi="Times New Roman" w:eastAsia="仿宋_GB2312" w:cs="Times New Roman"/>
                <w:sz w:val="22"/>
              </w:rPr>
              <w:t>385.9393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highlight w:val="yellow"/>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639.677534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B627B"/>
    <w:rsid w:val="000F6018"/>
    <w:rsid w:val="00175E64"/>
    <w:rsid w:val="001E69F9"/>
    <w:rsid w:val="0025632D"/>
    <w:rsid w:val="00296279"/>
    <w:rsid w:val="003059E0"/>
    <w:rsid w:val="004A54AA"/>
    <w:rsid w:val="004C38D9"/>
    <w:rsid w:val="004C5C83"/>
    <w:rsid w:val="004E462A"/>
    <w:rsid w:val="0053272B"/>
    <w:rsid w:val="005E403C"/>
    <w:rsid w:val="00782C1D"/>
    <w:rsid w:val="008D0C9A"/>
    <w:rsid w:val="00932548"/>
    <w:rsid w:val="00944233"/>
    <w:rsid w:val="00A22B79"/>
    <w:rsid w:val="00B40732"/>
    <w:rsid w:val="00B772A9"/>
    <w:rsid w:val="00B80935"/>
    <w:rsid w:val="00B94930"/>
    <w:rsid w:val="00CD246F"/>
    <w:rsid w:val="00D10433"/>
    <w:rsid w:val="00D347CC"/>
    <w:rsid w:val="00DA42E2"/>
    <w:rsid w:val="00DC72B4"/>
    <w:rsid w:val="00F66A73"/>
    <w:rsid w:val="00FD5BF3"/>
    <w:rsid w:val="0CEC1180"/>
    <w:rsid w:val="103B4960"/>
    <w:rsid w:val="2E6F65BC"/>
    <w:rsid w:val="35782E82"/>
    <w:rsid w:val="3F511BB4"/>
    <w:rsid w:val="4A74265B"/>
    <w:rsid w:val="4C69159E"/>
    <w:rsid w:val="4E6530EB"/>
    <w:rsid w:val="4E7F1461"/>
    <w:rsid w:val="565B4326"/>
    <w:rsid w:val="603B13E0"/>
    <w:rsid w:val="62734691"/>
    <w:rsid w:val="676941D1"/>
    <w:rsid w:val="6E9772DF"/>
    <w:rsid w:val="73693C55"/>
    <w:rsid w:val="75906D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572</Words>
  <Characters>3265</Characters>
  <Lines>27</Lines>
  <Paragraphs>7</Paragraphs>
  <TotalTime>0</TotalTime>
  <ScaleCrop>false</ScaleCrop>
  <LinksUpToDate>false</LinksUpToDate>
  <CharactersWithSpaces>3830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2022-07-07T02:15:01Z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BDCC480868DB486BB12AF0044C9766E4</vt:lpwstr>
  </property>
</Properties>
</file>