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第一幼儿园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w:t>
      </w:r>
      <w:bookmarkEnd w:id="3"/>
      <w:r>
        <w:rPr>
          <w:rFonts w:hint="eastAsia" w:ascii="Times New Roman" w:hAnsi="Times New Roman" w:eastAsia="方正小标宋简体" w:cs="Times New Roman"/>
          <w:sz w:val="44"/>
          <w:szCs w:val="44"/>
        </w:rPr>
        <w:t>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广阳区第一幼儿园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6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廊坊市广阳区第一幼儿园始建于1958年，是廊坊市最早的幼儿园，是河北省示范幼儿园、河北省卫生保健示范幼儿园。现有幼儿268人，教职人员47人，8个教学班。主要职责是对3周岁以上幼儿进行保育和教育。</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单位名称</w:t>
            </w:r>
          </w:p>
        </w:tc>
        <w:tc>
          <w:tcPr>
            <w:tcW w:w="1134" w:type="dxa"/>
            <w:vMerge w:val="restart"/>
            <w:shd w:val="clear" w:color="auto" w:fill="auto"/>
            <w:vAlign w:val="center"/>
          </w:tcPr>
          <w:p>
            <w:pPr>
              <w:spacing w:line="579" w:lineRule="exact"/>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单位性质</w:t>
            </w:r>
          </w:p>
        </w:tc>
        <w:tc>
          <w:tcPr>
            <w:tcW w:w="1276" w:type="dxa"/>
            <w:vMerge w:val="restart"/>
            <w:shd w:val="clear" w:color="auto" w:fill="auto"/>
            <w:vAlign w:val="center"/>
          </w:tcPr>
          <w:p>
            <w:pPr>
              <w:spacing w:line="579" w:lineRule="exact"/>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单位规格</w:t>
            </w:r>
          </w:p>
        </w:tc>
        <w:tc>
          <w:tcPr>
            <w:tcW w:w="2902" w:type="dxa"/>
            <w:vMerge w:val="restart"/>
            <w:shd w:val="clear" w:color="auto" w:fill="auto"/>
            <w:vAlign w:val="center"/>
          </w:tcPr>
          <w:p>
            <w:pPr>
              <w:spacing w:line="579" w:lineRule="exact"/>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4443" w:type="dxa"/>
            <w:vMerge w:val="continue"/>
            <w:shd w:val="clear" w:color="auto" w:fill="auto"/>
            <w:vAlign w:val="center"/>
          </w:tcPr>
          <w:p>
            <w:pPr>
              <w:spacing w:line="579" w:lineRule="exact"/>
              <w:rPr>
                <w:rFonts w:ascii="Times New Roman" w:hAnsi="Times New Roman" w:eastAsia="楷体_GB2312" w:cs="Times New Roman"/>
                <w:b/>
                <w:sz w:val="32"/>
                <w:szCs w:val="32"/>
              </w:rPr>
            </w:pPr>
          </w:p>
        </w:tc>
        <w:tc>
          <w:tcPr>
            <w:tcW w:w="1134" w:type="dxa"/>
            <w:vMerge w:val="continue"/>
            <w:shd w:val="clear" w:color="auto" w:fill="auto"/>
            <w:vAlign w:val="center"/>
          </w:tcPr>
          <w:p>
            <w:pPr>
              <w:spacing w:line="579" w:lineRule="exact"/>
              <w:rPr>
                <w:rFonts w:ascii="Times New Roman" w:hAnsi="Times New Roman" w:eastAsia="楷体_GB2312" w:cs="Times New Roman"/>
                <w:b/>
                <w:sz w:val="32"/>
                <w:szCs w:val="32"/>
              </w:rPr>
            </w:pPr>
          </w:p>
        </w:tc>
        <w:tc>
          <w:tcPr>
            <w:tcW w:w="1276" w:type="dxa"/>
            <w:vMerge w:val="continue"/>
            <w:shd w:val="clear" w:color="auto" w:fill="auto"/>
            <w:vAlign w:val="center"/>
          </w:tcPr>
          <w:p>
            <w:pPr>
              <w:spacing w:line="579" w:lineRule="exact"/>
              <w:rPr>
                <w:rFonts w:ascii="Times New Roman" w:hAnsi="Times New Roman" w:eastAsia="楷体_GB2312" w:cs="Times New Roman"/>
                <w:b/>
                <w:sz w:val="32"/>
                <w:szCs w:val="32"/>
              </w:rPr>
            </w:pPr>
          </w:p>
        </w:tc>
        <w:tc>
          <w:tcPr>
            <w:tcW w:w="2902" w:type="dxa"/>
            <w:vMerge w:val="continue"/>
            <w:shd w:val="clear" w:color="auto" w:fill="auto"/>
            <w:vAlign w:val="center"/>
          </w:tcPr>
          <w:p>
            <w:pPr>
              <w:spacing w:line="579" w:lineRule="exact"/>
              <w:rPr>
                <w:rFonts w:ascii="Times New Roman" w:hAnsi="Times New Roman" w:eastAsia="楷体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廊坊市广阳区第一幼儿园</w:t>
            </w:r>
          </w:p>
        </w:tc>
        <w:tc>
          <w:tcPr>
            <w:tcW w:w="1134" w:type="dxa"/>
            <w:shd w:val="clear" w:color="auto" w:fill="auto"/>
            <w:vAlign w:val="center"/>
          </w:tcPr>
          <w:p>
            <w:pPr>
              <w:spacing w:line="579"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事业</w:t>
            </w:r>
          </w:p>
        </w:tc>
        <w:tc>
          <w:tcPr>
            <w:tcW w:w="1276" w:type="dxa"/>
            <w:shd w:val="clear" w:color="auto" w:fill="auto"/>
            <w:vAlign w:val="center"/>
          </w:tcPr>
          <w:p>
            <w:pPr>
              <w:spacing w:line="579"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科级以下</w:t>
            </w:r>
          </w:p>
        </w:tc>
        <w:tc>
          <w:tcPr>
            <w:tcW w:w="2902" w:type="dxa"/>
            <w:shd w:val="clear" w:color="auto" w:fill="auto"/>
            <w:vAlign w:val="center"/>
          </w:tcPr>
          <w:p>
            <w:pPr>
              <w:spacing w:line="579"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财政性资金基本保证</w:t>
            </w: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广阳区第一幼儿园</w:t>
      </w:r>
      <w:r>
        <w:rPr>
          <w:rFonts w:ascii="Times New Roman" w:hAnsi="Times New Roman" w:eastAsia="仿宋_GB2312" w:cs="Times New Roman"/>
          <w:sz w:val="32"/>
          <w:szCs w:val="32"/>
        </w:rPr>
        <w:t>的收支包含在部门预算中。</w:t>
      </w:r>
    </w:p>
    <w:p>
      <w:pPr>
        <w:spacing w:line="579" w:lineRule="exact"/>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1012.78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1012.78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63947.38万元</w:t>
      </w:r>
      <w:r>
        <w:rPr>
          <w:rFonts w:ascii="Times New Roman" w:hAnsi="Times New Roman" w:eastAsia="仿宋_GB2312" w:cs="Times New Roman"/>
          <w:sz w:val="32"/>
          <w:szCs w:val="32"/>
        </w:rPr>
        <w:t>。</w:t>
      </w:r>
    </w:p>
    <w:p>
      <w:pPr>
        <w:spacing w:line="579" w:lineRule="exact"/>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广阳区第一幼儿园2022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1012.78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814.81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804.9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9.91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197.97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79" w:lineRule="exact"/>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1012.78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51.62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134.99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公用经费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186.61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合同制人员经费</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autoSpaceDE w:val="0"/>
        <w:autoSpaceDN w:val="0"/>
        <w:adjustRightInd w:val="0"/>
        <w:spacing w:line="579" w:lineRule="exact"/>
        <w:ind w:firstLine="784" w:firstLineChars="245"/>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。（与2021年相比持平，无增减变化）</w:t>
      </w:r>
    </w:p>
    <w:p>
      <w:pPr>
        <w:spacing w:line="579" w:lineRule="exact"/>
        <w:ind w:firstLine="640" w:firstLineChars="200"/>
        <w:rPr>
          <w:rFonts w:ascii="仿宋_GB2312" w:eastAsia="仿宋_GB2312"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ascii="仿宋_GB2312" w:hAnsi="仿宋" w:eastAsia="仿宋_GB2312"/>
          <w:sz w:val="32"/>
          <w:szCs w:val="32"/>
        </w:rPr>
      </w:pPr>
      <w:r>
        <w:rPr>
          <w:rFonts w:hint="eastAsia" w:ascii="仿宋_GB2312" w:hAnsi="仿宋" w:eastAsia="仿宋_GB2312"/>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仿宋_GB2312" w:eastAsia="仿宋_GB2312" w:cs="Times New Roman"/>
          <w:b/>
          <w:sz w:val="32"/>
          <w:szCs w:val="32"/>
        </w:rPr>
      </w:pPr>
      <w:r>
        <w:rPr>
          <w:rFonts w:hint="eastAsia" w:ascii="仿宋_GB2312" w:eastAsia="仿宋_GB2312" w:cs="Times New Roman"/>
          <w:b/>
          <w:sz w:val="32"/>
          <w:szCs w:val="32"/>
        </w:rPr>
        <w:t>（二）分项绩效目标</w:t>
      </w:r>
    </w:p>
    <w:p>
      <w:pPr>
        <w:pStyle w:val="20"/>
        <w:spacing w:line="579" w:lineRule="exact"/>
        <w:ind w:left="420"/>
        <w:rPr>
          <w:rFonts w:ascii="仿宋_GB2312" w:hAnsi="仿宋" w:eastAsia="仿宋_GB2312"/>
          <w:sz w:val="32"/>
          <w:szCs w:val="32"/>
        </w:rPr>
      </w:pPr>
      <w:r>
        <w:rPr>
          <w:rFonts w:hint="eastAsia" w:ascii="仿宋_GB2312" w:hAnsi="仿宋" w:eastAsia="仿宋_GB2312"/>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1、提高学前教育水平，提供免费教科书，解决大班额问题及入学难问题。</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2、按质按量完成教育教学方面的各项任务，稳步提升学校的教育教学质量，学生综合素质评价优秀率达到85%,合格率达到100%。</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3、幼儿园公用经费水平逐年提高，改善学校办学条件，保障学前教育阶段学校基本教学条件，使学前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5、开展各类课题研究、园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20"/>
        <w:spacing w:line="579" w:lineRule="exact"/>
        <w:ind w:left="420"/>
        <w:rPr>
          <w:rFonts w:ascii="仿宋_GB2312" w:hAnsi="仿宋" w:eastAsia="仿宋_GB2312"/>
          <w:sz w:val="32"/>
          <w:szCs w:val="32"/>
        </w:rPr>
      </w:pPr>
      <w:r>
        <w:rPr>
          <w:rFonts w:hint="eastAsia" w:ascii="仿宋_GB2312" w:hAnsi="仿宋" w:eastAsia="仿宋_GB2312"/>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保障措施</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1、成立学校监督小组，监督学校工作，强化工作落实。</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4、学校体育、卫生工作。根据《幼儿园健康体检管理办法》要求，对在校学生每年进行1次常规健康体检。</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8、加强政治理论学习，强化党风廉政建设。做好师德传承活动，落实老中青传帮带。弘扬办学精神。加强师德宣传与学习活动。开展形式多样、扎实有效的师德教育活动。</w:t>
      </w:r>
    </w:p>
    <w:p>
      <w:pPr>
        <w:spacing w:line="579" w:lineRule="exact"/>
        <w:ind w:firstLine="640" w:firstLineChars="200"/>
        <w:rPr>
          <w:rFonts w:ascii="仿宋_GB2312" w:hAnsi="仿宋" w:eastAsia="仿宋_GB2312" w:cs="Times New Roman"/>
          <w:kern w:val="0"/>
          <w:sz w:val="32"/>
          <w:szCs w:val="32"/>
          <w:lang w:eastAsia="uk-UA"/>
        </w:rPr>
      </w:pPr>
      <w:r>
        <w:rPr>
          <w:rFonts w:hint="eastAsia" w:ascii="仿宋_GB2312" w:hAnsi="仿宋" w:eastAsia="仿宋_GB2312" w:cs="Times New Roman"/>
          <w:kern w:val="0"/>
          <w:sz w:val="32"/>
          <w:szCs w:val="32"/>
          <w:lang w:eastAsia="uk-UA"/>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0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31"/>
        <w:gridCol w:w="1066"/>
        <w:gridCol w:w="1124"/>
        <w:gridCol w:w="2111"/>
        <w:gridCol w:w="2079"/>
        <w:gridCol w:w="542"/>
        <w:gridCol w:w="596"/>
        <w:gridCol w:w="1085"/>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31"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一级指标</w:t>
            </w:r>
          </w:p>
        </w:tc>
        <w:tc>
          <w:tcPr>
            <w:tcW w:w="1066"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二级</w:t>
            </w:r>
          </w:p>
          <w:p>
            <w:pPr>
              <w:widowControl/>
              <w:adjustRightInd w:val="0"/>
              <w:snapToGrid w:val="0"/>
              <w:spacing w:line="579" w:lineRule="exact"/>
              <w:jc w:val="center"/>
              <w:rPr>
                <w:rFonts w:ascii="方正书宋_GBK" w:eastAsia="方正书宋_GBK"/>
                <w:b/>
              </w:rPr>
            </w:pPr>
            <w:r>
              <w:rPr>
                <w:rFonts w:ascii="方正书宋_GBK" w:eastAsia="方正书宋_GBK"/>
                <w:b/>
              </w:rPr>
              <w:t>指标</w:t>
            </w:r>
          </w:p>
        </w:tc>
        <w:tc>
          <w:tcPr>
            <w:tcW w:w="1124"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三级</w:t>
            </w:r>
          </w:p>
          <w:p>
            <w:pPr>
              <w:widowControl/>
              <w:adjustRightInd w:val="0"/>
              <w:snapToGrid w:val="0"/>
              <w:spacing w:line="579" w:lineRule="exact"/>
              <w:jc w:val="center"/>
              <w:rPr>
                <w:rFonts w:ascii="方正书宋_GBK" w:eastAsia="方正书宋_GBK"/>
                <w:b/>
              </w:rPr>
            </w:pPr>
            <w:r>
              <w:rPr>
                <w:rFonts w:ascii="方正书宋_GBK" w:eastAsia="方正书宋_GBK"/>
                <w:b/>
              </w:rPr>
              <w:t>指标</w:t>
            </w:r>
          </w:p>
        </w:tc>
        <w:tc>
          <w:tcPr>
            <w:tcW w:w="2111"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评（扣）分标准</w:t>
            </w:r>
          </w:p>
        </w:tc>
        <w:tc>
          <w:tcPr>
            <w:tcW w:w="2079"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绩效指标</w:t>
            </w:r>
          </w:p>
          <w:p>
            <w:pPr>
              <w:widowControl/>
              <w:adjustRightInd w:val="0"/>
              <w:snapToGrid w:val="0"/>
              <w:spacing w:line="579" w:lineRule="exact"/>
              <w:jc w:val="center"/>
              <w:rPr>
                <w:rFonts w:ascii="方正书宋_GBK" w:eastAsia="方正书宋_GBK"/>
                <w:b/>
              </w:rPr>
            </w:pPr>
            <w:r>
              <w:rPr>
                <w:rFonts w:ascii="方正书宋_GBK" w:eastAsia="方正书宋_GBK"/>
                <w:b/>
              </w:rPr>
              <w:t>描述</w:t>
            </w:r>
          </w:p>
        </w:tc>
        <w:tc>
          <w:tcPr>
            <w:tcW w:w="2223" w:type="dxa"/>
            <w:gridSpan w:val="3"/>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指标值</w:t>
            </w:r>
          </w:p>
        </w:tc>
        <w:tc>
          <w:tcPr>
            <w:tcW w:w="1113"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指标值</w:t>
            </w:r>
          </w:p>
          <w:p>
            <w:pPr>
              <w:widowControl/>
              <w:adjustRightInd w:val="0"/>
              <w:snapToGrid w:val="0"/>
              <w:spacing w:line="579"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31" w:type="dxa"/>
            <w:vMerge w:val="continue"/>
            <w:tcBorders>
              <w:tl2br w:val="nil"/>
              <w:tr2bl w:val="nil"/>
            </w:tcBorders>
            <w:vAlign w:val="center"/>
          </w:tcPr>
          <w:p>
            <w:pPr>
              <w:spacing w:line="579" w:lineRule="exact"/>
            </w:pPr>
          </w:p>
        </w:tc>
        <w:tc>
          <w:tcPr>
            <w:tcW w:w="1066" w:type="dxa"/>
            <w:vMerge w:val="continue"/>
            <w:tcBorders>
              <w:tl2br w:val="nil"/>
              <w:tr2bl w:val="nil"/>
            </w:tcBorders>
            <w:vAlign w:val="center"/>
          </w:tcPr>
          <w:p>
            <w:pPr>
              <w:spacing w:line="579" w:lineRule="exact"/>
            </w:pPr>
          </w:p>
        </w:tc>
        <w:tc>
          <w:tcPr>
            <w:tcW w:w="1124" w:type="dxa"/>
            <w:vMerge w:val="continue"/>
            <w:tcBorders>
              <w:tl2br w:val="nil"/>
              <w:tr2bl w:val="nil"/>
            </w:tcBorders>
            <w:vAlign w:val="center"/>
          </w:tcPr>
          <w:p>
            <w:pPr>
              <w:spacing w:line="579" w:lineRule="exact"/>
            </w:pPr>
          </w:p>
        </w:tc>
        <w:tc>
          <w:tcPr>
            <w:tcW w:w="2111" w:type="dxa"/>
            <w:vMerge w:val="continue"/>
            <w:tcBorders>
              <w:tl2br w:val="nil"/>
              <w:tr2bl w:val="nil"/>
            </w:tcBorders>
            <w:vAlign w:val="center"/>
          </w:tcPr>
          <w:p>
            <w:pPr>
              <w:spacing w:line="579" w:lineRule="exact"/>
            </w:pPr>
          </w:p>
        </w:tc>
        <w:tc>
          <w:tcPr>
            <w:tcW w:w="2079" w:type="dxa"/>
            <w:vMerge w:val="continue"/>
            <w:tcBorders>
              <w:tl2br w:val="nil"/>
              <w:tr2bl w:val="nil"/>
            </w:tcBorders>
            <w:vAlign w:val="center"/>
          </w:tcPr>
          <w:p>
            <w:pPr>
              <w:spacing w:line="579" w:lineRule="exact"/>
            </w:pPr>
          </w:p>
        </w:tc>
        <w:tc>
          <w:tcPr>
            <w:tcW w:w="542" w:type="dxa"/>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符号</w:t>
            </w:r>
          </w:p>
        </w:tc>
        <w:tc>
          <w:tcPr>
            <w:tcW w:w="596" w:type="dxa"/>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值</w:t>
            </w:r>
          </w:p>
        </w:tc>
        <w:tc>
          <w:tcPr>
            <w:tcW w:w="1085" w:type="dxa"/>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单位</w:t>
            </w:r>
          </w:p>
        </w:tc>
        <w:tc>
          <w:tcPr>
            <w:tcW w:w="1113" w:type="dxa"/>
            <w:vMerge w:val="continue"/>
            <w:tcBorders>
              <w:tl2br w:val="nil"/>
              <w:tr2bl w:val="nil"/>
            </w:tcBorders>
            <w:vAlign w:val="center"/>
          </w:tcPr>
          <w:p>
            <w:pPr>
              <w:spacing w:line="579"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03" w:hRule="atLeast"/>
          <w:jc w:val="center"/>
        </w:trPr>
        <w:tc>
          <w:tcPr>
            <w:tcW w:w="1131"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rPr>
            </w:pPr>
            <w:r>
              <w:rPr>
                <w:rFonts w:ascii="方正书宋_GBK" w:eastAsia="方正书宋_GBK"/>
              </w:rPr>
              <w:t>部门产出</w:t>
            </w:r>
          </w:p>
        </w:tc>
        <w:tc>
          <w:tcPr>
            <w:tcW w:w="1066"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1124"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幼儿园毕业生生合格率</w:t>
            </w:r>
          </w:p>
          <w:p>
            <w:pPr>
              <w:widowControl/>
              <w:adjustRightInd w:val="0"/>
              <w:snapToGrid w:val="0"/>
              <w:spacing w:line="240" w:lineRule="auto"/>
              <w:rPr>
                <w:rFonts w:hint="eastAsia" w:ascii="仿宋_GB2312" w:hAnsi="仿宋_GB2312" w:eastAsia="仿宋_GB2312" w:cs="仿宋_GB2312"/>
              </w:rPr>
            </w:pPr>
          </w:p>
        </w:tc>
        <w:tc>
          <w:tcPr>
            <w:tcW w:w="2111"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2079"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幼儿园毕业生合格率</w:t>
            </w:r>
          </w:p>
          <w:p>
            <w:pPr>
              <w:widowControl/>
              <w:adjustRightInd w:val="0"/>
              <w:snapToGrid w:val="0"/>
              <w:spacing w:line="240" w:lineRule="auto"/>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596" w:type="dxa"/>
            <w:tcBorders>
              <w:tl2br w:val="nil"/>
              <w:tr2bl w:val="nil"/>
            </w:tcBorders>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13"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spacing w:line="240" w:lineRule="auto"/>
              <w:jc w:val="center"/>
              <w:rPr>
                <w:rFonts w:ascii="方正书宋_GBK" w:eastAsia="方正书宋_GBK"/>
              </w:rPr>
            </w:pPr>
            <w:r>
              <w:rPr>
                <w:rFonts w:hint="eastAsia" w:ascii="方正书宋_GBK" w:eastAsia="方正书宋_GBK"/>
              </w:rPr>
              <w:t>数量指标</w:t>
            </w:r>
          </w:p>
          <w:p>
            <w:pPr>
              <w:widowControl/>
              <w:adjustRightInd w:val="0"/>
              <w:snapToGrid w:val="0"/>
              <w:spacing w:line="240" w:lineRule="auto"/>
              <w:jc w:val="center"/>
              <w:rPr>
                <w:rFonts w:ascii="方正书宋_GBK" w:eastAsia="方正书宋_GBK"/>
              </w:rPr>
            </w:pPr>
          </w:p>
        </w:tc>
        <w:tc>
          <w:tcPr>
            <w:tcW w:w="1124"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111"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10分不低于95%得满分，否则不得分</w:t>
            </w:r>
          </w:p>
        </w:tc>
        <w:tc>
          <w:tcPr>
            <w:tcW w:w="2079"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p>
            <w:pPr>
              <w:spacing w:line="240" w:lineRule="auto"/>
              <w:rPr>
                <w:rFonts w:hint="eastAsia" w:ascii="仿宋_GB2312" w:hAnsi="仿宋_GB2312" w:eastAsia="仿宋_GB2312" w:cs="仿宋_GB2312"/>
              </w:rPr>
            </w:pPr>
          </w:p>
        </w:tc>
        <w:tc>
          <w:tcPr>
            <w:tcW w:w="542"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w:t>
            </w:r>
          </w:p>
          <w:p>
            <w:pPr>
              <w:widowControl/>
              <w:spacing w:line="240" w:lineRule="auto"/>
              <w:jc w:val="left"/>
              <w:rPr>
                <w:rFonts w:hint="eastAsia" w:ascii="仿宋_GB2312" w:hAnsi="仿宋_GB2312" w:eastAsia="仿宋_GB2312" w:cs="仿宋_GB2312"/>
              </w:rPr>
            </w:pPr>
          </w:p>
        </w:tc>
        <w:tc>
          <w:tcPr>
            <w:tcW w:w="596" w:type="dxa"/>
            <w:tcBorders>
              <w:tl2br w:val="nil"/>
              <w:tr2bl w:val="nil"/>
            </w:tcBorders>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p>
            <w:pPr>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13"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p>
            <w:pPr>
              <w:spacing w:line="24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11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11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079"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采购物资、建设工程合格率</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质量评价标准</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11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11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p>
            <w:pPr>
              <w:widowControl/>
              <w:adjustRightInd w:val="0"/>
              <w:snapToGrid w:val="0"/>
              <w:spacing w:line="240" w:lineRule="auto"/>
              <w:jc w:val="center"/>
              <w:rPr>
                <w:rFonts w:hint="eastAsia" w:ascii="仿宋_GB2312" w:hAnsi="仿宋_GB2312" w:eastAsia="仿宋_GB2312" w:cs="仿宋_GB2312"/>
              </w:rPr>
            </w:pPr>
          </w:p>
        </w:tc>
        <w:tc>
          <w:tcPr>
            <w:tcW w:w="2079"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及时</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年初工作计划</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11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教育经费使用控制率</w:t>
            </w:r>
          </w:p>
          <w:p>
            <w:pPr>
              <w:widowControl/>
              <w:adjustRightInd w:val="0"/>
              <w:snapToGrid w:val="0"/>
              <w:spacing w:line="240" w:lineRule="auto"/>
              <w:jc w:val="center"/>
              <w:rPr>
                <w:rFonts w:hint="eastAsia" w:ascii="仿宋_GB2312" w:hAnsi="仿宋_GB2312" w:eastAsia="仿宋_GB2312" w:cs="仿宋_GB2312"/>
              </w:rPr>
            </w:pPr>
          </w:p>
        </w:tc>
        <w:tc>
          <w:tcPr>
            <w:tcW w:w="211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w:t>
            </w:r>
          </w:p>
          <w:p>
            <w:pPr>
              <w:widowControl/>
              <w:adjustRightInd w:val="0"/>
              <w:snapToGrid w:val="0"/>
              <w:spacing w:line="240" w:lineRule="auto"/>
              <w:jc w:val="center"/>
              <w:rPr>
                <w:rFonts w:hint="eastAsia" w:ascii="仿宋_GB2312" w:hAnsi="仿宋_GB2312" w:eastAsia="仿宋_GB2312" w:cs="仿宋_GB2312"/>
              </w:rPr>
            </w:pPr>
          </w:p>
        </w:tc>
        <w:tc>
          <w:tcPr>
            <w:tcW w:w="2079"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支出的公用经费总额与预算安排得比率</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实际工作</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1"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066" w:type="dxa"/>
            <w:tcBorders>
              <w:tl2br w:val="nil"/>
              <w:tr2bl w:val="nil"/>
            </w:tcBorders>
            <w:vAlign w:val="center"/>
          </w:tcPr>
          <w:p>
            <w:pPr>
              <w:widowControl/>
              <w:adjustRightInd w:val="0"/>
              <w:snapToGrid w:val="0"/>
              <w:spacing w:line="579" w:lineRule="exact"/>
              <w:jc w:val="center"/>
              <w:rPr>
                <w:rFonts w:ascii="方正书宋_GBK" w:eastAsia="方正书宋_GBK"/>
              </w:rPr>
            </w:pPr>
            <w:r>
              <w:rPr>
                <w:rFonts w:ascii="方正书宋_GBK" w:eastAsia="方正书宋_GBK"/>
              </w:rPr>
              <w:t>社会</w:t>
            </w:r>
          </w:p>
          <w:p>
            <w:pPr>
              <w:widowControl/>
              <w:adjustRightInd w:val="0"/>
              <w:snapToGrid w:val="0"/>
              <w:spacing w:line="579" w:lineRule="exact"/>
              <w:jc w:val="center"/>
              <w:rPr>
                <w:rFonts w:ascii="方正书宋_GBK" w:eastAsia="方正书宋_GBK"/>
              </w:rPr>
            </w:pPr>
            <w:r>
              <w:rPr>
                <w:rFonts w:ascii="方正书宋_GBK" w:eastAsia="方正书宋_GBK"/>
              </w:rPr>
              <w:t>效益</w:t>
            </w:r>
          </w:p>
        </w:tc>
        <w:tc>
          <w:tcPr>
            <w:tcW w:w="1124" w:type="dxa"/>
            <w:tcBorders>
              <w:tl2br w:val="nil"/>
              <w:tr2bl w:val="nil"/>
            </w:tcBorders>
            <w:vAlign w:val="center"/>
          </w:tcPr>
          <w:p>
            <w:pPr>
              <w:widowControl/>
              <w:spacing w:line="240" w:lineRule="auto"/>
              <w:rPr>
                <w:rFonts w:hint="eastAsia" w:ascii="仿宋_GB2312" w:hAnsi="仿宋_GB2312" w:eastAsia="仿宋_GB2312" w:cs="仿宋_GB2312"/>
              </w:rPr>
            </w:pPr>
            <w:r>
              <w:rPr>
                <w:rFonts w:hint="eastAsia" w:ascii="仿宋_GB2312" w:hAnsi="仿宋_GB2312" w:eastAsia="仿宋_GB2312" w:cs="仿宋_GB2312"/>
              </w:rPr>
              <w:t>学前教育教育高质量发展</w:t>
            </w:r>
          </w:p>
        </w:tc>
        <w:tc>
          <w:tcPr>
            <w:tcW w:w="2111" w:type="dxa"/>
            <w:tcBorders>
              <w:tl2br w:val="nil"/>
              <w:tr2bl w:val="nil"/>
            </w:tcBorders>
            <w:vAlign w:val="center"/>
          </w:tcPr>
          <w:p>
            <w:pPr>
              <w:widowControl/>
              <w:spacing w:line="240" w:lineRule="auto"/>
              <w:rPr>
                <w:rFonts w:hint="eastAsia" w:ascii="仿宋_GB2312" w:hAnsi="仿宋_GB2312" w:eastAsia="仿宋_GB2312" w:cs="仿宋_GB2312"/>
              </w:rPr>
            </w:pPr>
            <w:r>
              <w:rPr>
                <w:rFonts w:hint="eastAsia" w:ascii="仿宋_GB2312" w:hAnsi="仿宋_GB2312" w:eastAsia="仿宋_GB2312" w:cs="仿宋_GB2312"/>
              </w:rPr>
              <w:t>10分学生家长对学校和社会满意度达到95%得满分</w:t>
            </w:r>
          </w:p>
        </w:tc>
        <w:tc>
          <w:tcPr>
            <w:tcW w:w="2079" w:type="dxa"/>
            <w:tcBorders>
              <w:tl2br w:val="nil"/>
              <w:tr2bl w:val="nil"/>
            </w:tcBorders>
            <w:vAlign w:val="center"/>
          </w:tcPr>
          <w:p>
            <w:pPr>
              <w:widowControl/>
              <w:spacing w:line="240" w:lineRule="auto"/>
              <w:rPr>
                <w:rFonts w:hint="eastAsia" w:ascii="仿宋_GB2312" w:hAnsi="仿宋_GB2312" w:eastAsia="仿宋_GB2312" w:cs="仿宋_GB2312"/>
              </w:rPr>
            </w:pPr>
            <w:r>
              <w:rPr>
                <w:rFonts w:hint="eastAsia" w:ascii="仿宋_GB2312" w:hAnsi="仿宋_GB2312" w:eastAsia="仿宋_GB2312" w:cs="仿宋_GB2312"/>
              </w:rPr>
              <w:t>推动学前教育从数量扩张向质量提高转变</w:t>
            </w:r>
          </w:p>
          <w:p>
            <w:pPr>
              <w:widowControl/>
              <w:adjustRightInd w:val="0"/>
              <w:snapToGrid w:val="0"/>
              <w:spacing w:line="240" w:lineRule="auto"/>
              <w:rPr>
                <w:rFonts w:hint="eastAsia" w:ascii="仿宋_GB2312" w:hAnsi="仿宋_GB2312" w:eastAsia="仿宋_GB2312" w:cs="仿宋_GB2312"/>
              </w:rPr>
            </w:pPr>
          </w:p>
        </w:tc>
        <w:tc>
          <w:tcPr>
            <w:tcW w:w="542" w:type="dxa"/>
            <w:tcBorders>
              <w:tl2br w:val="nil"/>
              <w:tr2bl w:val="nil"/>
            </w:tcBorders>
            <w:vAlign w:val="center"/>
          </w:tcPr>
          <w:p>
            <w:pPr>
              <w:widowControl/>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p>
            <w:pPr>
              <w:widowControl/>
              <w:adjustRightInd w:val="0"/>
              <w:snapToGrid w:val="0"/>
              <w:spacing w:line="24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579" w:lineRule="exact"/>
              <w:jc w:val="center"/>
              <w:rPr>
                <w:rFonts w:ascii="方正书宋_GBK" w:eastAsia="方正书宋_GBK"/>
              </w:rPr>
            </w:pPr>
            <w:r>
              <w:rPr>
                <w:rFonts w:hint="eastAsia" w:ascii="方正书宋_GBK" w:eastAsia="方正书宋_GBK"/>
              </w:rPr>
              <w:t>满意度</w:t>
            </w:r>
          </w:p>
        </w:tc>
        <w:tc>
          <w:tcPr>
            <w:tcW w:w="1124"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家长的满意程度</w:t>
            </w:r>
          </w:p>
          <w:p>
            <w:pPr>
              <w:widowControl/>
              <w:adjustRightInd w:val="0"/>
              <w:snapToGrid w:val="0"/>
              <w:spacing w:line="240" w:lineRule="auto"/>
              <w:jc w:val="center"/>
              <w:rPr>
                <w:rFonts w:hint="eastAsia" w:ascii="仿宋_GB2312" w:hAnsi="仿宋_GB2312" w:eastAsia="仿宋_GB2312" w:cs="仿宋_GB2312"/>
              </w:rPr>
            </w:pPr>
          </w:p>
        </w:tc>
        <w:tc>
          <w:tcPr>
            <w:tcW w:w="2111"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079"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家长的满意程度</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调查问卷</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31" w:type="dxa"/>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579" w:lineRule="exact"/>
              <w:jc w:val="center"/>
              <w:rPr>
                <w:rFonts w:ascii="方正书宋_GBK" w:eastAsia="方正书宋_GBK"/>
              </w:rPr>
            </w:pPr>
            <w:r>
              <w:rPr>
                <w:rFonts w:hint="eastAsia" w:ascii="方正书宋_GBK" w:eastAsia="方正书宋_GBK"/>
              </w:rPr>
              <w:t>满意度</w:t>
            </w:r>
          </w:p>
        </w:tc>
        <w:tc>
          <w:tcPr>
            <w:tcW w:w="1124"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在校师生的满意程度</w:t>
            </w:r>
          </w:p>
          <w:p>
            <w:pPr>
              <w:widowControl/>
              <w:adjustRightInd w:val="0"/>
              <w:snapToGrid w:val="0"/>
              <w:spacing w:line="240" w:lineRule="auto"/>
              <w:jc w:val="center"/>
              <w:rPr>
                <w:rFonts w:hint="eastAsia" w:ascii="仿宋_GB2312" w:hAnsi="仿宋_GB2312" w:eastAsia="仿宋_GB2312" w:cs="仿宋_GB2312"/>
              </w:rPr>
            </w:pPr>
          </w:p>
        </w:tc>
        <w:tc>
          <w:tcPr>
            <w:tcW w:w="2111"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p>
            <w:pPr>
              <w:widowControl/>
              <w:adjustRightInd w:val="0"/>
              <w:snapToGrid w:val="0"/>
              <w:spacing w:line="240" w:lineRule="auto"/>
              <w:jc w:val="center"/>
              <w:rPr>
                <w:rFonts w:hint="eastAsia" w:ascii="仿宋_GB2312" w:hAnsi="仿宋_GB2312" w:eastAsia="仿宋_GB2312" w:cs="仿宋_GB2312"/>
              </w:rPr>
            </w:pPr>
          </w:p>
        </w:tc>
        <w:tc>
          <w:tcPr>
            <w:tcW w:w="2079"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在校师生的满意程度</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调查问卷</w:t>
            </w:r>
          </w:p>
          <w:p>
            <w:pPr>
              <w:widowControl/>
              <w:adjustRightInd w:val="0"/>
              <w:snapToGrid w:val="0"/>
              <w:spacing w:line="240" w:lineRule="auto"/>
              <w:jc w:val="center"/>
              <w:rPr>
                <w:rFonts w:hint="eastAsia" w:ascii="仿宋_GB2312" w:hAnsi="仿宋_GB2312" w:eastAsia="仿宋_GB2312" w:cs="仿宋_GB2312"/>
              </w:rPr>
            </w:pPr>
          </w:p>
        </w:tc>
      </w:tr>
    </w:tbl>
    <w:p>
      <w:pPr>
        <w:spacing w:line="579" w:lineRule="exact"/>
        <w:rPr>
          <w:rFonts w:ascii="仿宋_GB2312" w:eastAsia="仿宋_GB2312"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79" w:lineRule="exact"/>
        <w:ind w:firstLine="560" w:firstLineChars="200"/>
        <w:jc w:val="left"/>
        <w:outlineLvl w:val="1"/>
        <w:rPr>
          <w:rFonts w:hint="eastAsia" w:ascii="仿宋_GB2312" w:hAnsi="仿宋_GB2312" w:eastAsia="仿宋_GB2312" w:cs="仿宋_GB2312"/>
        </w:rPr>
      </w:pPr>
      <w:r>
        <w:rPr>
          <w:rFonts w:hint="eastAsia" w:ascii="仿宋_GB2312" w:hAnsi="仿宋_GB2312" w:eastAsia="仿宋_GB2312" w:cs="仿宋_GB2312"/>
          <w:sz w:val="28"/>
        </w:rPr>
        <w:t>1.</w:t>
      </w:r>
      <w:bookmarkStart w:id="0" w:name="_Toc29799657"/>
      <w:bookmarkEnd w:id="0"/>
      <w:r>
        <w:rPr>
          <w:rFonts w:hint="eastAsia" w:ascii="仿宋_GB2312" w:hAnsi="仿宋_GB2312" w:eastAsia="仿宋_GB2312" w:cs="仿宋_GB2312"/>
          <w:sz w:val="28"/>
        </w:rPr>
        <w:t xml:space="preserve"> </w:t>
      </w:r>
      <w:r>
        <w:rPr>
          <w:rFonts w:hint="eastAsia" w:ascii="仿宋_GB2312" w:hAnsi="仿宋_GB2312" w:eastAsia="仿宋_GB2312" w:cs="仿宋_GB2312"/>
          <w:color w:val="000000"/>
          <w:sz w:val="28"/>
        </w:rPr>
        <w:t>幼儿园生均经费绩效目标表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1.我园将按照资金使用要求，根据日常需要安排日常办公、维修维护、购买专用材料和玩教具等。2.开展教师培训，提高教师队伍水平.3.开展文体活动，提高幼儿综合素质。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指标值</w:t>
            </w:r>
          </w:p>
        </w:tc>
        <w:tc>
          <w:tcPr>
            <w:tcW w:w="2155"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申请生均公用经费的学生人数</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268人</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使用生均公用经费，用于保障学校正常运转的项目支出成本等于400元/生</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400元</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学前教育高质量发展</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该资金用于学校正常运转，改善办学条件，促进学前教育均衡发展及学生素质提高</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≥90%</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问卷调查</w:t>
            </w:r>
          </w:p>
        </w:tc>
      </w:tr>
    </w:tbl>
    <w:p>
      <w:pPr>
        <w:spacing w:line="240" w:lineRule="auto"/>
        <w:ind w:firstLine="560" w:firstLineChars="200"/>
        <w:jc w:val="left"/>
        <w:outlineLvl w:val="1"/>
        <w:rPr>
          <w:rFonts w:hint="eastAsia" w:ascii="仿宋_GB2312" w:hAnsi="仿宋_GB2312" w:eastAsia="仿宋_GB2312" w:cs="仿宋_GB2312"/>
          <w:sz w:val="28"/>
        </w:rPr>
      </w:pPr>
    </w:p>
    <w:p>
      <w:pPr>
        <w:spacing w:line="240" w:lineRule="auto"/>
        <w:ind w:firstLine="560" w:firstLineChars="200"/>
        <w:jc w:val="left"/>
        <w:outlineLvl w:val="1"/>
        <w:rPr>
          <w:rFonts w:hint="eastAsia" w:ascii="仿宋_GB2312" w:hAnsi="仿宋_GB2312" w:eastAsia="仿宋_GB2312" w:cs="仿宋_GB2312"/>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 xml:space="preserve"> 合同制教师人员经费绩效目标表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1.缓解教师短缺，保障教育教学正常的进行</w:t>
            </w:r>
          </w:p>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2.保障教学质量，提升教育水平</w:t>
            </w:r>
          </w:p>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3.保障合同制教师工资福利待遇，并及时发放。</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指标值</w:t>
            </w:r>
          </w:p>
        </w:tc>
        <w:tc>
          <w:tcPr>
            <w:tcW w:w="2155"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合同制教师在校人数</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保障2022合同制教师 19人工资福利</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19人</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合同制教师完成岗位目标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不同学科合同制教师岗位目标明确，并得以执行</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完成岗位目标职责</w:t>
            </w:r>
          </w:p>
          <w:p>
            <w:pPr>
              <w:pStyle w:val="14"/>
              <w:spacing w:line="240" w:lineRule="auto"/>
              <w:rPr>
                <w:rFonts w:hint="eastAsia" w:ascii="仿宋_GB2312" w:hAnsi="仿宋_GB2312" w:eastAsia="仿宋_GB2312" w:cs="仿宋_GB2312"/>
                <w:kern w:val="2"/>
                <w:szCs w:val="22"/>
                <w:lang w:eastAsia="zh-CN"/>
              </w:rPr>
            </w:pP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合同制教师的考核合格率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合格率达到100%</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≥98%</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资金支出率（%）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按月支付合同制教师工资及缴纳社会保障及住房公积金</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保障项目正常运行</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合同制教师薪酬测算标准</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根据廊广传【2021】19号文件合同制教师与在职教师同工同酬</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缓解师资供需矛盾</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缓解教师短缺，保障教育教学正常的进行</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学生满意度</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所教班级学生满意度</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学校满意度</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在校教师满意度</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家长满意度</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所教班级家长满意度</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79" w:lineRule="exact"/>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spacing w:line="579" w:lineRule="exact"/>
        <w:jc w:val="left"/>
        <w:outlineLvl w:val="1"/>
        <w:rPr>
          <w:rFonts w:ascii="方正小标宋_GBK" w:eastAsia="方正小标宋_GBK" w:cs="Times New Roman"/>
          <w:sz w:val="32"/>
        </w:rPr>
      </w:pPr>
      <w:r>
        <w:t>***廊坊市</w:t>
      </w:r>
      <w:r>
        <w:rPr>
          <w:rFonts w:hint="eastAsia"/>
        </w:rPr>
        <w:t>广阳区第一幼儿园*</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广阳区第一幼儿园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315.15</w:t>
      </w:r>
      <w:r>
        <w:rPr>
          <w:rFonts w:ascii="Times New Roman" w:hAnsi="Times New Roman" w:eastAsia="仿宋_GB2312" w:cs="Times New Roman"/>
          <w:sz w:val="32"/>
          <w:szCs w:val="32"/>
        </w:rPr>
        <w:t>万元，本年度我部门拟购置固定资产</w:t>
      </w:r>
      <w:r>
        <w:rPr>
          <w:rFonts w:hint="eastAsia" w:ascii="Times New Roman" w:hAnsi="Times New Roman" w:eastAsia="仿宋_GB2312" w:cs="Times New Roman"/>
          <w:sz w:val="32"/>
          <w:szCs w:val="32"/>
        </w:rPr>
        <w:t>总额为10万元，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8台交互平板大屏</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广阳区第一幼儿园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32"/>
                <w:szCs w:val="32"/>
              </w:rPr>
              <w:t>315.15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1908.34</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4506</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185.15</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42D32"/>
    <w:rsid w:val="000F6018"/>
    <w:rsid w:val="0012502E"/>
    <w:rsid w:val="001D3FC1"/>
    <w:rsid w:val="0025632D"/>
    <w:rsid w:val="003059E0"/>
    <w:rsid w:val="003168B2"/>
    <w:rsid w:val="00391C68"/>
    <w:rsid w:val="004149CC"/>
    <w:rsid w:val="004A54AA"/>
    <w:rsid w:val="004B131B"/>
    <w:rsid w:val="005652BA"/>
    <w:rsid w:val="00586496"/>
    <w:rsid w:val="006365B6"/>
    <w:rsid w:val="006604E3"/>
    <w:rsid w:val="0071242F"/>
    <w:rsid w:val="007F1C88"/>
    <w:rsid w:val="00872BD7"/>
    <w:rsid w:val="00890CC6"/>
    <w:rsid w:val="00944233"/>
    <w:rsid w:val="009B301B"/>
    <w:rsid w:val="009C1FE4"/>
    <w:rsid w:val="00A442E4"/>
    <w:rsid w:val="00A95870"/>
    <w:rsid w:val="00B40732"/>
    <w:rsid w:val="00B80935"/>
    <w:rsid w:val="00B83722"/>
    <w:rsid w:val="00D347CC"/>
    <w:rsid w:val="00D3558A"/>
    <w:rsid w:val="00D874E1"/>
    <w:rsid w:val="00DC72B4"/>
    <w:rsid w:val="00E47057"/>
    <w:rsid w:val="00EB1DB3"/>
    <w:rsid w:val="00ED2389"/>
    <w:rsid w:val="00F253EB"/>
    <w:rsid w:val="00F62E7E"/>
    <w:rsid w:val="00FF46B6"/>
    <w:rsid w:val="0CEC1180"/>
    <w:rsid w:val="40724AC6"/>
    <w:rsid w:val="472043FB"/>
    <w:rsid w:val="4CEC5B1B"/>
    <w:rsid w:val="56C263D1"/>
    <w:rsid w:val="594C6F59"/>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02FF1-FA4E-4501-AC9E-8D7D56A4BA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841</Words>
  <Characters>4795</Characters>
  <Lines>39</Lines>
  <Paragraphs>11</Paragraphs>
  <TotalTime>53</TotalTime>
  <ScaleCrop>false</ScaleCrop>
  <LinksUpToDate>false</LinksUpToDate>
  <CharactersWithSpaces>5625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2022-07-07T02:16:16Z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665DE41880844F56BF8E7DBAFFCAB804</vt:lpwstr>
  </property>
</Properties>
</file>