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lang w:val="en-US" w:eastAsia="zh-CN"/>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w:t>
      </w:r>
      <w:r>
        <w:rPr>
          <w:rFonts w:hint="eastAsia" w:ascii="Times New Roman" w:hAnsi="Times New Roman" w:eastAsia="方正小标宋简体" w:cs="Times New Roman"/>
          <w:sz w:val="44"/>
          <w:szCs w:val="44"/>
          <w:lang w:val="en-US" w:eastAsia="zh-CN"/>
        </w:rPr>
        <w:t>区委网信办</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（一）</w:t>
      </w:r>
      <w:r>
        <w:rPr>
          <w:rFonts w:ascii="Times New Roman" w:hAnsi="Times New Roman" w:eastAsia="仿宋_GB2312"/>
          <w:color w:val="000000"/>
          <w:sz w:val="32"/>
          <w:szCs w:val="32"/>
        </w:rPr>
        <w:t>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w:t>
      </w:r>
    </w:p>
    <w:p>
      <w:pPr>
        <w:spacing w:line="580" w:lineRule="exact"/>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二</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组织研究起草我区网络安全和信息化发展战略、宏观规划和重大政策。统筹推进我区网络安全和信息化法治、标准建设，按照规定负责相关法规、规章等的实施和监督检查，按照规定推动落实网络安全和信息化领域标准并监督实施；依法完善与信息化相关的统计调查制度。</w:t>
      </w:r>
    </w:p>
    <w:p>
      <w:pPr>
        <w:spacing w:line="580" w:lineRule="exact"/>
        <w:ind w:firstLine="480" w:firstLineChars="15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三</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统筹协调全区网络安全保障体系和可信体系建设。协调有关部门制定相关行业网络安全规划及保障评价指标体系，协调信息安全保护工作；指导推进全区党政军部门、重点行业网络安全保障和信息化工作；协调推动网络安全和信息化核心技术、关键设备等重大科技攻关，统筹推进网络安全和信息化核心技术、关键设备等重大科技攻关，统筹推进网络安全和信息化军民融合深度发展；推进网络强区建设，协调推动全区公共服务和社会治理信息化；指导全区网络安全信息共享和通报。</w:t>
      </w:r>
    </w:p>
    <w:p>
      <w:pPr>
        <w:spacing w:line="580" w:lineRule="exact"/>
        <w:ind w:firstLine="480" w:firstLineChars="15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四</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督促落实我区涉及政治、经济、文化、社会、生态及军事等各个领域网络安全和信息化重大事项；负责协调处理网络安全和信息化重大突发事件与有关应急工作。</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负责全区互联网信息内容管理。统筹协调组织互联网宣传管理和舆论引导工作，组织开展网上评论，指导推动网络评论队伍建设，维护互联网意识形态安全；研究拟订互联网新闻信息传播相关政策；负责互联网想信息内容监督管理执法，组织开展网络舆论生态治理，依法指导和管理本区落地网站及区内新媒体新应用，会同有关部门处置和封堵网上有害信息，依照相关法律和规定查处违法违规行为和网站。</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六</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负责指导协调全区网络舆情工作。收集、分析、研判、报送和处置网络舆情信息，依法规范舆情服务市场。</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推动全区网络阵地建设和重点新闻网站规划建设。指导协调网络游戏、网络视听、网络出版等相关业务，推动移动互联网发展，会同有关部门推动传统媒体与新兴媒体融合发展；负责全区网站转载新闻稿源的管理。</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八</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推动全区网络网社会工作和网络文化、网络文明建设；发展、联系、服务网络社会组织，指导互联网行业自律，推动网站党建工作。</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九</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落实互联网信息服务资本准入和信息网络行业安全审查的有关政策。依法按程序办理全区网络新闻业务和论坛、博客、搜索引擎等具有新闻舆论及社会动员功能业务及日常监管；指导全区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区移动互联网管理。</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协调推进全区信息网络行业自主创新和发展。协调开展全区互联网经济和发展态势研究，推动建立健全我区信息网络行业投融资支持服务体系、技术创新服务体系，统筹协调全区重要信息资源的开发利用与共享。</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十一</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规划指导区内机构开展金融信息服务业务。组织开展全区金融信息服务市场监管；协调金融监管部门建立全区网络金融信息发布、传播监管制度及工作机制。</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十二</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组织拟订网络安全和信息化干部人才队伍发展规划，组织开展万物更新系统干部教育培训和人才队伍建设，规划指导全区互联网新闻信息服务从业人员教育培训和考评工作，组织开展网络媒介素养教育。</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十三</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组织开展相关领域国内国际交流与合作。</w:t>
      </w:r>
    </w:p>
    <w:p>
      <w:pPr>
        <w:spacing w:line="58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十四</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指导、检查、推动各级各部门网络安全和信息化工作。</w:t>
      </w:r>
    </w:p>
    <w:p>
      <w:pPr>
        <w:spacing w:line="58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十五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完成省委、市委网络安全和信息化委员会办公室（省、市互联网信息办公室）和区委、区政府及区委网络安全和信息化委员会、区委宣传部交办的其他任务。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中共廊坊市广阳区委网信办</w:t>
            </w:r>
          </w:p>
        </w:tc>
        <w:tc>
          <w:tcPr>
            <w:tcW w:w="1134"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行政单位</w:t>
            </w:r>
          </w:p>
        </w:tc>
        <w:tc>
          <w:tcPr>
            <w:tcW w:w="1276"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正科级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105.83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92.66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13.17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信息安全事务支出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181.83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87.33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11.33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人员经费和公用经费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信息安全事务</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13.17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广阳区康宁街2号</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完善网络舆情监测研判，确保全区网络舆论安全，加强网络宣传，营造良好网络，开展网络生态治理，保障网络安全和关键信息基础设施可靠稳定，全面提升信息化建设水平。建设、管理和维护政务数据中心、网络维护中心和安全管理中心，确保各项工作顺利开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完善网络舆情监测研判，确保全区网络舆论安全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绩效目标：通过对全网实时监测，掌握舆情状态，把握舆情的走向，便于有针对性采取措施，实现有效抑制负面影响，避免负面舆情的大规模爆发，并为领导决策提供准确、全面的信息。</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数量指标：全年监测到涉及我区的舆情信息数量≥20000条</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质量指标：重大舆情监测覆盖率=全年监测到涉及我区的重大舆情数量/全年监测到涉及我区的舆情信息总量*100%≥95%</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时效指标：全天进行舆情监测的时长=24小时</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社会效益：有效改善网络环境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可持续影响：持续优化网络舆情监测和处置率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加强网络宣传，营造良好网络</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绩效目标：通过开展网络宣传，增强我区广大群众网络安全意识，提升网络安全防范技能，营造安全健康文明的网络环境和清朗有序的网络空间，保障建设经济强区、美丽广阳的实现。</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数量指标：网络安全宣传受益人数≥1000人</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质量指标：网络安全宣传区域覆盖率≥80%</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时效指标：网站上登载信息的及时性≤1天</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社会效益：拓宽广阳区网上宣传辐射范围，提升广阳区知晓率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可持续影响：持续开展网络安全宣传工作</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建设、管理和维护政务数据中心和网络维护中心，确保各项业务工作顺利开展</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绩效目标：通过建设、管理和维护广阳区政务数据中心、网络维护中心，有效增进政务互联互通和政务资本共享，组成广阳区电子政务收集和资本共享平台，为我区各项业务办理提供便利。</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数量指标：维护广阳区网络节点数量≥90个</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质量指标：广阳区政务外网网速达标率≥80%</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时效指标：广阳区政务网络发生故障后维护方响应时间≤30分钟</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社会效益：有效改善全区政务外网服务质量　</w:t>
      </w:r>
    </w:p>
    <w:p>
      <w:pPr>
        <w:pStyle w:val="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可持续影响：持续向全区人民提供服务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为进一步规范财务活动行为，有效防范财务风险，确保资金使用安全、规范，提高我部门（单位）整体绩效目标，在原有的财务制度的基础上进行优化完善，规范了各项管理。具体措施如下：</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完善制度建设</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加强支出管理</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部门按规定拨付资金。同时，财政局会同主管部门不定期监督检查项目资金实施进度和资金使用情况，每年抽样进行绩效评估，对查出的问题及时提出处理意见和改进措施。</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加强绩效运行监控</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部门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做好绩效自评</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依照《广阳区财政局关于开展部门整体绩效自评》的通知，我单位每年年底对本单位执行财务纪律及有关政策情况和内部财务管理制度的建立健全、执行情况开展认真自查，及时纠正。</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规范财务资产管理</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为更加规范固定资产的管理，我单位财务人员对机关所有资产进行统一登记，对没有使用价值的固定资产进行报废处理，改善资产结构，优化资源配置，减少无效资产占用，提高资产使用效率。</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加强内部监督</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加强宣传培训调研</w:t>
      </w:r>
    </w:p>
    <w:p>
      <w:pPr>
        <w:pStyle w:val="2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numPr>
          <w:ilvl w:val="0"/>
          <w:numId w:val="1"/>
        </w:num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9"/>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95"/>
        <w:gridCol w:w="855"/>
        <w:gridCol w:w="1338"/>
        <w:gridCol w:w="2172"/>
        <w:gridCol w:w="1483"/>
        <w:gridCol w:w="543"/>
        <w:gridCol w:w="679"/>
        <w:gridCol w:w="660"/>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3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8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95" w:type="dxa"/>
            <w:vMerge w:val="continue"/>
            <w:tcBorders>
              <w:tl2br w:val="nil"/>
              <w:tr2bl w:val="nil"/>
            </w:tcBorders>
            <w:vAlign w:val="center"/>
          </w:tcPr>
          <w:p/>
        </w:tc>
        <w:tc>
          <w:tcPr>
            <w:tcW w:w="855" w:type="dxa"/>
            <w:vMerge w:val="continue"/>
            <w:tcBorders>
              <w:tl2br w:val="nil"/>
              <w:tr2bl w:val="nil"/>
            </w:tcBorders>
            <w:vAlign w:val="center"/>
          </w:tcPr>
          <w:p/>
        </w:tc>
        <w:tc>
          <w:tcPr>
            <w:tcW w:w="1338"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7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6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9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95"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部门产出</w:t>
            </w: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数量</w:t>
            </w:r>
          </w:p>
        </w:tc>
        <w:tc>
          <w:tcPr>
            <w:tcW w:w="1338"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全年收集、分析、上报舆情信息的数量</w:t>
            </w:r>
          </w:p>
        </w:tc>
        <w:tc>
          <w:tcPr>
            <w:tcW w:w="2172"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分值15分，满足指标值得满分，少1条扣1分</w:t>
            </w:r>
          </w:p>
        </w:tc>
        <w:tc>
          <w:tcPr>
            <w:tcW w:w="1483"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全年收集、分析、上报舆情信息的数量</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679" w:type="dxa"/>
            <w:tcBorders>
              <w:tl2br w:val="nil"/>
              <w:tr2bl w:val="nil"/>
            </w:tcBorders>
            <w:vAlign w:val="center"/>
          </w:tcPr>
          <w:p>
            <w:pPr>
              <w:widowControl/>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20000</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条</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年初</w:t>
            </w: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网络安全宣传区域覆盖率</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分值15分，满足指标值得满分，少1%扣1分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网络安全宣传区域覆盖率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679" w:type="dxa"/>
            <w:tcBorders>
              <w:tl2br w:val="nil"/>
              <w:tr2bl w:val="nil"/>
            </w:tcBorders>
            <w:vAlign w:val="center"/>
          </w:tcPr>
          <w:p>
            <w:pPr>
              <w:widowControl/>
              <w:adjustRightInd w:val="0"/>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80</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年初</w:t>
            </w:r>
            <w:r>
              <w:rPr>
                <w:rFonts w:hint="eastAsia" w:ascii="仿宋_GB2312" w:hAnsi="仿宋_GB2312" w:eastAsia="仿宋_GB2312" w:cs="仿宋_GB2312"/>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1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舆情事件处置时间</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分值15分，满足指标值得满分，少1分钟扣1分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舆情监测事件从发现到处理的时间</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宋体" w:hAnsi="宋体" w:eastAsia="宋体" w:cs="宋体"/>
                <w:lang w:val="en-US" w:eastAsia="zh-CN"/>
              </w:rPr>
              <w:t>≦</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小时</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成本</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网信部门整体支出标准</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分值15分，满足指标值得满分，不满足不得分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网信部门整体支出标准</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按统一规定执行</w:t>
            </w:r>
          </w:p>
        </w:tc>
        <w:tc>
          <w:tcPr>
            <w:tcW w:w="999"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45" w:hRule="atLeast"/>
          <w:jc w:val="center"/>
        </w:trPr>
        <w:tc>
          <w:tcPr>
            <w:tcW w:w="595"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部门效果</w:t>
            </w: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w:t>
            </w:r>
          </w:p>
          <w:p>
            <w:pPr>
              <w:widowControl/>
              <w:adjustRightInd w:val="0"/>
              <w:snapToGrid w:val="0"/>
              <w:jc w:val="center"/>
              <w:rPr>
                <w:rFonts w:hint="eastAsia" w:ascii="方正书宋_GBK" w:eastAsia="方正书宋_GBK"/>
              </w:rPr>
            </w:pPr>
            <w:r>
              <w:rPr>
                <w:rFonts w:hint="eastAsia" w:ascii="方正书宋_GBK" w:eastAsia="方正书宋_GBK"/>
              </w:rPr>
              <w:t>效益</w:t>
            </w:r>
          </w:p>
        </w:tc>
        <w:tc>
          <w:tcPr>
            <w:tcW w:w="1338"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有效改善全民上网环境</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分值15分，满足指标值得满分，不满足不得分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有效改善全民上网环境</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改善</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7"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可持续影响指标</w:t>
            </w:r>
          </w:p>
        </w:tc>
        <w:tc>
          <w:tcPr>
            <w:tcW w:w="1338" w:type="dxa"/>
            <w:tcBorders>
              <w:tl2br w:val="nil"/>
              <w:tr2bl w:val="nil"/>
            </w:tcBorders>
            <w:vAlign w:val="top"/>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持续向全区群众提供服务</w:t>
            </w:r>
          </w:p>
        </w:tc>
        <w:tc>
          <w:tcPr>
            <w:tcW w:w="2172" w:type="dxa"/>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分值15分，满足指标值得满分，不满足不得分</w:t>
            </w:r>
          </w:p>
        </w:tc>
        <w:tc>
          <w:tcPr>
            <w:tcW w:w="1483"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持续向全区群众提供服务</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可持续</w:t>
            </w:r>
          </w:p>
        </w:tc>
        <w:tc>
          <w:tcPr>
            <w:tcW w:w="999" w:type="dxa"/>
            <w:tcBorders>
              <w:tl2br w:val="nil"/>
              <w:tr2bl w:val="nil"/>
            </w:tcBorders>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95"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5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满意度</w:t>
            </w:r>
          </w:p>
        </w:tc>
        <w:tc>
          <w:tcPr>
            <w:tcW w:w="1338"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服务对象满意人数占总人数的比率</w:t>
            </w:r>
          </w:p>
        </w:tc>
        <w:tc>
          <w:tcPr>
            <w:tcW w:w="2172" w:type="dxa"/>
            <w:tcBorders>
              <w:tl2br w:val="nil"/>
              <w:tr2bl w:val="nil"/>
            </w:tcBorders>
            <w:noWrap/>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分值10分，满足指标值得满分，少1%扣1分</w:t>
            </w:r>
          </w:p>
        </w:tc>
        <w:tc>
          <w:tcPr>
            <w:tcW w:w="1483" w:type="dxa"/>
            <w:tcBorders>
              <w:tl2br w:val="nil"/>
              <w:tr2bl w:val="nil"/>
            </w:tcBorders>
            <w:noWrap/>
            <w:vAlign w:val="center"/>
          </w:tcPr>
          <w:p>
            <w:pPr>
              <w:widowControl/>
              <w:adjustRightInd w:val="0"/>
              <w:snapToGrid w:val="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服务对象满意人数占总人数的比率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67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66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9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调查问卷</w:t>
            </w:r>
          </w:p>
        </w:tc>
      </w:tr>
    </w:tbl>
    <w:p>
      <w:pPr>
        <w:numPr>
          <w:ilvl w:val="0"/>
          <w:numId w:val="0"/>
        </w:numPr>
        <w:overflowPunct w:val="0"/>
        <w:adjustRightInd w:val="0"/>
        <w:snapToGrid w:val="0"/>
        <w:spacing w:after="156" w:afterLines="50" w:line="580" w:lineRule="exact"/>
        <w:jc w:val="left"/>
        <w:rPr>
          <w:rFonts w:hint="eastAsia" w:ascii="楷体_GB2312" w:eastAsia="楷体_GB2312" w:cs="Times New Roman"/>
          <w:b/>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广阳区政务外网服务项目</w:t>
      </w:r>
      <w:r>
        <w:rPr>
          <w:rFonts w:hint="eastAsia" w:ascii="仿宋_GB2312" w:hAnsi="仿宋_GB2312" w:eastAsia="仿宋_GB2312" w:cs="仿宋_GB2312"/>
          <w:color w:val="000000"/>
          <w:sz w:val="28"/>
          <w:lang w:val="en-US" w:eastAsia="zh-CN"/>
        </w:rPr>
        <w:t>经费</w:t>
      </w:r>
      <w:r>
        <w:rPr>
          <w:rFonts w:hint="eastAsia" w:ascii="仿宋_GB2312" w:hAnsi="仿宋_GB2312" w:eastAsia="仿宋_GB2312" w:cs="仿宋_GB2312"/>
          <w:sz w:val="28"/>
        </w:rPr>
        <w:t>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2186"/>
        <w:gridCol w:w="2467"/>
        <w:gridCol w:w="3973"/>
        <w:gridCol w:w="1655"/>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36"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通过此项目的开展，主要解决广阳区政务外网运行不畅等不利影响，确保我区政务部门面向社会的各种业务的正常开展。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18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6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97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服务节点数量</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服务广阳区政务外网网络节点数量</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≥90个</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网速达标率</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政务外网网速达标率</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时效指标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故障后响应时间</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发生故障后申告响应时间</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≤30分钟</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成本指标</w:t>
            </w:r>
          </w:p>
        </w:tc>
        <w:tc>
          <w:tcPr>
            <w:tcW w:w="2467"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成本节约率</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r>
              <w:rPr>
                <w:rFonts w:hint="eastAsia" w:ascii="仿宋_GB2312" w:hAnsi="仿宋_GB2312" w:eastAsia="仿宋_GB2312" w:cs="仿宋_GB2312"/>
              </w:rPr>
              <w:t>全年我区政务外网运维费用</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≤56万元</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67"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改善全区政务外网质量</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有效改善全区政务外网服务质量</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改善</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vMerge w:val="continue"/>
            <w:shd w:val="clear" w:color="auto" w:fill="auto"/>
            <w:vAlign w:val="center"/>
          </w:tcPr>
          <w:p>
            <w:pPr>
              <w:rPr>
                <w:rFonts w:hint="eastAsia" w:ascii="仿宋_GB2312" w:hAnsi="仿宋_GB2312" w:eastAsia="仿宋_GB2312" w:cs="仿宋_GB2312"/>
              </w:rPr>
            </w:pPr>
          </w:p>
        </w:tc>
        <w:tc>
          <w:tcPr>
            <w:tcW w:w="2186"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467"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向全区提供服务</w:t>
            </w:r>
          </w:p>
        </w:tc>
        <w:tc>
          <w:tcPr>
            <w:tcW w:w="397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向全区人民提供业务服务支撑</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可持续</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62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86"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67"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广阳区人民满意度</w:t>
            </w:r>
          </w:p>
        </w:tc>
        <w:tc>
          <w:tcPr>
            <w:tcW w:w="397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全区满意人员数量占总人数的比率</w:t>
            </w:r>
          </w:p>
        </w:tc>
        <w:tc>
          <w:tcPr>
            <w:tcW w:w="16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5"/>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舆情监测系统服务项目经费绩效目标表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1813"/>
        <w:gridCol w:w="3574"/>
        <w:gridCol w:w="4106"/>
        <w:gridCol w:w="1467"/>
        <w:gridCol w:w="17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0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sz w:val="24"/>
                <w:szCs w:val="24"/>
              </w:rPr>
              <w:t>通过此项目的开展，实时对突发公共事件的媒体报道和公众舆论信息进行统计分析，自动生成舆情监测专报，及时处理解决，避免造成社会负面影响。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81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357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10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6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7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exact"/>
          <w:jc w:val="center"/>
        </w:trPr>
        <w:tc>
          <w:tcPr>
            <w:tcW w:w="135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813" w:type="dxa"/>
            <w:shd w:val="clear" w:color="auto" w:fill="auto"/>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3574" w:type="dxa"/>
            <w:shd w:val="clear" w:color="auto" w:fill="auto"/>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舆情信息数量</w:t>
            </w:r>
          </w:p>
        </w:tc>
        <w:tc>
          <w:tcPr>
            <w:tcW w:w="4106" w:type="dxa"/>
            <w:shd w:val="clear" w:color="auto" w:fill="auto"/>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全年监测到涉及我区的舆情信息数量</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≥20000条</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重大舆情监控覆盖率</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重大舆情监控覆盖率=全年监测到涉及我区的重大舆情数量/全年监测到涉及我区的舆情信息总量*100%</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≥95%</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舆情信息监测时长</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全天进行舆情监测的时长</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24小时</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成本节约率</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全年舆情监测费用</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≤20万元</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社会效益指标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改善全区网络环境</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有效改善网络环境</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改善</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vMerge w:val="continue"/>
            <w:shd w:val="clear" w:color="auto" w:fill="auto"/>
            <w:vAlign w:val="center"/>
          </w:tcPr>
          <w:p>
            <w:pPr>
              <w:rPr>
                <w:rFonts w:hint="eastAsia" w:ascii="仿宋_GB2312" w:hAnsi="仿宋_GB2312" w:eastAsia="仿宋_GB2312" w:cs="仿宋_GB2312"/>
              </w:rPr>
            </w:pP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生态效益指标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持续优化网络舆情监测和处置率</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监测舆情并及时应对</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可持续</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135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13"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服务对象满意度指标</w:t>
            </w:r>
          </w:p>
        </w:tc>
        <w:tc>
          <w:tcPr>
            <w:tcW w:w="3574"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实现广阳区人民满意度</w:t>
            </w:r>
          </w:p>
        </w:tc>
        <w:tc>
          <w:tcPr>
            <w:tcW w:w="4106" w:type="dxa"/>
            <w:shd w:val="clear" w:color="auto" w:fill="auto"/>
            <w:vAlign w:val="center"/>
          </w:tcPr>
          <w:p>
            <w:pPr>
              <w:pStyle w:val="15"/>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全区满意人员数量占总人数</w:t>
            </w:r>
          </w:p>
        </w:tc>
        <w:tc>
          <w:tcPr>
            <w:tcW w:w="1467"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≥90%</w:t>
            </w:r>
          </w:p>
        </w:tc>
        <w:tc>
          <w:tcPr>
            <w:tcW w:w="1743" w:type="dxa"/>
            <w:shd w:val="clear" w:color="auto" w:fill="auto"/>
            <w:vAlign w:val="center"/>
          </w:tcPr>
          <w:p>
            <w:pPr>
              <w:pStyle w:val="15"/>
              <w:rPr>
                <w:rFonts w:hint="eastAsia" w:ascii="仿宋_GB2312" w:hAnsi="仿宋_GB2312" w:eastAsia="仿宋_GB2312" w:cs="仿宋_GB2312"/>
                <w:kern w:val="0"/>
                <w:sz w:val="24"/>
                <w:szCs w:val="24"/>
                <w:lang w:val="en-US" w:eastAsia="uk-UA" w:bidi="ar-SA"/>
              </w:rPr>
            </w:pPr>
            <w:r>
              <w:rPr>
                <w:rFonts w:hint="eastAsia" w:ascii="仿宋_GB2312" w:hAnsi="仿宋_GB2312" w:eastAsia="仿宋_GB2312" w:cs="仿宋_GB2312"/>
                <w:sz w:val="24"/>
                <w:szCs w:val="24"/>
              </w:rPr>
              <w:t>调查问卷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lang w:val="en-US" w:eastAsia="zh-CN"/>
        </w:rPr>
        <w:t>中共廊坊市广阳区委网信办</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w:t>
      </w:r>
      <w:r>
        <w:rPr>
          <w:rFonts w:hint="eastAsia" w:ascii="Times New Roman" w:hAnsi="Times New Roman" w:eastAsia="仿宋_GB2312" w:cs="Times New Roman"/>
          <w:sz w:val="32"/>
          <w:szCs w:val="32"/>
          <w:lang w:val="en-US" w:eastAsia="zh-CN"/>
        </w:rPr>
        <w:t>区委网信办</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56.134381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val="en-US" w:eastAsia="zh-CN"/>
              </w:rPr>
              <w:t>中共</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w:t>
            </w:r>
            <w:r>
              <w:rPr>
                <w:rFonts w:hint="eastAsia" w:ascii="Times New Roman" w:hAnsi="Times New Roman" w:eastAsia="仿宋_GB2312" w:cs="Times New Roman"/>
                <w:kern w:val="0"/>
                <w:sz w:val="22"/>
                <w:lang w:val="en-US" w:eastAsia="zh-CN"/>
              </w:rPr>
              <w:t>区委网信办</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56.134381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56.134381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949C0"/>
    <w:multiLevelType w:val="singleLevel"/>
    <w:tmpl w:val="114949C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7F5038"/>
    <w:rsid w:val="00944233"/>
    <w:rsid w:val="00B40732"/>
    <w:rsid w:val="00B80935"/>
    <w:rsid w:val="00D347CC"/>
    <w:rsid w:val="00DC72B4"/>
    <w:rsid w:val="01315981"/>
    <w:rsid w:val="02177F1F"/>
    <w:rsid w:val="06E16336"/>
    <w:rsid w:val="06F96183"/>
    <w:rsid w:val="07B812A2"/>
    <w:rsid w:val="0B0D09AC"/>
    <w:rsid w:val="0CA47010"/>
    <w:rsid w:val="0CEC1180"/>
    <w:rsid w:val="0E5E773D"/>
    <w:rsid w:val="1583726F"/>
    <w:rsid w:val="1A612406"/>
    <w:rsid w:val="1DCD230D"/>
    <w:rsid w:val="1F220750"/>
    <w:rsid w:val="217B7F7F"/>
    <w:rsid w:val="23961491"/>
    <w:rsid w:val="242155AF"/>
    <w:rsid w:val="249B741E"/>
    <w:rsid w:val="24D46493"/>
    <w:rsid w:val="343B2BF9"/>
    <w:rsid w:val="3A957639"/>
    <w:rsid w:val="3BBD3275"/>
    <w:rsid w:val="3F674452"/>
    <w:rsid w:val="42531A2F"/>
    <w:rsid w:val="45706350"/>
    <w:rsid w:val="4FE81735"/>
    <w:rsid w:val="52056214"/>
    <w:rsid w:val="52BC78D9"/>
    <w:rsid w:val="552309B0"/>
    <w:rsid w:val="55AC632D"/>
    <w:rsid w:val="59E534DC"/>
    <w:rsid w:val="6C613533"/>
    <w:rsid w:val="6FA5043E"/>
    <w:rsid w:val="70E069B3"/>
    <w:rsid w:val="73693C55"/>
    <w:rsid w:val="7AAF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4</TotalTime>
  <ScaleCrop>false</ScaleCrop>
  <LinksUpToDate>false</LinksUpToDate>
  <CharactersWithSpaces>3375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2022-07-07T02:22:48Z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DD41BB1F5DDE4458A8525095D1EC746C</vt:lpwstr>
  </property>
</Properties>
</file>