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广阳区司法局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（一）承担全面依法治区重大问题的政策研究。组织协调有关方面提出全面依法治区中长期规划建议，负责有关重大决策部署督察工作。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（二）负责区政府各部门、各乡镇（街道）规范性文件的备案审查工作。负责对区政府政策措施、规范性文件和合同协议的合法性审核工作；承办区政府交办的涉法事务；负责区政府规章的编纂工作。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三）承担统筹推进全区法治政府建设的责任。指导、监督区政府各部门、各乡镇（街道）依法行政工作；负责综合协调行政执法工作；承担推进行政执法体制改革有关工作；推进严格规范公正文明执法。依法承办行政复议案件；受区政府委托，代理行政诉讼案件的应诉；指导、监督全区行政复议和行政应诉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（四）承担统筹规划全区法治社会建设的责任。负责拟订全区法治宣传教育规划，组织实施普法宣传工作；推动全区人民参与和促进法治建设；指导全区依法治理和法治创建工作。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（五）负责全区社区矫正工作；负责全区刑满释放人员帮教安置工作。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六）负责制定全区公共法律服务体系建设规划并指导实施，统筹和布局城乡、区域法律服务资源。负责全区各乡镇（街道）司法所建设和人民调解工作、基层法律服务、人民陪审员选任工作、人民监督员选任工作、指导全区人民调解员协会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（七）指导、监督全区司法鉴定工作、法律援助工作、村居法律顾问工作、全区律师工作和法律服务所管理工作。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(八)管理和指导全区司法行政系统的队伍建设和思想政治工作；规划、协调、指导全区法治人才队伍建设相关工作。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（九）负责机关与下属单位的经费、国有资产、警车、物资、财务、装备、设施、场所等保障与监督工作。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(十)</w:t>
      </w:r>
      <w:r>
        <w:rPr>
          <w:rFonts w:hint="eastAsia" w:ascii="仿宋_GB2312" w:eastAsia="仿宋_GB2312"/>
          <w:sz w:val="32"/>
          <w:szCs w:val="32"/>
        </w:rPr>
        <w:t> </w:t>
      </w:r>
      <w:r>
        <w:rPr>
          <w:rFonts w:hint="eastAsia" w:ascii="仿宋_GB2312" w:hAnsi="仿宋" w:eastAsia="仿宋_GB2312"/>
          <w:sz w:val="32"/>
          <w:szCs w:val="32"/>
        </w:rPr>
        <w:t>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0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0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廊坊市广阳区司法局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408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825.33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825.33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广阳区司法局2022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825.33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654.22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560.82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运转类其他及特定目标类</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171.11</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825.33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110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减少61.11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171.11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社区矫正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政府法律顾问</w:t>
      </w:r>
      <w:r>
        <w:rPr>
          <w:rFonts w:ascii="Times New Roman" w:hAnsi="Times New Roman" w:eastAsia="仿宋_GB2312" w:cs="Times New Roman"/>
          <w:sz w:val="32"/>
          <w:szCs w:val="32"/>
        </w:rPr>
        <w:t>等项目支出。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93.4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司法局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相比减少2.19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减少2.19</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仿宋_GB2312" w:hAnsi="仿宋" w:eastAsia="仿宋_GB2312" w:cs="Times New Roman"/>
          <w:sz w:val="32"/>
          <w:szCs w:val="32"/>
        </w:rPr>
        <w:t>与2021年相比持平，无增减变化</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全区司法行政工作将继续围绕“精良管理当先锋，高端发展做贡献”主题实践活动，和政法干警核心价值观教育实践活动，深入开展社会矛盾化解、社会管理创新、公正廉洁执法和干部队伍建设四项重点任务，积极拓展矛盾纠纷调解、法律服务、法制宣传领域，进一步加强基层基础建设和队伍建设，深化司法行政体制改革和工作机制改革，努力提高司法行政工作专业化、规范化、法制化、信息化水平。</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kinsoku/>
        <w:wordWrap/>
        <w:overflowPunct/>
        <w:topLinePunct w:val="0"/>
        <w:autoSpaceDE/>
        <w:autoSpaceDN/>
        <w:bidi w:val="0"/>
        <w:adjustRightInd/>
        <w:snapToGrid/>
        <w:spacing w:line="584" w:lineRule="exact"/>
        <w:ind w:left="42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区矫正工作管理股绩效目标：负责监督检查社区矫正法律法规和政策的执行工作；制定全区社区矫正工作发展规划、管理制度、社区矫正场所建设和相关政策并组织实施；负责对辖区内社区服刑人员的衔接、教育矫正、帮扶、监督管理、考核奖惩、矫正解除或对社区矫正对象的刑罚执行等工作；组织、指导乡镇（街道）司法所开展社区矫正日常管理工作；协调有关部门对社区服刑人员进行教育矫正和帮困扶助；指导社会力量和志愿者参与社区矫正工作；负责全区刑满释放人员帮教安置工作。</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制股绩效目标：负责对区政府政策措施、合同协议的合法性审核；负责规范性文件的组织起草、审查备案、协调论证工作；对以区政府或区政府办公室名义印发规范性文件审核工作；组织或者参与涉及政府行为共同规范的法律、法规、规章执行情况的监督检查；组织区政府常务会会前学法；研究和推进行政执法相关配套制度；负责行政执法证件和罚没许可证的审核管理。</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行政执法综合协调工作；指导、监督全区各部门行政执法工作，推进严格规范公正文明执法；协调全区行政执法体制改革和行政执法普遍性重要性问题，协调部门之间行政执法中有关争议和问题；指导全区行政裁决工作。指导全区行政执法队伍规范化、制度化建设和行政执法人员培训工作；负责区政府职能转变、“放管服”等改革措施的法制协调工作；牵头负责区司法局“放管服”有关工作。</w:t>
      </w:r>
    </w:p>
    <w:p>
      <w:pPr>
        <w:pStyle w:val="20"/>
        <w:keepNext w:val="0"/>
        <w:keepLines w:val="0"/>
        <w:pageBreakBefore w:val="0"/>
        <w:kinsoku/>
        <w:wordWrap/>
        <w:overflowPunct/>
        <w:topLinePunct w:val="0"/>
        <w:autoSpaceDE/>
        <w:autoSpaceDN/>
        <w:bidi w:val="0"/>
        <w:adjustRightInd/>
        <w:snapToGrid/>
        <w:spacing w:line="584" w:lineRule="exact"/>
        <w:ind w:left="42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行政复议和行政应诉案件办理工作。依法受理行政复议申请，履行《中华人民共和国行政复议法》规定的各项职责；负责办理区政府交办的涉法事务，代理以区政府为被告的行政诉讼案件应诉工作；承办区政府、区政府各部门行政行为引起的行政复议案件；指导、监督全区行政复议和行政应诉工作；办理行政复议与应诉的统计分析、评价、问题建议和综合等事项；负责司法局的行政复议案件。</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实现本年度发展规划目标的保障措施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社区矫正保障措施：接</w:t>
      </w:r>
      <w:r>
        <w:rPr>
          <w:rFonts w:hint="eastAsia" w:ascii="仿宋_GB2312" w:hAnsi="仿宋_GB2312" w:eastAsia="仿宋_GB2312" w:cs="仿宋_GB2312"/>
          <w:sz w:val="32"/>
          <w:szCs w:val="32"/>
          <w:lang w:eastAsia="zh-CN"/>
        </w:rPr>
        <w:t>《中华人民共和国社区矫正法》</w:t>
      </w:r>
      <w:r>
        <w:rPr>
          <w:rFonts w:hint="eastAsia" w:ascii="仿宋_GB2312" w:hAnsi="仿宋_GB2312" w:eastAsia="仿宋_GB2312" w:cs="仿宋_GB2312"/>
          <w:sz w:val="32"/>
          <w:szCs w:val="32"/>
        </w:rPr>
        <w:t>颁布实施后，我局进一步完善有关法律文书格式，编制新的社区矫正和安置帮教工作手册，统一制作《社区服刑人员须知》等上墙制度共44块，切实完善了社区矫正工作制度规范。印发了《廊坊市广阳区关于进一步加强社区矫正工作衔接配合管理的实施方案》，对社区矫正工作中法律文书送达、紧急情况处置等方面工作进行细化，明确了各自职责，加强了公、检、法、司四部门衔接配合。强化对社区矫正对象边控措施，主动协调区公安分局争取配合，将辖区在矫人员全部录入出入境管理黑名单，从根本上杜绝了脱管问题出现。2021年我局累计接收社区矫正人员187人，累计解除社区矫正人员157人，收监执行2人，审前调查213人。</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律援助保障措施：建立完善广阳区公共法律服务中心，设立法律咨询、法律援助、人民调解3+X服务窗口，制定落实律师值班制度，安装满意度测评器，全年共接待群众来访咨询191人次，电话咨询113人次。引进集法律咨询、业务办理、法治宣传等功能于一体的智慧公共法律服务触摸一体机，宪法宣传周期间在广阳区公共法律服务中心、爱民东道逸锦家苑社区、万庄镇行政服务中心投入使用。 基层工作管理保障措施：以全区152个村（居）完成换届工作为契机，补充更换466名人民调解员。成立了广阳区人民调解中心，为每个调委会配备1名志愿律师参与调解工作，大力开展“两节”“两会”矛盾纠纷集中排查化解活动、民间矛盾纠纷排查化解“暖冬行动”、“抓实调解促和谐”民间矛盾纠纷排查化解专项行动，全区调处各类大小矛盾纠纷835件，成功801件，调解成功率达95%以上。我局万庄司法所荣获“全国模范司法所”称号。</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法治区保障措施：组织召开广阳区委2021年全面依法治区工作会议，起草通过了《区委全面依法治区委员会2021年工作要点》等文件；制订印发《法治广阳建设规划(2021-2025年)》《广阳区法治社会建设实施方案(2021-2025年)》等文件，科学谋划今后五年法治广阳建设。组织区政府常务会议会前学法6次，举办“习近平法治思想”专题网络培训班，进一步提高了领导干部和行政执法人员业务和素质水平。遴选法律专业人员57人（包括社会执业律师和法学教授），成立广阳区人民政府法治咨询委员会并制定工作规则，全年共审核合同、协议、文件76份，出席相关会议提出审查意见100余条，采纳法律顾问意见建议60余条。承办区政府行政应诉案件20件，已结案13件；收到行政复议申请8件，审结5件。</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治宣传教育的保障措施：印发实施《廊坊市广阳区法治宣传教育领导小组关于在全区开展法治宣传教育的第八个五年规划（2021－2025年）》。在全区开展“美好生活•民法典相伴”“全民国家安全教育日—反诈课堂”“送法进乡村”“赶法律大集”等主题宣传活动25次，发放宣传资料20000余份，悬挂条幅200余条，发放法治宣传产品500余份。特别是在加强未成年人法治教育方面，开展系列法治进校园活动，推动全区各中小学配齐法制副校长、法制辅导员和普法讲师团，编印《法律九进读本--进学校》、《民法典进校园》等法治宣传资料，进一步推进校园法治建设。</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法治区的保障措施：按上级要求，我局牵头推进行政处罚事项下放工作，今年下放第二批共涉及8个部门共26项行政处罚事项，及时确定了《乡镇和街道行政处罚事项清单》，完善了《广阳区乡镇街道综合行政执法文书样本》等重要法律文书，多次到乡镇街道就行政执法下放事项进行调研，对各地落实行政执法人员、办公场地、健全工作制度、配备相关器材等情况进行督导，为33名乡镇街道新增执法人员办理执法证件，顺利完成赋权承接工作。</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36"/>
        <w:gridCol w:w="708"/>
        <w:gridCol w:w="1560"/>
        <w:gridCol w:w="3543"/>
        <w:gridCol w:w="3916"/>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36"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一级指标</w:t>
            </w:r>
          </w:p>
        </w:tc>
        <w:tc>
          <w:tcPr>
            <w:tcW w:w="708"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二级</w:t>
            </w:r>
          </w:p>
          <w:p>
            <w:pPr>
              <w:widowControl/>
              <w:adjustRightInd w:val="0"/>
              <w:snapToGrid w:val="0"/>
              <w:spacing w:line="440" w:lineRule="exact"/>
              <w:jc w:val="center"/>
              <w:rPr>
                <w:rFonts w:ascii="方正书宋_GBK" w:eastAsia="方正书宋_GBK"/>
                <w:b/>
              </w:rPr>
            </w:pPr>
            <w:r>
              <w:rPr>
                <w:rFonts w:ascii="方正书宋_GBK" w:eastAsia="方正书宋_GBK"/>
                <w:b/>
              </w:rPr>
              <w:t>指标</w:t>
            </w:r>
          </w:p>
        </w:tc>
        <w:tc>
          <w:tcPr>
            <w:tcW w:w="1560"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三级</w:t>
            </w:r>
          </w:p>
          <w:p>
            <w:pPr>
              <w:widowControl/>
              <w:adjustRightInd w:val="0"/>
              <w:snapToGrid w:val="0"/>
              <w:spacing w:line="440" w:lineRule="exact"/>
              <w:jc w:val="center"/>
              <w:rPr>
                <w:rFonts w:ascii="方正书宋_GBK" w:eastAsia="方正书宋_GBK"/>
                <w:b/>
              </w:rPr>
            </w:pPr>
            <w:r>
              <w:rPr>
                <w:rFonts w:ascii="方正书宋_GBK" w:eastAsia="方正书宋_GBK"/>
                <w:b/>
              </w:rPr>
              <w:t>指标</w:t>
            </w:r>
          </w:p>
        </w:tc>
        <w:tc>
          <w:tcPr>
            <w:tcW w:w="3543"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评（扣）分标准</w:t>
            </w:r>
          </w:p>
        </w:tc>
        <w:tc>
          <w:tcPr>
            <w:tcW w:w="3916"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440" w:lineRule="exact"/>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指标值</w:t>
            </w:r>
          </w:p>
          <w:p>
            <w:pPr>
              <w:widowControl/>
              <w:adjustRightInd w:val="0"/>
              <w:snapToGrid w:val="0"/>
              <w:spacing w:line="4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36" w:type="dxa"/>
            <w:vMerge w:val="continue"/>
            <w:tcBorders>
              <w:tl2br w:val="nil"/>
              <w:tr2bl w:val="nil"/>
            </w:tcBorders>
            <w:vAlign w:val="center"/>
          </w:tcPr>
          <w:p>
            <w:pPr>
              <w:spacing w:line="440" w:lineRule="exact"/>
            </w:pPr>
          </w:p>
        </w:tc>
        <w:tc>
          <w:tcPr>
            <w:tcW w:w="708" w:type="dxa"/>
            <w:vMerge w:val="continue"/>
            <w:tcBorders>
              <w:tl2br w:val="nil"/>
              <w:tr2bl w:val="nil"/>
            </w:tcBorders>
            <w:vAlign w:val="center"/>
          </w:tcPr>
          <w:p>
            <w:pPr>
              <w:spacing w:line="440" w:lineRule="exact"/>
            </w:pPr>
          </w:p>
        </w:tc>
        <w:tc>
          <w:tcPr>
            <w:tcW w:w="1560" w:type="dxa"/>
            <w:vMerge w:val="continue"/>
            <w:tcBorders>
              <w:tl2br w:val="nil"/>
              <w:tr2bl w:val="nil"/>
            </w:tcBorders>
            <w:vAlign w:val="center"/>
          </w:tcPr>
          <w:p>
            <w:pPr>
              <w:spacing w:line="440" w:lineRule="exact"/>
            </w:pPr>
          </w:p>
        </w:tc>
        <w:tc>
          <w:tcPr>
            <w:tcW w:w="3543" w:type="dxa"/>
            <w:vMerge w:val="continue"/>
            <w:tcBorders>
              <w:tl2br w:val="nil"/>
              <w:tr2bl w:val="nil"/>
            </w:tcBorders>
            <w:vAlign w:val="center"/>
          </w:tcPr>
          <w:p>
            <w:pPr>
              <w:spacing w:line="440" w:lineRule="exact"/>
            </w:pPr>
          </w:p>
        </w:tc>
        <w:tc>
          <w:tcPr>
            <w:tcW w:w="3916" w:type="dxa"/>
            <w:vMerge w:val="continue"/>
            <w:tcBorders>
              <w:tl2br w:val="nil"/>
              <w:tr2bl w:val="nil"/>
            </w:tcBorders>
            <w:vAlign w:val="center"/>
          </w:tcPr>
          <w:p>
            <w:pPr>
              <w:spacing w:line="440" w:lineRule="exact"/>
            </w:pPr>
          </w:p>
        </w:tc>
        <w:tc>
          <w:tcPr>
            <w:tcW w:w="543" w:type="dxa"/>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部门产出</w:t>
            </w: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数量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聘请的律所数量</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满分10分，未聘请2个律所，少一个扣2.5分</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聘请的律师事务所数量</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continue"/>
            <w:tcBorders>
              <w:tl2br w:val="nil"/>
              <w:tr2bl w:val="nil"/>
            </w:tcBorders>
            <w:vAlign w:val="center"/>
          </w:tcPr>
          <w:p>
            <w:pPr>
              <w:widowControl/>
              <w:adjustRightInd w:val="0"/>
              <w:snapToGrid w:val="0"/>
              <w:spacing w:line="440" w:lineRule="exact"/>
              <w:jc w:val="center"/>
              <w:rPr>
                <w:rFonts w:ascii="方正书宋_GBK" w:eastAsia="方正书宋_GBK"/>
              </w:rPr>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数量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服务项目数量完成率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满分10分，完成率100%得满分，完成率每降低1%扣分值的1%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实际完成的服务项目数量与应完成的服务项目数量的比例</w:t>
            </w:r>
          </w:p>
        </w:tc>
        <w:tc>
          <w:tcPr>
            <w:tcW w:w="543" w:type="dxa"/>
            <w:tcBorders>
              <w:tl2br w:val="nil"/>
              <w:tr2bl w:val="nil"/>
            </w:tcBorders>
          </w:tcPr>
          <w:p>
            <w:pPr>
              <w:spacing w:line="440" w:lineRule="exact"/>
              <w:jc w:val="center"/>
              <w:rPr>
                <w:rFonts w:hint="eastAsia" w:ascii="仿宋_GB2312" w:hAnsi="仿宋_GB2312" w:eastAsia="仿宋_GB2312" w:cs="仿宋_GB2312"/>
              </w:rPr>
            </w:pPr>
          </w:p>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continue"/>
            <w:tcBorders>
              <w:tl2br w:val="nil"/>
              <w:tr2bl w:val="nil"/>
            </w:tcBorders>
            <w:vAlign w:val="center"/>
          </w:tcPr>
          <w:p>
            <w:pPr>
              <w:widowControl/>
              <w:adjustRightInd w:val="0"/>
              <w:snapToGrid w:val="0"/>
              <w:spacing w:line="440" w:lineRule="exact"/>
              <w:jc w:val="center"/>
              <w:rPr>
                <w:rFonts w:ascii="方正书宋_GBK" w:eastAsia="方正书宋_GBK"/>
              </w:rPr>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数量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社区矫正工作数量完成率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满分10分，完成率100%得满分，完成率每降低1%扣分值的1%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实际完成的社区矫正工作数量与应完成的社区矫正工作数量的比例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continue"/>
            <w:tcBorders>
              <w:tl2br w:val="nil"/>
              <w:tr2bl w:val="nil"/>
            </w:tcBorders>
            <w:vAlign w:val="center"/>
          </w:tcPr>
          <w:p>
            <w:pPr>
              <w:widowControl/>
              <w:adjustRightInd w:val="0"/>
              <w:snapToGrid w:val="0"/>
              <w:spacing w:line="440" w:lineRule="exact"/>
              <w:jc w:val="center"/>
              <w:rPr>
                <w:rFonts w:ascii="方正书宋_GBK" w:eastAsia="方正书宋_GBK"/>
              </w:rPr>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质量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服务质量达标率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满分10分，达标率100%得满分，达标率每降低1%扣分值的1%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质量达标的服务项目数量与应完成的服务项目数量的比例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continue"/>
            <w:tcBorders>
              <w:tl2br w:val="nil"/>
              <w:tr2bl w:val="nil"/>
            </w:tcBorders>
            <w:vAlign w:val="center"/>
          </w:tcPr>
          <w:p>
            <w:pPr>
              <w:widowControl/>
              <w:adjustRightInd w:val="0"/>
              <w:snapToGrid w:val="0"/>
              <w:spacing w:line="440" w:lineRule="exact"/>
              <w:jc w:val="center"/>
              <w:rPr>
                <w:rFonts w:ascii="方正书宋_GBK" w:eastAsia="方正书宋_GBK"/>
              </w:rPr>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质量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社区矫正工作质量达标率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满分10分，达标率100%得满分，达标率每降低1%扣分值的1%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质量达标的社区矫正工作数量与应完成的社区矫正工作数量的比例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时效</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服务完成及时率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满分10分，及时率100%得满分，及时率每降低1%扣分值的1%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完成及时的服务项目数量与应完成的服务项目数量的比例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时效</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社区矫正工作完成及时率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满分10分，及时率100%得满分，及时率每降低1%扣分值的1%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完成及时的社区矫正工作数量与应完成的社区矫正工作数量的比例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成本</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满分10分，控制率100%得满分，控制率每降低1%扣分值的1%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6" w:type="dxa"/>
            <w:vMerge w:val="restart"/>
            <w:tcBorders>
              <w:tl2br w:val="nil"/>
              <w:tr2bl w:val="nil"/>
            </w:tcBorders>
            <w:vAlign w:val="center"/>
          </w:tcPr>
          <w:p>
            <w:pPr>
              <w:adjustRightInd w:val="0"/>
              <w:snapToGrid w:val="0"/>
              <w:spacing w:line="44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社会</w:t>
            </w:r>
          </w:p>
          <w:p>
            <w:pPr>
              <w:widowControl/>
              <w:adjustRightInd w:val="0"/>
              <w:snapToGrid w:val="0"/>
              <w:spacing w:line="440" w:lineRule="exact"/>
              <w:jc w:val="center"/>
              <w:rPr>
                <w:rFonts w:ascii="方正书宋_GBK" w:eastAsia="方正书宋_GBK"/>
              </w:rPr>
            </w:pPr>
            <w:r>
              <w:rPr>
                <w:rFonts w:ascii="方正书宋_GBK" w:eastAsia="方正书宋_GBK"/>
              </w:rPr>
              <w:t>效益</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推进政府依法行政、依法决策</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有助于推进政府依法行政、依法决策得满分5分，否则适当扣分</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对政府依法行政、依法决策有推进作用</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有推进</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社会</w:t>
            </w:r>
          </w:p>
          <w:p>
            <w:pPr>
              <w:widowControl/>
              <w:adjustRightInd w:val="0"/>
              <w:snapToGrid w:val="0"/>
              <w:spacing w:line="440" w:lineRule="exact"/>
              <w:jc w:val="center"/>
              <w:rPr>
                <w:rFonts w:ascii="方正书宋_GBK" w:eastAsia="方正书宋_GBK"/>
              </w:rPr>
            </w:pPr>
            <w:r>
              <w:rPr>
                <w:rFonts w:ascii="方正书宋_GBK" w:eastAsia="方正书宋_GBK"/>
              </w:rPr>
              <w:t>效益</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提升服刑人员心理测评合格率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满分10分，合格率有所提升得满分，否则，每降低1%扣分值的10%</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0</w:t>
            </w:r>
          </w:p>
        </w:tc>
        <w:tc>
          <w:tcPr>
            <w:tcW w:w="57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adjustRightInd w:val="0"/>
              <w:snapToGrid w:val="0"/>
              <w:spacing w:line="440" w:lineRule="exact"/>
              <w:jc w:val="center"/>
              <w:rPr>
                <w:rFonts w:ascii="方正书宋_GBK" w:eastAsia="方正书宋_GBK"/>
              </w:rPr>
            </w:pPr>
            <w:r>
              <w:rPr>
                <w:rFonts w:hint="eastAsia" w:ascii="方正书宋_GBK" w:eastAsia="方正书宋_GBK"/>
              </w:rPr>
              <w:t>满意度</w:t>
            </w:r>
          </w:p>
        </w:tc>
        <w:tc>
          <w:tcPr>
            <w:tcW w:w="1560"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工作人员满意度</w:t>
            </w:r>
          </w:p>
        </w:tc>
        <w:tc>
          <w:tcPr>
            <w:tcW w:w="3543"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满分10分，满意度大于等于90%得满分，满意度每降低1%扣分值的10%</w:t>
            </w:r>
          </w:p>
        </w:tc>
        <w:tc>
          <w:tcPr>
            <w:tcW w:w="3916"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司法局工作人员对政府法律顾问的满意度</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满意度调查表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hint="eastAsia" w:ascii="方正书宋_GBK" w:eastAsia="方正书宋_GBK"/>
              </w:rPr>
              <w:t>满意度</w:t>
            </w:r>
          </w:p>
        </w:tc>
        <w:tc>
          <w:tcPr>
            <w:tcW w:w="1560"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村街社区工作人员满意度</w:t>
            </w:r>
          </w:p>
        </w:tc>
        <w:tc>
          <w:tcPr>
            <w:tcW w:w="3543"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满分5分，满意度大于等于80%得满分，每降低1%扣分值的10%</w:t>
            </w:r>
          </w:p>
        </w:tc>
        <w:tc>
          <w:tcPr>
            <w:tcW w:w="3916"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村街社区满意的工作人员数量与抽查到的所有工作人员的比例</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满意度调查表</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202</w:t>
      </w:r>
      <w:r>
        <w:rPr>
          <w:rFonts w:ascii="Times New Roman" w:hAnsi="Times New Roman" w:eastAsia="仿宋_GB2312" w:cs="Times New Roman"/>
          <w:sz w:val="28"/>
        </w:rPr>
        <w:t>1</w:t>
      </w:r>
      <w:r>
        <w:rPr>
          <w:rFonts w:hint="eastAsia" w:ascii="Times New Roman" w:hAnsi="Times New Roman" w:eastAsia="仿宋_GB2312" w:cs="Times New Roman"/>
          <w:sz w:val="28"/>
        </w:rPr>
        <w:t>年省级基层公检法司转移支付资金（行政）</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00" w:lineRule="exact"/>
              <w:rPr>
                <w:rFonts w:ascii="Times New Roman" w:hAnsi="Times New Roman" w:eastAsia="仿宋_GB2312" w:cs="Times New Roman"/>
                <w:b/>
              </w:rPr>
            </w:pPr>
            <w:r>
              <w:rPr>
                <w:rFonts w:hint="eastAsia" w:ascii="Times New Roman" w:hAnsi="Times New Roman" w:eastAsia="仿宋_GB2312" w:cs="Times New Roman"/>
              </w:rPr>
              <w:t>1.购买司法行政工作所需设备，提高业务装备水平2.开展社区矫正工作，预防与减少犯罪，维护社会安全稳定。</w:t>
            </w:r>
            <w:r>
              <w:rPr>
                <w:rFonts w:hint="eastAsia" w:ascii="仿宋_GB2312" w:hAnsi="仿宋_GB2312" w:eastAsia="仿宋_GB2312" w:cs="仿宋_GB2312"/>
              </w:rPr>
              <w:t>3.开展法治宣传工作，实现全民普法，让公民都能提高法律知识，关键时可运用法律知识保护自己。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采购设备数量完成率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按照年度计划数量完成设备购置的比例</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≥85%</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购置设备合格率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购置的设备符合质量验收标准的比例</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设备维修及时率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设备维修及时率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采购成本控制率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各项支出不高于市场价格且符合财务规定</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各项支出不高于市场价格且符合财务规定</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法律援助案件办结率(%)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法律援助案件办结率(%)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装备使用人员满意度</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装备使用人员满意度</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调查表</w:t>
            </w:r>
          </w:p>
        </w:tc>
      </w:tr>
    </w:tbl>
    <w:p>
      <w:pPr>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仿宋_GB2312" w:hAnsi="仿宋_GB2312" w:eastAsia="仿宋_GB2312" w:cs="仿宋_GB2312"/>
          <w:color w:val="000000"/>
          <w:sz w:val="28"/>
        </w:rPr>
        <w:t>2021年中央政法转移支付资金绩效目标表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1.为确保司法行政工作更好的开展，全力维护社会稳定，为全区经济社会保驾护航，努力构建和谐广阳发挥积极作用，依法治理、依法建设、普法宣传、社区矫正、司法局鉴定、人民调解和法律援助等。</w:t>
            </w:r>
          </w:p>
          <w:p>
            <w:pPr>
              <w:pStyle w:val="14"/>
              <w:spacing w:line="380" w:lineRule="exact"/>
              <w:rPr>
                <w:rFonts w:ascii="仿宋_GB2312" w:hAnsi="仿宋_GB2312" w:eastAsia="仿宋_GB2312" w:cs="仿宋_GB2312"/>
              </w:rPr>
            </w:pPr>
            <w:r>
              <w:rPr>
                <w:rFonts w:hint="eastAsia" w:ascii="仿宋_GB2312" w:hAnsi="仿宋_GB2312" w:eastAsia="仿宋_GB2312" w:cs="仿宋_GB2312"/>
              </w:rPr>
              <w:t>2.完成区委、区政府下达的各项任务。</w:t>
            </w:r>
          </w:p>
          <w:p>
            <w:pPr>
              <w:spacing w:line="380" w:lineRule="exact"/>
              <w:rPr>
                <w:rFonts w:ascii="Times New Roman" w:hAnsi="Times New Roman" w:eastAsia="仿宋_GB2312" w:cs="Times New Roman"/>
                <w:b/>
              </w:rPr>
            </w:pPr>
            <w:r>
              <w:rPr>
                <w:rFonts w:hint="eastAsia" w:ascii="仿宋_GB2312" w:hAnsi="仿宋_GB2312" w:eastAsia="仿宋_GB2312" w:cs="仿宋_GB2312"/>
              </w:rPr>
              <w:t>3.深化司法行政体制改革和工作机制改革，努力提高司法行政工作专业化、规范化、法制化、信息化水平。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8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不低于12次</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80" w:lineRule="exact"/>
            </w:pP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8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80" w:lineRule="exact"/>
            </w:pP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及时受理办理的法律援助数量与应提供的法律援助数量的比例</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38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80" w:lineRule="exact"/>
            </w:pP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司法行政工作设备购置成本</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各项司法行政工作设备购置成本，不高于市场价且符合财务规定。</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各项支出不高于市场价且符合财务规定</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8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80" w:lineRule="exact"/>
            </w:pP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推进依法行政，规范行政执法行为</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推进依法行政监督，规范各个执法部门行政执法行为规范率</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8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3"/>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仿宋_GB2312" w:hAnsi="仿宋_GB2312" w:eastAsia="仿宋_GB2312" w:cs="仿宋_GB2312"/>
          <w:color w:val="000000"/>
          <w:sz w:val="28"/>
        </w:rPr>
        <w:t>2021年中央政法转移支付资金（法援）绩效目标表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1.通过开展法律援助工作，对来访和来电群众提供免费的法律咨询。</w:t>
            </w:r>
          </w:p>
          <w:p>
            <w:pPr>
              <w:pStyle w:val="14"/>
              <w:spacing w:line="440" w:lineRule="exact"/>
              <w:rPr>
                <w:rFonts w:ascii="仿宋_GB2312" w:hAnsi="仿宋_GB2312" w:eastAsia="仿宋_GB2312" w:cs="仿宋_GB2312"/>
              </w:rPr>
            </w:pPr>
            <w:r>
              <w:rPr>
                <w:rFonts w:hint="eastAsia" w:ascii="仿宋_GB2312" w:hAnsi="仿宋_GB2312" w:eastAsia="仿宋_GB2312" w:cs="仿宋_GB2312"/>
              </w:rPr>
              <w:t>2.对符合条件的困难群众和通知辩护受援人100%提供法律援助，年办案量增长10%，提高法律援助案件质量。</w:t>
            </w:r>
          </w:p>
          <w:p>
            <w:pPr>
              <w:spacing w:line="440" w:lineRule="exact"/>
              <w:rPr>
                <w:rFonts w:ascii="Times New Roman" w:hAnsi="Times New Roman" w:eastAsia="仿宋_GB2312" w:cs="Times New Roman"/>
                <w:b/>
              </w:rPr>
            </w:pPr>
            <w:r>
              <w:rPr>
                <w:rFonts w:hint="eastAsia" w:ascii="仿宋_GB2312" w:hAnsi="仿宋_GB2312" w:eastAsia="仿宋_GB2312" w:cs="仿宋_GB2312"/>
              </w:rPr>
              <w:t>3.对质量合格案件，及时发放办案补贴，扩大法律援助群众知晓度和满意度。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法律援助案件完成率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已受理的法律援助数量与应受理的法律援助数量的比例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法律援助质量达标率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质量达标的法律援助数量与应受理法律援助数量的比例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控制在预算成本内</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社会弱势群体合法权益提升率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回复合法权益提升的人数与抽查道的社会弱势群体总人数的比例。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回复满意的人数与抽查到的服务对象人数的比例。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jc w:val="left"/>
        <w:outlineLvl w:val="3"/>
        <w:rPr>
          <w:rFonts w:ascii="Times New Roman" w:hAnsi="Times New Roman" w:eastAsia="仿宋_GB2312" w:cs="Times New Roman"/>
          <w:sz w:val="28"/>
        </w:rPr>
      </w:pPr>
    </w:p>
    <w:p>
      <w:pPr>
        <w:ind w:firstLine="560"/>
        <w:jc w:val="left"/>
        <w:outlineLvl w:val="3"/>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仿宋_GB2312" w:hAnsi="仿宋_GB2312" w:eastAsia="仿宋_GB2312" w:cs="仿宋_GB2312"/>
          <w:color w:val="000000"/>
          <w:sz w:val="28"/>
        </w:rPr>
        <w:t>2021年中央政法转移支付资金（行政）绩效目标表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1.为全区经济社会保驾护航，努力构建和谐广阳发挥积极作用，依法治理、依法建设、普法宣传、社区矫正、司法局鉴定、人民调解和法律援助等。</w:t>
            </w:r>
          </w:p>
          <w:p>
            <w:pPr>
              <w:pStyle w:val="14"/>
              <w:spacing w:line="340" w:lineRule="exact"/>
              <w:rPr>
                <w:rFonts w:ascii="仿宋_GB2312" w:hAnsi="仿宋_GB2312" w:eastAsia="仿宋_GB2312" w:cs="仿宋_GB2312"/>
              </w:rPr>
            </w:pPr>
            <w:r>
              <w:rPr>
                <w:rFonts w:hint="eastAsia" w:ascii="仿宋_GB2312" w:hAnsi="仿宋_GB2312" w:eastAsia="仿宋_GB2312" w:cs="仿宋_GB2312"/>
              </w:rPr>
              <w:t>2.深入开展社会矛盾化解、社会管理创新、公正廉洁执法和干部队伍建设四项重点任务，积极拓展矛盾纠纷调解、法律服务、法制宣传领域，进一步加强基层基础建设和队伍建设，深化司法行政体制改革和工作机制改革。</w:t>
            </w:r>
          </w:p>
          <w:p>
            <w:pPr>
              <w:spacing w:line="340" w:lineRule="exact"/>
              <w:rPr>
                <w:rFonts w:ascii="Times New Roman" w:hAnsi="Times New Roman" w:eastAsia="仿宋_GB2312" w:cs="Times New Roman"/>
                <w:b/>
              </w:rPr>
            </w:pPr>
            <w:r>
              <w:rPr>
                <w:rFonts w:hint="eastAsia" w:ascii="仿宋_GB2312" w:hAnsi="仿宋_GB2312" w:eastAsia="仿宋_GB2312" w:cs="仿宋_GB2312"/>
              </w:rPr>
              <w:t>3.完成区委、区政府交付的各项工作。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不低于12次</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40" w:lineRule="exact"/>
            </w:pP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40" w:lineRule="exact"/>
            </w:pP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及时受理办理的法律援助数量与应提供的法律援助数量的比例</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3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40" w:lineRule="exact"/>
            </w:pP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司法行政工作设备购置成本</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各项司法行政工作设备购置成本，不高于市场价且符合财务规定。</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各项支出不高于市场价且符合财务规定</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40" w:lineRule="exact"/>
            </w:pP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推进依法行政，规范行政执法行为</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推进依法行政监督，规范各个执法部门行政执法行为规范率</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仿宋_GB2312" w:hAnsi="仿宋_GB2312" w:eastAsia="仿宋_GB2312" w:cs="仿宋_GB2312"/>
          <w:color w:val="000000"/>
          <w:sz w:val="28"/>
        </w:rPr>
        <w:t>基层公检法司转移支付资金[省级]绩效目标表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00" w:lineRule="exact"/>
              <w:rPr>
                <w:rFonts w:ascii="Times New Roman" w:hAnsi="Times New Roman" w:eastAsia="仿宋_GB2312" w:cs="Times New Roman"/>
                <w:b/>
              </w:rPr>
            </w:pPr>
            <w:r>
              <w:rPr>
                <w:rFonts w:hint="eastAsia" w:ascii="仿宋_GB2312" w:hAnsi="仿宋_GB2312" w:eastAsia="仿宋_GB2312" w:cs="仿宋_GB2312"/>
              </w:rPr>
              <w:t>1.为确保司法行政工作更好的开展，全力维护社会稳定，为全区经济社会保驾护航，努力构建和谐广阳发挥积极作用，依法治理、依法建设、普法宣传、社区矫正、司法局鉴定、人民调解和法律援助等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不低于12次</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0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及时受理办理的法律援助数量与应提供的法律援助数量的比例</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司法行政工作设备购置成本</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各项司法行政工作设备购置成本，不高于市场价且符合财务规定。</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各项支出不高于市场价且符合财务规定</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推进依法行政，规范行政执法行为</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推进依法行政监督，规范各个执法部门行政执法行为规范率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w:t>
      </w:r>
      <w:r>
        <w:rPr>
          <w:rFonts w:hint="eastAsia" w:ascii="仿宋_GB2312" w:hAnsi="仿宋_GB2312" w:eastAsia="仿宋_GB2312" w:cs="仿宋_GB2312"/>
          <w:color w:val="000000"/>
          <w:sz w:val="28"/>
        </w:rPr>
        <w:t>基层公检法司转移支付资金[省级]绩效目标表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ascii="Times New Roman" w:hAnsi="Times New Roman" w:eastAsia="仿宋_GB2312" w:cs="Times New Roman"/>
                <w:b/>
              </w:rPr>
            </w:pPr>
            <w:r>
              <w:rPr>
                <w:rFonts w:hint="eastAsia" w:ascii="仿宋_GB2312" w:hAnsi="仿宋_GB2312" w:eastAsia="仿宋_GB2312" w:cs="仿宋_GB2312"/>
              </w:rPr>
              <w:t>1.通过开展法律援助工作，对来访和来电群众提供免费的法律咨询，对符合条件的困难群众和通知辩护受援人100%提供法律援助，年办案量增长10%，提高法律援助案件质量。对质量合格案件，及时发放办案补贴，扩大法律援助群众知晓度和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法律援助案件完成率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已受理的法律援助数量与应受理的法律援助数量的比例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法律援助质量达标率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质量达标的法律援助数量与应受理法律援助数量的比例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控制在预算成本内</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社会弱势群体合法权益提升率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回复合法权益提升的人数与抽查道的社会弱势群体总人数的比例。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回复满意的人数与抽查到的服务对象人数的比例。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ascii="Times New Roman" w:hAnsi="Times New Roman" w:eastAsia="仿宋_GB2312" w:cs="Times New Roman"/>
          <w:sz w:val="28"/>
        </w:rPr>
        <w:t>.</w:t>
      </w:r>
      <w:r>
        <w:rPr>
          <w:rFonts w:hint="eastAsia" w:ascii="仿宋_GB2312" w:hAnsi="仿宋_GB2312" w:eastAsia="仿宋_GB2312" w:cs="仿宋_GB2312"/>
          <w:color w:val="000000"/>
          <w:sz w:val="28"/>
        </w:rPr>
        <w:t>社区矫正社会化经费绩效目标表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ascii="Times New Roman" w:hAnsi="Times New Roman" w:eastAsia="仿宋_GB2312" w:cs="Times New Roman"/>
                <w:b/>
              </w:rPr>
            </w:pPr>
            <w:r>
              <w:rPr>
                <w:rFonts w:hint="eastAsia" w:ascii="仿宋_GB2312" w:hAnsi="仿宋_GB2312" w:eastAsia="仿宋_GB2312" w:cs="仿宋_GB2312"/>
              </w:rPr>
              <w:t>1.社区矫正社会化工作主要全区社区服刑人员帮扶工作、购买社工服务、心理测评等相关工作，提高帮扶效果，实现执法管理与矫正帮扶功能的合理分配，司法部门与社会组织执行互动。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社区矫正工作数量完成率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实际完成的社区矫正工作数量与应完成的社区矫正工作数量的比例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社区矫正工作质量达标率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质量达标的社区矫正工作数量与应完成的社区矫正工作数量的比例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社区矫正工作完成及时率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完成及时的社区矫正工作数量与应完成的社区矫正工作数量的比例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成本控制率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评估报告</w:t>
            </w:r>
          </w:p>
          <w:p>
            <w:pPr>
              <w:pStyle w:val="14"/>
              <w:spacing w:line="440" w:lineRule="exact"/>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村街社区工作人员满意度</w:t>
            </w:r>
            <w:r>
              <w:rPr>
                <w:rFonts w:hint="eastAsia" w:ascii="仿宋_GB2312" w:hAnsi="仿宋_GB2312" w:eastAsia="仿宋_GB2312" w:cs="仿宋_GB2312"/>
              </w:rPr>
              <w:tab/>
            </w:r>
          </w:p>
          <w:p>
            <w:pPr>
              <w:pStyle w:val="14"/>
              <w:spacing w:line="440" w:lineRule="exact"/>
              <w:rPr>
                <w:rFonts w:ascii="仿宋_GB2312" w:hAnsi="仿宋_GB2312" w:eastAsia="仿宋_GB2312" w:cs="仿宋_GB2312"/>
              </w:rPr>
            </w:pP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村街社区满意的工作人员数量与抽查到的所有工作人员的比例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ascii="Times New Roman" w:hAnsi="Times New Roman" w:eastAsia="仿宋_GB2312" w:cs="Times New Roman"/>
          <w:sz w:val="28"/>
        </w:rPr>
        <w:t>.</w:t>
      </w:r>
      <w:r>
        <w:rPr>
          <w:rFonts w:hint="eastAsia" w:ascii="仿宋_GB2312" w:hAnsi="仿宋_GB2312" w:eastAsia="仿宋_GB2312" w:cs="仿宋_GB2312"/>
          <w:color w:val="000000"/>
          <w:sz w:val="28"/>
        </w:rPr>
        <w:t>政法纪检监察转移支付资金[中央]绩效目标表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ascii="Times New Roman" w:hAnsi="Times New Roman" w:eastAsia="仿宋_GB2312" w:cs="Times New Roman"/>
                <w:b/>
              </w:rPr>
            </w:pPr>
            <w:r>
              <w:rPr>
                <w:rFonts w:hint="eastAsia" w:ascii="仿宋_GB2312" w:hAnsi="仿宋_GB2312" w:eastAsia="仿宋_GB2312" w:cs="仿宋_GB2312"/>
              </w:rPr>
              <w:t>1.为确保司法行政工作更好的开展，全力维护社会稳定，为全区经济社会保驾护航，努力构建和谐广阳发挥积极作用，依法治理、依法建设、普法宣传、社区矫正、司法局鉴定、人民调解和法律援助等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不低于12次</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及时受理办理的法律援助数量与应提供的法律援助数量的比例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司法行政工作设备购置成本</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各项司法行政工作设备购置成本，不高于市场价且符合财务规定。</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各项支出不高于市场价且符合财务规定</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推进依法行政，规范行政执法行为</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推进依法行政监督，规范各个执法部门行政执法行为规范率</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ascii="Times New Roman" w:hAnsi="Times New Roman" w:eastAsia="仿宋_GB2312" w:cs="Times New Roman"/>
          <w:sz w:val="28"/>
        </w:rPr>
        <w:t>.</w:t>
      </w:r>
      <w:r>
        <w:rPr>
          <w:rFonts w:hint="eastAsia" w:ascii="仿宋_GB2312" w:hAnsi="仿宋_GB2312" w:eastAsia="仿宋_GB2312" w:cs="仿宋_GB2312"/>
          <w:color w:val="000000"/>
          <w:sz w:val="28"/>
        </w:rPr>
        <w:t>政府法律顾问经费绩效目标表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hint="eastAsia" w:ascii="仿宋_GB2312" w:hAnsi="仿宋_GB2312" w:eastAsia="仿宋_GB2312" w:cs="仿宋_GB2312"/>
                <w:b/>
              </w:rPr>
            </w:pPr>
            <w:r>
              <w:rPr>
                <w:rFonts w:hint="eastAsia" w:ascii="仿宋_GB2312" w:hAnsi="仿宋_GB2312" w:eastAsia="仿宋_GB2312" w:cs="仿宋_GB2312"/>
              </w:rPr>
              <w:t>1.承担全区政府应诉、行政复议、规范性文件及参与政府重大行政决策合法性审查做到全面参与、覆盖与审查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服务项目数量完成率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实际完成的服务项目数量与应完成的服务项目数量的比例。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服务质量达标率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质量达标的服务项目数量与应完成的服务项目数量的比例。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服务完成及时率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完成及时的服务项目数量与应完成的服务项目数量的比例。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成本控制率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推进政府依法行政、依法决策</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对政府依法行政、依法决策有推进作用。</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有推进</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工作人员满意度</w:t>
            </w:r>
            <w:r>
              <w:rPr>
                <w:rFonts w:hint="eastAsia" w:ascii="仿宋_GB2312" w:hAnsi="仿宋_GB2312" w:eastAsia="仿宋_GB2312" w:cs="仿宋_GB2312"/>
              </w:rPr>
              <w:tab/>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司法局工作人员对政府法律顾问的满意度。</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t>[</w:t>
      </w:r>
      <w:r>
        <w:rPr>
          <w:rFonts w:hint="eastAsia"/>
        </w:rPr>
        <w:t>37500</w:t>
      </w:r>
      <w:r>
        <w:t>1]廊坊市</w:t>
      </w:r>
      <w:r>
        <w:rPr>
          <w:rFonts w:hint="eastAsia"/>
        </w:rPr>
        <w:t>广阳区司法局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8"/>
        <w:gridCol w:w="891"/>
        <w:gridCol w:w="891"/>
        <w:gridCol w:w="1177"/>
        <w:gridCol w:w="641"/>
        <w:gridCol w:w="771"/>
        <w:gridCol w:w="550"/>
        <w:gridCol w:w="647"/>
        <w:gridCol w:w="1268"/>
        <w:gridCol w:w="842"/>
        <w:gridCol w:w="1140"/>
        <w:gridCol w:w="876"/>
        <w:gridCol w:w="876"/>
        <w:gridCol w:w="876"/>
        <w:gridCol w:w="882"/>
        <w:gridCol w:w="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2"/>
            </w:pPr>
            <w:r>
              <w:t>政府采购项目来源</w:t>
            </w:r>
          </w:p>
        </w:tc>
        <w:tc>
          <w:tcPr>
            <w:tcW w:w="314" w:type="pct"/>
            <w:vMerge w:val="restart"/>
            <w:vAlign w:val="center"/>
          </w:tcPr>
          <w:p>
            <w:pPr>
              <w:pStyle w:val="12"/>
            </w:pPr>
            <w:r>
              <w:t>采购物品名称</w:t>
            </w:r>
          </w:p>
        </w:tc>
        <w:tc>
          <w:tcPr>
            <w:tcW w:w="415" w:type="pct"/>
            <w:vMerge w:val="restart"/>
            <w:vAlign w:val="center"/>
          </w:tcPr>
          <w:p>
            <w:pPr>
              <w:pStyle w:val="12"/>
            </w:pPr>
            <w:r>
              <w:t>政府采购目录序号</w:t>
            </w:r>
          </w:p>
        </w:tc>
        <w:tc>
          <w:tcPr>
            <w:tcW w:w="226" w:type="pct"/>
            <w:vMerge w:val="restart"/>
            <w:vAlign w:val="center"/>
          </w:tcPr>
          <w:p>
            <w:pPr>
              <w:pStyle w:val="12"/>
            </w:pPr>
            <w:r>
              <w:t>计量  单位</w:t>
            </w:r>
          </w:p>
        </w:tc>
        <w:tc>
          <w:tcPr>
            <w:tcW w:w="272" w:type="pct"/>
            <w:vMerge w:val="restart"/>
            <w:vAlign w:val="center"/>
          </w:tcPr>
          <w:p>
            <w:pPr>
              <w:pStyle w:val="12"/>
            </w:pPr>
            <w:r>
              <w:t>数量</w:t>
            </w:r>
          </w:p>
        </w:tc>
        <w:tc>
          <w:tcPr>
            <w:tcW w:w="194" w:type="pct"/>
            <w:vMerge w:val="restart"/>
            <w:vAlign w:val="center"/>
          </w:tcPr>
          <w:p>
            <w:pPr>
              <w:pStyle w:val="12"/>
            </w:pPr>
            <w:r>
              <w:t>单价</w:t>
            </w:r>
          </w:p>
        </w:tc>
        <w:tc>
          <w:tcPr>
            <w:tcW w:w="2612" w:type="pct"/>
            <w:gridSpan w:val="8"/>
            <w:vAlign w:val="center"/>
          </w:tcPr>
          <w:p>
            <w:pPr>
              <w:pStyle w:val="12"/>
            </w:pPr>
            <w:r>
              <w:t>政府采购金额（当年部门预算安排资金）</w:t>
            </w:r>
          </w:p>
        </w:tc>
        <w:tc>
          <w:tcPr>
            <w:tcW w:w="29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2" w:type="pct"/>
            <w:vAlign w:val="center"/>
          </w:tcPr>
          <w:p>
            <w:pPr>
              <w:pStyle w:val="12"/>
            </w:pPr>
            <w:r>
              <w:t>项目名称</w:t>
            </w:r>
          </w:p>
        </w:tc>
        <w:tc>
          <w:tcPr>
            <w:tcW w:w="314" w:type="pct"/>
            <w:vAlign w:val="center"/>
          </w:tcPr>
          <w:p>
            <w:pPr>
              <w:pStyle w:val="12"/>
            </w:pPr>
            <w:r>
              <w:t>预算    资金</w:t>
            </w:r>
          </w:p>
        </w:tc>
        <w:tc>
          <w:tcPr>
            <w:tcW w:w="314" w:type="pct"/>
            <w:vMerge w:val="continue"/>
          </w:tcPr>
          <w:p/>
        </w:tc>
        <w:tc>
          <w:tcPr>
            <w:tcW w:w="415" w:type="pct"/>
            <w:vMerge w:val="continue"/>
          </w:tcPr>
          <w:p/>
        </w:tc>
        <w:tc>
          <w:tcPr>
            <w:tcW w:w="226" w:type="pct"/>
            <w:vMerge w:val="continue"/>
          </w:tcPr>
          <w:p/>
        </w:tc>
        <w:tc>
          <w:tcPr>
            <w:tcW w:w="272" w:type="pct"/>
            <w:vMerge w:val="continue"/>
          </w:tcPr>
          <w:p/>
        </w:tc>
        <w:tc>
          <w:tcPr>
            <w:tcW w:w="194" w:type="pct"/>
            <w:vMerge w:val="continue"/>
          </w:tcPr>
          <w:p/>
        </w:tc>
        <w:tc>
          <w:tcPr>
            <w:tcW w:w="228" w:type="pct"/>
            <w:vAlign w:val="center"/>
          </w:tcPr>
          <w:p>
            <w:pPr>
              <w:pStyle w:val="12"/>
            </w:pPr>
            <w:r>
              <w:t>合计</w:t>
            </w:r>
          </w:p>
        </w:tc>
        <w:tc>
          <w:tcPr>
            <w:tcW w:w="447" w:type="pct"/>
            <w:vAlign w:val="center"/>
          </w:tcPr>
          <w:p>
            <w:pPr>
              <w:pStyle w:val="12"/>
            </w:pPr>
            <w:r>
              <w:t>一般公共预算拨款</w:t>
            </w:r>
          </w:p>
        </w:tc>
        <w:tc>
          <w:tcPr>
            <w:tcW w:w="297" w:type="pct"/>
            <w:vAlign w:val="center"/>
          </w:tcPr>
          <w:p>
            <w:pPr>
              <w:pStyle w:val="12"/>
            </w:pPr>
            <w:r>
              <w:t>基金预算拨款</w:t>
            </w:r>
          </w:p>
        </w:tc>
        <w:tc>
          <w:tcPr>
            <w:tcW w:w="402" w:type="pct"/>
            <w:vAlign w:val="center"/>
          </w:tcPr>
          <w:p>
            <w:pPr>
              <w:pStyle w:val="12"/>
            </w:pPr>
            <w:r>
              <w:t>国有资本经营预算拨款</w:t>
            </w:r>
          </w:p>
        </w:tc>
        <w:tc>
          <w:tcPr>
            <w:tcW w:w="309" w:type="pct"/>
            <w:vAlign w:val="center"/>
          </w:tcPr>
          <w:p>
            <w:pPr>
              <w:pStyle w:val="12"/>
            </w:pPr>
            <w:r>
              <w:t>财政专户核拨</w:t>
            </w:r>
          </w:p>
        </w:tc>
        <w:tc>
          <w:tcPr>
            <w:tcW w:w="309" w:type="pct"/>
            <w:vAlign w:val="center"/>
          </w:tcPr>
          <w:p>
            <w:pPr>
              <w:pStyle w:val="12"/>
            </w:pPr>
            <w:r>
              <w:t>单位    资金</w:t>
            </w:r>
          </w:p>
        </w:tc>
        <w:tc>
          <w:tcPr>
            <w:tcW w:w="309" w:type="pct"/>
            <w:vAlign w:val="center"/>
          </w:tcPr>
          <w:p>
            <w:pPr>
              <w:pStyle w:val="12"/>
            </w:pPr>
            <w:r>
              <w:t>财政拨    款结转</w:t>
            </w:r>
          </w:p>
        </w:tc>
        <w:tc>
          <w:tcPr>
            <w:tcW w:w="309" w:type="pct"/>
            <w:vAlign w:val="center"/>
          </w:tcPr>
          <w:p>
            <w:pPr>
              <w:pStyle w:val="12"/>
            </w:pPr>
            <w:r>
              <w:t>非财政    拨款结    转结余</w:t>
            </w:r>
          </w:p>
        </w:tc>
        <w:tc>
          <w:tcPr>
            <w:tcW w:w="29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2" w:type="pct"/>
            <w:vAlign w:val="center"/>
          </w:tcPr>
          <w:p>
            <w:pPr>
              <w:pStyle w:val="16"/>
            </w:pPr>
            <w:r>
              <w:t>合  计</w:t>
            </w:r>
          </w:p>
        </w:tc>
        <w:tc>
          <w:tcPr>
            <w:tcW w:w="314" w:type="pct"/>
            <w:vAlign w:val="center"/>
          </w:tcPr>
          <w:p>
            <w:pPr>
              <w:pStyle w:val="17"/>
            </w:pPr>
          </w:p>
        </w:tc>
        <w:tc>
          <w:tcPr>
            <w:tcW w:w="314" w:type="pct"/>
            <w:vAlign w:val="center"/>
          </w:tcPr>
          <w:p>
            <w:pPr>
              <w:pStyle w:val="18"/>
            </w:pPr>
          </w:p>
        </w:tc>
        <w:tc>
          <w:tcPr>
            <w:tcW w:w="415" w:type="pct"/>
            <w:vAlign w:val="center"/>
          </w:tcPr>
          <w:p>
            <w:pPr>
              <w:pStyle w:val="18"/>
            </w:pPr>
          </w:p>
        </w:tc>
        <w:tc>
          <w:tcPr>
            <w:tcW w:w="226" w:type="pct"/>
            <w:vAlign w:val="center"/>
          </w:tcPr>
          <w:p>
            <w:pPr>
              <w:pStyle w:val="16"/>
            </w:pPr>
          </w:p>
        </w:tc>
        <w:tc>
          <w:tcPr>
            <w:tcW w:w="272" w:type="pct"/>
            <w:vAlign w:val="center"/>
          </w:tcPr>
          <w:p>
            <w:pPr>
              <w:pStyle w:val="17"/>
            </w:pPr>
          </w:p>
        </w:tc>
        <w:tc>
          <w:tcPr>
            <w:tcW w:w="194" w:type="pct"/>
            <w:vAlign w:val="center"/>
          </w:tcPr>
          <w:p>
            <w:pPr>
              <w:pStyle w:val="17"/>
            </w:pPr>
          </w:p>
        </w:tc>
        <w:tc>
          <w:tcPr>
            <w:tcW w:w="228" w:type="pct"/>
            <w:vAlign w:val="center"/>
          </w:tcPr>
          <w:p>
            <w:pPr>
              <w:pStyle w:val="17"/>
            </w:pPr>
          </w:p>
        </w:tc>
        <w:tc>
          <w:tcPr>
            <w:tcW w:w="447" w:type="pct"/>
            <w:vAlign w:val="center"/>
          </w:tcPr>
          <w:p>
            <w:pPr>
              <w:pStyle w:val="17"/>
            </w:pPr>
          </w:p>
        </w:tc>
        <w:tc>
          <w:tcPr>
            <w:tcW w:w="297" w:type="pct"/>
            <w:vAlign w:val="center"/>
          </w:tcPr>
          <w:p>
            <w:pPr>
              <w:pStyle w:val="17"/>
            </w:pPr>
          </w:p>
        </w:tc>
        <w:tc>
          <w:tcPr>
            <w:tcW w:w="402" w:type="pct"/>
            <w:vAlign w:val="center"/>
          </w:tcPr>
          <w:p>
            <w:pPr>
              <w:pStyle w:val="17"/>
            </w:pPr>
          </w:p>
        </w:tc>
        <w:tc>
          <w:tcPr>
            <w:tcW w:w="309" w:type="pct"/>
            <w:vAlign w:val="center"/>
          </w:tcPr>
          <w:p>
            <w:pPr>
              <w:pStyle w:val="17"/>
            </w:pPr>
          </w:p>
        </w:tc>
        <w:tc>
          <w:tcPr>
            <w:tcW w:w="309" w:type="pct"/>
            <w:vAlign w:val="center"/>
          </w:tcPr>
          <w:p>
            <w:pPr>
              <w:pStyle w:val="17"/>
            </w:pPr>
          </w:p>
        </w:tc>
        <w:tc>
          <w:tcPr>
            <w:tcW w:w="309" w:type="pct"/>
            <w:vAlign w:val="center"/>
          </w:tcPr>
          <w:p>
            <w:pPr>
              <w:pStyle w:val="17"/>
            </w:pPr>
          </w:p>
        </w:tc>
        <w:tc>
          <w:tcPr>
            <w:tcW w:w="309" w:type="pct"/>
            <w:vAlign w:val="center"/>
          </w:tcPr>
          <w:p>
            <w:pPr>
              <w:pStyle w:val="17"/>
            </w:pPr>
          </w:p>
        </w:tc>
        <w:tc>
          <w:tcPr>
            <w:tcW w:w="29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2" w:type="pct"/>
            <w:vAlign w:val="center"/>
          </w:tcPr>
          <w:p>
            <w:pPr>
              <w:pStyle w:val="16"/>
            </w:pPr>
          </w:p>
        </w:tc>
        <w:tc>
          <w:tcPr>
            <w:tcW w:w="314" w:type="pct"/>
            <w:vAlign w:val="center"/>
          </w:tcPr>
          <w:p>
            <w:pPr>
              <w:pStyle w:val="17"/>
            </w:pPr>
          </w:p>
        </w:tc>
        <w:tc>
          <w:tcPr>
            <w:tcW w:w="314" w:type="pct"/>
            <w:vAlign w:val="center"/>
          </w:tcPr>
          <w:p>
            <w:pPr>
              <w:pStyle w:val="18"/>
            </w:pPr>
          </w:p>
        </w:tc>
        <w:tc>
          <w:tcPr>
            <w:tcW w:w="415" w:type="pct"/>
            <w:vAlign w:val="center"/>
          </w:tcPr>
          <w:p>
            <w:pPr>
              <w:pStyle w:val="18"/>
            </w:pPr>
          </w:p>
        </w:tc>
        <w:tc>
          <w:tcPr>
            <w:tcW w:w="226" w:type="pct"/>
            <w:vAlign w:val="center"/>
          </w:tcPr>
          <w:p>
            <w:pPr>
              <w:pStyle w:val="16"/>
            </w:pPr>
          </w:p>
        </w:tc>
        <w:tc>
          <w:tcPr>
            <w:tcW w:w="272" w:type="pct"/>
            <w:vAlign w:val="center"/>
          </w:tcPr>
          <w:p>
            <w:pPr>
              <w:pStyle w:val="17"/>
            </w:pPr>
          </w:p>
        </w:tc>
        <w:tc>
          <w:tcPr>
            <w:tcW w:w="194" w:type="pct"/>
            <w:vAlign w:val="center"/>
          </w:tcPr>
          <w:p>
            <w:pPr>
              <w:pStyle w:val="17"/>
            </w:pPr>
          </w:p>
        </w:tc>
        <w:tc>
          <w:tcPr>
            <w:tcW w:w="228" w:type="pct"/>
            <w:vAlign w:val="center"/>
          </w:tcPr>
          <w:p>
            <w:pPr>
              <w:pStyle w:val="17"/>
            </w:pPr>
          </w:p>
        </w:tc>
        <w:tc>
          <w:tcPr>
            <w:tcW w:w="447" w:type="pct"/>
            <w:vAlign w:val="center"/>
          </w:tcPr>
          <w:p>
            <w:pPr>
              <w:pStyle w:val="17"/>
            </w:pPr>
          </w:p>
        </w:tc>
        <w:tc>
          <w:tcPr>
            <w:tcW w:w="297" w:type="pct"/>
            <w:vAlign w:val="center"/>
          </w:tcPr>
          <w:p>
            <w:pPr>
              <w:pStyle w:val="17"/>
            </w:pPr>
          </w:p>
        </w:tc>
        <w:tc>
          <w:tcPr>
            <w:tcW w:w="402" w:type="pct"/>
            <w:vAlign w:val="center"/>
          </w:tcPr>
          <w:p>
            <w:pPr>
              <w:pStyle w:val="17"/>
            </w:pPr>
          </w:p>
        </w:tc>
        <w:tc>
          <w:tcPr>
            <w:tcW w:w="309" w:type="pct"/>
            <w:vAlign w:val="center"/>
          </w:tcPr>
          <w:p>
            <w:pPr>
              <w:pStyle w:val="17"/>
            </w:pPr>
          </w:p>
        </w:tc>
        <w:tc>
          <w:tcPr>
            <w:tcW w:w="309" w:type="pct"/>
            <w:vAlign w:val="center"/>
          </w:tcPr>
          <w:p>
            <w:pPr>
              <w:pStyle w:val="17"/>
            </w:pPr>
          </w:p>
        </w:tc>
        <w:tc>
          <w:tcPr>
            <w:tcW w:w="309" w:type="pct"/>
            <w:vAlign w:val="center"/>
          </w:tcPr>
          <w:p>
            <w:pPr>
              <w:pStyle w:val="17"/>
            </w:pPr>
          </w:p>
        </w:tc>
        <w:tc>
          <w:tcPr>
            <w:tcW w:w="309" w:type="pct"/>
            <w:vAlign w:val="center"/>
          </w:tcPr>
          <w:p>
            <w:pPr>
              <w:pStyle w:val="17"/>
            </w:pPr>
          </w:p>
        </w:tc>
        <w:tc>
          <w:tcPr>
            <w:tcW w:w="29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2" w:type="pct"/>
            <w:vAlign w:val="center"/>
          </w:tcPr>
          <w:p>
            <w:pPr>
              <w:pStyle w:val="14"/>
            </w:pPr>
          </w:p>
        </w:tc>
        <w:tc>
          <w:tcPr>
            <w:tcW w:w="314" w:type="pct"/>
            <w:vAlign w:val="center"/>
          </w:tcPr>
          <w:p>
            <w:pPr>
              <w:pStyle w:val="13"/>
            </w:pPr>
          </w:p>
        </w:tc>
        <w:tc>
          <w:tcPr>
            <w:tcW w:w="314" w:type="pct"/>
            <w:vAlign w:val="center"/>
          </w:tcPr>
          <w:p>
            <w:pPr>
              <w:pStyle w:val="14"/>
            </w:pPr>
          </w:p>
        </w:tc>
        <w:tc>
          <w:tcPr>
            <w:tcW w:w="415" w:type="pct"/>
            <w:vAlign w:val="center"/>
          </w:tcPr>
          <w:p>
            <w:pPr>
              <w:pStyle w:val="14"/>
            </w:pPr>
          </w:p>
        </w:tc>
        <w:tc>
          <w:tcPr>
            <w:tcW w:w="226" w:type="pct"/>
            <w:vAlign w:val="center"/>
          </w:tcPr>
          <w:p>
            <w:pPr>
              <w:pStyle w:val="15"/>
            </w:pPr>
          </w:p>
        </w:tc>
        <w:tc>
          <w:tcPr>
            <w:tcW w:w="272" w:type="pct"/>
            <w:vAlign w:val="center"/>
          </w:tcPr>
          <w:p>
            <w:pPr>
              <w:pStyle w:val="13"/>
            </w:pPr>
          </w:p>
        </w:tc>
        <w:tc>
          <w:tcPr>
            <w:tcW w:w="194" w:type="pct"/>
            <w:vAlign w:val="center"/>
          </w:tcPr>
          <w:p>
            <w:pPr>
              <w:pStyle w:val="13"/>
            </w:pPr>
          </w:p>
        </w:tc>
        <w:tc>
          <w:tcPr>
            <w:tcW w:w="228" w:type="pct"/>
            <w:vAlign w:val="center"/>
          </w:tcPr>
          <w:p>
            <w:pPr>
              <w:pStyle w:val="13"/>
            </w:pPr>
          </w:p>
        </w:tc>
        <w:tc>
          <w:tcPr>
            <w:tcW w:w="447" w:type="pct"/>
            <w:vAlign w:val="center"/>
          </w:tcPr>
          <w:p>
            <w:pPr>
              <w:pStyle w:val="13"/>
            </w:pPr>
          </w:p>
        </w:tc>
        <w:tc>
          <w:tcPr>
            <w:tcW w:w="297" w:type="pct"/>
            <w:vAlign w:val="center"/>
          </w:tcPr>
          <w:p>
            <w:pPr>
              <w:pStyle w:val="13"/>
            </w:pPr>
          </w:p>
        </w:tc>
        <w:tc>
          <w:tcPr>
            <w:tcW w:w="402" w:type="pct"/>
            <w:vAlign w:val="center"/>
          </w:tcPr>
          <w:p>
            <w:pPr>
              <w:pStyle w:val="13"/>
            </w:pPr>
          </w:p>
        </w:tc>
        <w:tc>
          <w:tcPr>
            <w:tcW w:w="309" w:type="pct"/>
            <w:vAlign w:val="center"/>
          </w:tcPr>
          <w:p>
            <w:pPr>
              <w:pStyle w:val="13"/>
            </w:pPr>
          </w:p>
        </w:tc>
        <w:tc>
          <w:tcPr>
            <w:tcW w:w="309" w:type="pct"/>
            <w:vAlign w:val="center"/>
          </w:tcPr>
          <w:p>
            <w:pPr>
              <w:pStyle w:val="13"/>
            </w:pPr>
          </w:p>
        </w:tc>
        <w:tc>
          <w:tcPr>
            <w:tcW w:w="309" w:type="pct"/>
            <w:vAlign w:val="center"/>
          </w:tcPr>
          <w:p>
            <w:pPr>
              <w:pStyle w:val="13"/>
            </w:pPr>
          </w:p>
        </w:tc>
        <w:tc>
          <w:tcPr>
            <w:tcW w:w="309" w:type="pct"/>
            <w:vAlign w:val="center"/>
          </w:tcPr>
          <w:p>
            <w:pPr>
              <w:pStyle w:val="13"/>
            </w:pPr>
          </w:p>
        </w:tc>
        <w:tc>
          <w:tcPr>
            <w:tcW w:w="299"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上年末固定资产金额为364.08万元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25.88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主要为计算机设备、打印设备、空调、办公家具等。</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广阳区司法局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广阳区司法局</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364.08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241.06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105079"/>
    <w:rsid w:val="0013550C"/>
    <w:rsid w:val="001C0A21"/>
    <w:rsid w:val="001C53BC"/>
    <w:rsid w:val="001F69AA"/>
    <w:rsid w:val="00206A08"/>
    <w:rsid w:val="0025632D"/>
    <w:rsid w:val="002E62A6"/>
    <w:rsid w:val="003059E0"/>
    <w:rsid w:val="00401CD8"/>
    <w:rsid w:val="0043334E"/>
    <w:rsid w:val="004614A7"/>
    <w:rsid w:val="004A54AA"/>
    <w:rsid w:val="00532459"/>
    <w:rsid w:val="0075469A"/>
    <w:rsid w:val="007B5A2D"/>
    <w:rsid w:val="00901C07"/>
    <w:rsid w:val="00944233"/>
    <w:rsid w:val="009C75B7"/>
    <w:rsid w:val="00A33FED"/>
    <w:rsid w:val="00A70F61"/>
    <w:rsid w:val="00AE61B1"/>
    <w:rsid w:val="00B40732"/>
    <w:rsid w:val="00B51E69"/>
    <w:rsid w:val="00B53645"/>
    <w:rsid w:val="00B80935"/>
    <w:rsid w:val="00B813F6"/>
    <w:rsid w:val="00C37920"/>
    <w:rsid w:val="00D20734"/>
    <w:rsid w:val="00D33EEA"/>
    <w:rsid w:val="00D347CC"/>
    <w:rsid w:val="00D429DD"/>
    <w:rsid w:val="00D6461F"/>
    <w:rsid w:val="00DA1F89"/>
    <w:rsid w:val="00DC72B4"/>
    <w:rsid w:val="00E316BF"/>
    <w:rsid w:val="0CEC1180"/>
    <w:rsid w:val="1B906551"/>
    <w:rsid w:val="240C5E7C"/>
    <w:rsid w:val="2EDD5781"/>
    <w:rsid w:val="456652C6"/>
    <w:rsid w:val="672917F2"/>
    <w:rsid w:val="73693C55"/>
    <w:rsid w:val="74BF25FF"/>
    <w:rsid w:val="7D6A2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1731</Words>
  <Characters>9867</Characters>
  <Lines>82</Lines>
  <Paragraphs>23</Paragraphs>
  <TotalTime>1</TotalTime>
  <ScaleCrop>false</ScaleCrop>
  <LinksUpToDate>false</LinksUpToDate>
  <CharactersWithSpaces>11575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2024-05-15T01:55:48Z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4D3FAD9E407040F4BC727AD08F8AB60B</vt:lpwstr>
  </property>
</Properties>
</file>