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委统战部</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委统战部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bookmarkStart w:id="3" w:name="_GoBack"/>
      <w:bookmarkEnd w:id="3"/>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r>
        <w:rPr>
          <w:rFonts w:ascii="Times New Roman" w:hAnsi="Times New Roman" w:eastAsia="仿宋_GB2312" w:cs="Times New Roman"/>
          <w:sz w:val="32"/>
          <w:szCs w:val="32"/>
        </w:rPr>
        <w:t>贯彻落实加强党对统一战线工作集中统一领导的要求，发挥区委在统战工作方面的参谋机构、组织协机构、具体执行机构、督促检查机构作用；开展统一战线理论、政策研究，及时向区委报告统一战线工作情况并提出建议，协调政府有关部门的统一战线工作；贯彻执行无党派人士工作的方针政策，负责牵头协调无党派人士工作；贯彻落实党的宣传工作方针；贯彻落实中国共产党领导的多党合作和政治协商制度以及对民主党派的方针政策；贯彻落实党的民族工作方针；贯彻落实党的宗教工作基本方针和政策，参与制定、推动落实鼓励支持引导非公有制经济发展的政策措施；贯彻执行党中央、国务院对台工作的方针政策；贯彻落实党的侨务工作方针政策并组织协调、督促检查落实；负责指导各乡镇、街道的统一战线工作及领导班子和领导干部统一战线工作的年度考核；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autoSpaceDE w:val="0"/>
              <w:autoSpaceDN w:val="0"/>
              <w:spacing w:line="540" w:lineRule="exact"/>
              <w:jc w:val="center"/>
              <w:rPr>
                <w:rFonts w:ascii="仿宋_GB2312" w:hAnsi="Calibri" w:eastAsia="仿宋_GB2312" w:cs="Arial"/>
                <w:kern w:val="2"/>
                <w:sz w:val="32"/>
                <w:szCs w:val="32"/>
                <w:lang w:val="en-US" w:eastAsia="zh-CN" w:bidi="ar-SA"/>
              </w:rPr>
            </w:pPr>
            <w:r>
              <w:rPr>
                <w:rFonts w:hint="eastAsia" w:ascii="仿宋_GB2312" w:eastAsia="仿宋_GB2312"/>
                <w:color w:val="000000"/>
                <w:sz w:val="32"/>
                <w:szCs w:val="32"/>
              </w:rPr>
              <w:t>中共</w:t>
            </w:r>
            <w:r>
              <w:rPr>
                <w:rFonts w:ascii="仿宋_GB2312" w:eastAsia="仿宋_GB2312"/>
                <w:color w:val="000000"/>
                <w:sz w:val="32"/>
                <w:szCs w:val="32"/>
              </w:rPr>
              <w:t>廊坊市广阳区</w:t>
            </w:r>
            <w:r>
              <w:rPr>
                <w:rFonts w:hint="eastAsia" w:ascii="仿宋_GB2312" w:eastAsia="仿宋_GB2312"/>
                <w:color w:val="000000"/>
                <w:sz w:val="32"/>
                <w:szCs w:val="32"/>
              </w:rPr>
              <w:t>委统战部</w:t>
            </w:r>
          </w:p>
        </w:tc>
        <w:tc>
          <w:tcPr>
            <w:tcW w:w="1134" w:type="dxa"/>
            <w:shd w:val="clear" w:color="auto" w:fill="auto"/>
            <w:vAlign w:val="center"/>
          </w:tcPr>
          <w:p>
            <w:pPr>
              <w:autoSpaceDE w:val="0"/>
              <w:autoSpaceDN w:val="0"/>
              <w:spacing w:line="540" w:lineRule="exact"/>
              <w:jc w:val="center"/>
              <w:rPr>
                <w:rFonts w:ascii="仿宋_GB2312" w:hAnsi="Calibri" w:eastAsia="仿宋_GB2312" w:cs="Arial"/>
                <w:kern w:val="2"/>
                <w:sz w:val="32"/>
                <w:szCs w:val="32"/>
                <w:lang w:val="en-US" w:eastAsia="zh-CN" w:bidi="ar-SA"/>
              </w:rPr>
            </w:pPr>
            <w:r>
              <w:rPr>
                <w:rFonts w:hint="eastAsia" w:ascii="仿宋_GB2312" w:eastAsia="仿宋_GB2312"/>
                <w:color w:val="000000"/>
                <w:sz w:val="32"/>
                <w:szCs w:val="32"/>
              </w:rPr>
              <w:t>行政单位</w:t>
            </w:r>
          </w:p>
        </w:tc>
        <w:tc>
          <w:tcPr>
            <w:tcW w:w="1276" w:type="dxa"/>
            <w:shd w:val="clear" w:color="auto" w:fill="auto"/>
            <w:vAlign w:val="center"/>
          </w:tcPr>
          <w:p>
            <w:pPr>
              <w:spacing w:line="540" w:lineRule="exact"/>
              <w:jc w:val="center"/>
              <w:rPr>
                <w:rFonts w:ascii="仿宋_GB2312" w:hAnsi="Calibri" w:eastAsia="仿宋_GB2312" w:cs="Arial"/>
                <w:kern w:val="2"/>
                <w:sz w:val="32"/>
                <w:szCs w:val="32"/>
                <w:lang w:val="en-US" w:eastAsia="zh-CN" w:bidi="ar-SA"/>
              </w:rPr>
            </w:pPr>
            <w:r>
              <w:rPr>
                <w:rFonts w:hint="eastAsia" w:ascii="仿宋_GB2312" w:eastAsia="仿宋_GB2312"/>
                <w:sz w:val="32"/>
                <w:szCs w:val="32"/>
              </w:rPr>
              <w:t>正</w:t>
            </w:r>
            <w:r>
              <w:rPr>
                <w:rFonts w:ascii="仿宋_GB2312" w:eastAsia="仿宋_GB2312"/>
                <w:sz w:val="32"/>
                <w:szCs w:val="32"/>
              </w:rPr>
              <w:t>科</w:t>
            </w:r>
            <w:r>
              <w:rPr>
                <w:rFonts w:hint="eastAsia" w:ascii="仿宋_GB2312" w:eastAsia="仿宋_GB2312"/>
                <w:sz w:val="32"/>
                <w:szCs w:val="32"/>
              </w:rPr>
              <w:t>级</w:t>
            </w:r>
          </w:p>
        </w:tc>
        <w:tc>
          <w:tcPr>
            <w:tcW w:w="2902" w:type="dxa"/>
            <w:shd w:val="clear" w:color="auto" w:fill="auto"/>
            <w:vAlign w:val="center"/>
          </w:tcPr>
          <w:p>
            <w:pPr>
              <w:autoSpaceDE w:val="0"/>
              <w:autoSpaceDN w:val="0"/>
              <w:spacing w:line="540" w:lineRule="exact"/>
              <w:jc w:val="center"/>
              <w:rPr>
                <w:rFonts w:ascii="仿宋_GB2312" w:hAnsi="Calibri" w:eastAsia="仿宋_GB2312" w:cs="Arial"/>
                <w:kern w:val="2"/>
                <w:sz w:val="32"/>
                <w:szCs w:val="32"/>
                <w:lang w:val="en-US" w:eastAsia="zh-CN" w:bidi="ar-SA"/>
              </w:rPr>
            </w:pPr>
            <w:r>
              <w:rPr>
                <w:rFonts w:hint="eastAsia" w:ascii="仿宋_GB2312" w:eastAsia="仿宋_GB2312"/>
                <w:color w:val="000000"/>
                <w:sz w:val="32"/>
                <w:szCs w:val="3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广阳区委统战部</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303.89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254.86</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49.03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委统战部2022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303.89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234.86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204.56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30.3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69.03</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lang w:val="en-US" w:eastAsia="zh-CN"/>
        </w:rPr>
        <w:t>20万。</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lang w:val="en-US" w:eastAsia="zh-CN"/>
        </w:rPr>
        <w:t>宗教工作经费</w:t>
      </w:r>
      <w:r>
        <w:rPr>
          <w:rFonts w:ascii="Times New Roman" w:hAnsi="Times New Roman" w:eastAsia="仿宋_GB2312" w:cs="Times New Roman"/>
          <w:sz w:val="32"/>
          <w:szCs w:val="32"/>
        </w:rPr>
        <w:t>等；上缴上级支出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303.89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highlight w:val="none"/>
          <w:lang w:val="en-US" w:eastAsia="zh-CN"/>
        </w:rPr>
        <w:t>71.31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22.28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人员工资</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highlight w:val="none"/>
          <w:lang w:val="en-US" w:eastAsia="zh-CN"/>
        </w:rPr>
        <w:t>49.03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清真寺整改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30.3</w:t>
      </w:r>
      <w:r>
        <w:rPr>
          <w:rFonts w:ascii="Times New Roman" w:hAnsi="Times New Roman" w:eastAsia="仿宋_GB2312" w:cs="Times New Roman"/>
          <w:sz w:val="32"/>
          <w:szCs w:val="32"/>
        </w:rPr>
        <w:t>万元，主要用于办公的日常维修、办公用房水电费、办公用房取暖费、办公用房物业管理费等日常运行支出。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highlight w:val="none"/>
          <w:lang w:val="en-US" w:eastAsia="zh-CN"/>
        </w:rPr>
        <w:t>减少0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ascii="Times New Roman" w:hAnsi="Times New Roman" w:eastAsia="仿宋_GB2312" w:cs="Times New Roman"/>
          <w:sz w:val="32"/>
          <w:szCs w:val="32"/>
          <w:highlight w:val="none"/>
        </w:rPr>
        <w:t>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rPr>
        <w:t>万元（其中：公务用车购置费</w:t>
      </w:r>
      <w:r>
        <w:rPr>
          <w:rFonts w:ascii="Times New Roman" w:hAnsi="Times New Roman" w:eastAsia="仿宋_GB2312" w:cs="Times New Roman"/>
          <w:sz w:val="32"/>
          <w:szCs w:val="32"/>
          <w:highlight w:val="none"/>
        </w:rPr>
        <w:t>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highlight w:val="none"/>
          <w:lang w:val="en-US"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0。今年</w:t>
      </w:r>
      <w:r>
        <w:rPr>
          <w:rFonts w:hint="eastAsia" w:ascii="Times New Roman" w:hAnsi="Times New Roman" w:eastAsia="仿宋_GB2312" w:cs="Times New Roman"/>
          <w:sz w:val="32"/>
          <w:szCs w:val="32"/>
        </w:rPr>
        <w:t>我部门</w:t>
      </w:r>
      <w:r>
        <w:rPr>
          <w:rFonts w:hint="eastAsia"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rPr>
        <w:t>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auto"/>
          <w:sz w:val="32"/>
          <w:szCs w:val="32"/>
        </w:rPr>
        <w:t>与20</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1年相比持平，无增减变化。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依法管理民族宗教事务，促进民族团结进步，助推少数民族地区经济社会发展，维护宗教领域安全稳定，引导宗教与社会主义社会相适应。促进非公经济人士健康成长和非公经济健康发展。提升党外干部队伍整体素质，增强党外干部政治把握能力、参政议政能力、组织领导能力和合作共事能力。不断优化我区投资环境，促进落户台企健康发展和产业结构调整。开展对台招商活动，加大招商引资力度，提高招商引资成效。推动与台间文化双向互动，增强两岸同胞同为炎黄子孙的民族认同感和民族凝聚力。妥善处置各类涉台事务。</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二</w:t>
      </w:r>
      <w:r>
        <w:rPr>
          <w:rFonts w:hint="eastAsia" w:ascii="楷体_GB2312" w:eastAsia="楷体_GB2312" w:cs="Times New Roman"/>
          <w:b/>
          <w:sz w:val="32"/>
          <w:szCs w:val="32"/>
          <w:lang w:eastAsia="zh-CN"/>
        </w:rPr>
        <w:t>）</w:t>
      </w:r>
      <w:r>
        <w:rPr>
          <w:rFonts w:hint="eastAsia" w:ascii="楷体_GB2312" w:eastAsia="楷体_GB2312" w:cs="Times New Roman"/>
          <w:b/>
          <w:sz w:val="32"/>
          <w:szCs w:val="32"/>
        </w:rPr>
        <w:t>分项绩效目标</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1、巩固多党合作，推动多党合作政治协商事业发展。</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绩效目标：完善与各民主党派政治协商制度，联系各民主党派成员，通报情况、反映意见，推动多党合作政治协商事业发展。</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绩效指标：年度内完成与各民主党派政治协商次数不低于1次。</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2、促进非公有制经济健康发展和非公有制经济人士健康成长。</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绩效目标：联系、培养民营经济代表人士，开展思想政治工作，适时召开民营经济领域统战工作会议或研讨会议、指导民营企业党组织做好企业内部统战工作。</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绩效指标：完成并实施贯彻落实上级关于民营经济统战工作文件精神实施意见，举办政企沟通交流会次数不低于1次。</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3、加强党外知识分子统战工作。</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进一步加强与各领域的党外知识分子和新的社会阶层人士组织联谊交友，强化思想政治引领，创新工作方法，充分发挥作用。有重点地开展部分群体思想状况、关注重点、愿望期盼和利益诉求的调查研究。</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绩效指标：定期不定期召集不同领域党外知识分子召开座谈、协商等会议不低于2次。调研了解各地各领域党外知识分子和新的社会阶层人士情况不低于2次。</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4、加强党外代表人士队伍建设。</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加强党外代表人士的发现培养工作，提高党外代表人士的实践能力、履职本领和参政议政水平。深化省领导与党外代表人士联谊交友活动，定期走访看望，谈心交流，主动解忧帮困，密切与各领域党外代表人士的联系。</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绩效指标：加强与党外代表人士的联谊沟通，定期走访看望，谈心交流次数不低于1次。</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5、推动侨务管理工作。</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绩效目标：做好海外侨胞的基础性工作，摸清底数。加强对侨务工作的调研，加强与海外华侨华人及社团的联系。</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绩效指标：完成年度侨务工作调研不低于1次。</w:t>
      </w:r>
    </w:p>
    <w:p>
      <w:pPr>
        <w:spacing w:line="584" w:lineRule="exact"/>
        <w:ind w:firstLine="643" w:firstLineChars="200"/>
        <w:rPr>
          <w:rFonts w:hint="eastAsia" w:ascii="楷体_GB2312" w:eastAsia="楷体_GB2312" w:cs="Times New Roman"/>
          <w:b/>
          <w:sz w:val="32"/>
          <w:szCs w:val="32"/>
          <w:lang w:eastAsia="zh-CN"/>
        </w:rPr>
      </w:pPr>
      <w:r>
        <w:rPr>
          <w:rFonts w:hint="eastAsia" w:ascii="楷体_GB2312" w:eastAsia="楷体_GB2312" w:cs="Times New Roman"/>
          <w:b/>
          <w:sz w:val="32"/>
          <w:szCs w:val="32"/>
          <w:lang w:eastAsia="zh-CN"/>
        </w:rPr>
        <w:t>（三）工作保障措施</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1、加强政治理论学习，坚决夯实统一战线工作共同思想政治基础。</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2、履行党建主体责任，打牢统一战线工作齐抓共管格局。</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3、紧扣年度任务目标，主动发挥统一战线作用融入全区发展大局。</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4、强化思想政治引导，广泛凝聚统一战线工作对象工作共识。</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5、强化深化交流合作，不断巩固统一战线工作最广泛爱国力量。</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6、持续加强队伍建设，坚决提升统一战线工作服务效能。</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7、不断深化正风肃纪，持续营造统一战线工作风清气正服务环境。</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1476"/>
        <w:gridCol w:w="2179"/>
        <w:gridCol w:w="543"/>
        <w:gridCol w:w="488"/>
        <w:gridCol w:w="595"/>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47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17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26"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76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7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1476" w:type="dxa"/>
            <w:vMerge w:val="continue"/>
            <w:tcBorders>
              <w:tl2br w:val="nil"/>
              <w:tr2bl w:val="nil"/>
            </w:tcBorders>
            <w:vAlign w:val="center"/>
          </w:tcPr>
          <w:p/>
        </w:tc>
        <w:tc>
          <w:tcPr>
            <w:tcW w:w="2179"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9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765"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val="0"/>
                <w:bCs/>
              </w:rPr>
            </w:pPr>
            <w:r>
              <w:rPr>
                <w:rFonts w:ascii="方正书宋_GBK" w:eastAsia="方正书宋_GBK"/>
                <w:b w:val="0"/>
                <w:bCs/>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数量指标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开展检查工作次数完成率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完成率达到100%得15分，完成率每降低1%扣5%的分值。</w:t>
            </w:r>
          </w:p>
        </w:tc>
        <w:tc>
          <w:tcPr>
            <w:tcW w:w="21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村、镇、区级开展检查工作的次数与文件要求开展检查工作次数的比例</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中共廊坊市统一战线工作领导小组办公室关于印发《关于开展非法宗教活动专项整治和系统治理遏制宗教渗透蔓延工作的实施方案》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b w:val="0"/>
                <w:bCs/>
              </w:rPr>
            </w:pP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质量指标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各项工作质量达标率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达标率达到100%得15分，达标率每降低1%扣5%的分值。</w:t>
            </w:r>
          </w:p>
        </w:tc>
        <w:tc>
          <w:tcPr>
            <w:tcW w:w="2179"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各项工作质量达标的个数与文件要求完成工作数量个数的比率</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中共廊坊市统一战线工作领导小组办公室关于印发《关于开展非法宗教活动专项整治和系统治理遏制宗教渗透蔓延工作的实施方案》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b w:val="0"/>
                <w:bCs/>
              </w:rPr>
            </w:pP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时效指标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各项工作完成及时率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及时率达到100%得15分，及时率每降低1%扣5%的分值。</w:t>
            </w:r>
          </w:p>
        </w:tc>
        <w:tc>
          <w:tcPr>
            <w:tcW w:w="2179"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及时完成各项工作的次数与上级相关文件要求完成工作次数的比例</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中共廊坊市统一战线工作领导小组办公室关于印发《关于开展非法宗教活动专项整治和系统治理遏制宗教渗透蔓延工作的实施方案》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b w:val="0"/>
                <w:bCs/>
              </w:rPr>
            </w:pP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成本指标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成本控制率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成本控制率小于等于100%得15分，成本控制率每提高1%扣5%的分值。</w:t>
            </w:r>
          </w:p>
        </w:tc>
        <w:tc>
          <w:tcPr>
            <w:tcW w:w="2179"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项目实际支出金额与预算金额的比例</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val="0"/>
                <w:bCs/>
              </w:rPr>
            </w:pPr>
            <w:r>
              <w:rPr>
                <w:rFonts w:ascii="方正书宋_GBK" w:eastAsia="方正书宋_GBK"/>
                <w:b w:val="0"/>
                <w:bCs/>
              </w:rPr>
              <w:t>部门</w:t>
            </w:r>
            <w:r>
              <w:rPr>
                <w:rFonts w:hint="eastAsia" w:ascii="方正书宋_GBK" w:eastAsia="方正书宋_GBK"/>
                <w:b w:val="0"/>
                <w:bCs/>
              </w:rPr>
              <w:t>效果</w:t>
            </w: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社会效益指标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重大突发案件降低率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重大突发案件降低率大于等于0得10分，降低率小于0时，每增长1%扣10%的分值。</w:t>
            </w:r>
          </w:p>
        </w:tc>
        <w:tc>
          <w:tcPr>
            <w:tcW w:w="2179"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重大突发案件较去年降低的比例</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文字描述</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大于等于0</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b w:val="0"/>
                <w:bCs/>
              </w:rPr>
            </w:pP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社会效益指标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信访案件降低率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信访案件降低率大于等于0得10分，降低率小于0时，每增长1%扣10%的分值。</w:t>
            </w:r>
          </w:p>
        </w:tc>
        <w:tc>
          <w:tcPr>
            <w:tcW w:w="2179"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信访案件较去年降低的比率</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文字描述</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大于等于0</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b w:val="0"/>
                <w:bCs/>
              </w:rPr>
            </w:pPr>
          </w:p>
        </w:tc>
        <w:tc>
          <w:tcPr>
            <w:tcW w:w="825" w:type="dxa"/>
            <w:tcBorders>
              <w:tl2br w:val="nil"/>
              <w:tr2bl w:val="nil"/>
            </w:tcBorders>
            <w:vAlign w:val="center"/>
          </w:tcPr>
          <w:p>
            <w:pPr>
              <w:widowControl/>
              <w:adjustRightInd w:val="0"/>
              <w:snapToGrid w:val="0"/>
              <w:jc w:val="center"/>
              <w:rPr>
                <w:rFonts w:hint="eastAsia" w:ascii="方正书宋_GBK" w:eastAsia="方正书宋_GBK"/>
                <w:b w:val="0"/>
                <w:bCs/>
                <w:lang w:val="en-US" w:eastAsia="zh-CN"/>
              </w:rPr>
            </w:pPr>
            <w:r>
              <w:rPr>
                <w:rFonts w:hint="eastAsia" w:ascii="方正书宋_GBK" w:eastAsia="方正书宋_GBK"/>
                <w:b w:val="0"/>
                <w:bCs/>
                <w:lang w:val="en-US" w:eastAsia="zh-CN"/>
              </w:rPr>
              <w:t>满意度</w:t>
            </w:r>
          </w:p>
        </w:tc>
        <w:tc>
          <w:tcPr>
            <w:tcW w:w="897" w:type="dxa"/>
            <w:tcBorders>
              <w:tl2br w:val="nil"/>
              <w:tr2bl w:val="nil"/>
            </w:tcBorders>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统战对象群众满意度</w:t>
            </w:r>
          </w:p>
        </w:tc>
        <w:tc>
          <w:tcPr>
            <w:tcW w:w="147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达到要求得10分，未达到按比例扣分。</w:t>
            </w:r>
          </w:p>
        </w:tc>
        <w:tc>
          <w:tcPr>
            <w:tcW w:w="2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群众满意数量占总数的比例。</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问卷调查</w:t>
            </w:r>
          </w:p>
        </w:tc>
      </w:tr>
    </w:tbl>
    <w:p>
      <w:pPr>
        <w:spacing w:line="584" w:lineRule="exact"/>
        <w:rPr>
          <w:rFonts w:ascii="仿宋_GB2312" w:eastAsia="仿宋_GB2312"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宗教综合治理工作经费</w:t>
      </w:r>
      <w:r>
        <w:rPr>
          <w:rFonts w:ascii="Times New Roman" w:hAnsi="Times New Roman" w:eastAsia="仿宋_GB2312" w:cs="Times New Roman"/>
          <w:sz w:val="28"/>
        </w:rPr>
        <w:t>绩效目标表</w:t>
      </w:r>
      <w:bookmarkStart w:id="0" w:name="_Toc29799657"/>
      <w:bookmarkEnd w:id="0"/>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144"/>
        <w:gridCol w:w="3243"/>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val="0"/>
                <w:bCs/>
              </w:rPr>
              <w:t>开展宗教领域问题系统治理和专项整治。从根本上遏制宗教渗透蔓延，构建长效管理机制。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14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2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2144"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开展检查工作次数完成率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村、镇、区级开展检查工作的次数与文件要求开展检查工作次数的比例</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100%</w:t>
            </w:r>
          </w:p>
        </w:tc>
        <w:tc>
          <w:tcPr>
            <w:tcW w:w="2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5"/>
                <w:szCs w:val="15"/>
                <w:u w:val="none"/>
                <w:lang w:val="en-US" w:eastAsia="zh-CN" w:bidi="ar-SA"/>
              </w:rPr>
            </w:pPr>
            <w:r>
              <w:rPr>
                <w:rFonts w:hint="eastAsia" w:ascii="仿宋_GB2312" w:hAnsi="仿宋_GB2312" w:eastAsia="仿宋_GB2312" w:cs="仿宋_GB2312"/>
                <w:sz w:val="15"/>
                <w:szCs w:val="15"/>
              </w:rP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2144"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开展检查工作质量达标率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例检查工作质量达标的次数与文件要求开展检查工作次数的比</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100%</w:t>
            </w:r>
          </w:p>
        </w:tc>
        <w:tc>
          <w:tcPr>
            <w:tcW w:w="21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21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开展检查工作及时率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及时开展检查工作的次数与文件要求开展检查工作次数的比例</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100%</w:t>
            </w:r>
          </w:p>
        </w:tc>
        <w:tc>
          <w:tcPr>
            <w:tcW w:w="21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21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成本控制率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项目实际支出金额与预算金额的比例</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≤100%</w:t>
            </w:r>
          </w:p>
        </w:tc>
        <w:tc>
          <w:tcPr>
            <w:tcW w:w="21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kern w:val="2"/>
                <w:sz w:val="21"/>
                <w:szCs w:val="22"/>
                <w:lang w:val="en-US" w:eastAsia="zh-CN" w:bidi="ar-SA"/>
              </w:rPr>
            </w:pPr>
            <w:r>
              <w:t>效益指标</w:t>
            </w:r>
          </w:p>
        </w:tc>
        <w:tc>
          <w:tcPr>
            <w:tcW w:w="22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840" w:firstLineChars="40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社会效益指标</w:t>
            </w:r>
          </w:p>
        </w:tc>
        <w:tc>
          <w:tcPr>
            <w:tcW w:w="21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uk-UA"/>
              </w:rPr>
            </w:pPr>
            <w:r>
              <w:rPr>
                <w:rFonts w:hint="eastAsia" w:ascii="仿宋_GB2312" w:hAnsi="仿宋_GB2312" w:eastAsia="仿宋_GB2312" w:cs="仿宋_GB2312"/>
                <w:sz w:val="21"/>
                <w:szCs w:val="21"/>
              </w:rPr>
              <w:t>宗教领域重大突发案件降低率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宗教领域重大突发案件较去年降低的比例</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大于等于0</w:t>
            </w:r>
          </w:p>
        </w:tc>
        <w:tc>
          <w:tcPr>
            <w:tcW w:w="2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社会效益指标</w:t>
            </w:r>
          </w:p>
        </w:tc>
        <w:tc>
          <w:tcPr>
            <w:tcW w:w="2144"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宗教信访案件降低率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宗教信访案件较去年降低的比例</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大于等于0</w:t>
            </w:r>
          </w:p>
        </w:tc>
        <w:tc>
          <w:tcPr>
            <w:tcW w:w="2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sz w:val="15"/>
                <w:szCs w:val="15"/>
              </w:rPr>
            </w:pPr>
            <w:r>
              <w:rPr>
                <w:sz w:val="15"/>
                <w:szCs w:val="15"/>
              </w:rPr>
              <w:t>满意度指标</w:t>
            </w:r>
          </w:p>
        </w:tc>
        <w:tc>
          <w:tcPr>
            <w:tcW w:w="226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服务对象满意度指标</w:t>
            </w:r>
          </w:p>
        </w:tc>
        <w:tc>
          <w:tcPr>
            <w:tcW w:w="2144"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信教群众满意度</w:t>
            </w:r>
          </w:p>
        </w:tc>
        <w:tc>
          <w:tcPr>
            <w:tcW w:w="3243" w:type="dxa"/>
            <w:shd w:val="clear" w:color="auto" w:fill="auto"/>
            <w:vAlign w:val="center"/>
          </w:tcPr>
          <w:p>
            <w:pPr>
              <w:pStyle w:val="14"/>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回复满意的人数占抽查到的信教群众人数的比例</w:t>
            </w:r>
          </w:p>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2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问卷调查</w:t>
            </w:r>
          </w:p>
        </w:tc>
      </w:tr>
    </w:tbl>
    <w:p>
      <w:pPr>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阿式清真寺整改市级补助资金绩效目标表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1653" w:type="dxa"/>
            <w:gridSpan w:val="5"/>
            <w:shd w:val="clear" w:color="auto" w:fill="auto"/>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1.认真贯彻落实党和国家宗教政策法规，全力落实上级部门决策部署</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2.统筹用于阿式清真寺整改工作，依法管理辖区宗教事务</w:t>
            </w:r>
          </w:p>
          <w:p>
            <w:pPr>
              <w:spacing w:line="300" w:lineRule="exac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3.进一步解决宗教工作中的特殊困难和问题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1"/>
                <w:lang w:val="en-US" w:eastAsia="uk-UA" w:bidi="ar-SA"/>
              </w:rPr>
            </w:pPr>
            <w:r>
              <w:rPr>
                <w:rFonts w:hint="eastAsia" w:ascii="仿宋_GB2312" w:hAnsi="仿宋_GB2312" w:eastAsia="仿宋_GB2312" w:cs="仿宋_GB2312"/>
                <w:sz w:val="21"/>
                <w:szCs w:val="21"/>
              </w:rPr>
              <w:t>数量指标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清真寺整改</w:t>
            </w:r>
          </w:p>
        </w:tc>
        <w:tc>
          <w:tcPr>
            <w:tcW w:w="3402" w:type="dxa"/>
            <w:shd w:val="clear" w:color="auto" w:fill="auto"/>
            <w:vAlign w:val="center"/>
          </w:tcPr>
          <w:p>
            <w:pPr>
              <w:pStyle w:val="14"/>
              <w:rPr>
                <w:rFonts w:hint="eastAsia" w:ascii="仿宋_GB2312" w:hAnsi="仿宋_GB2312" w:eastAsia="仿宋_GB2312" w:cs="仿宋_GB2312"/>
                <w:kern w:val="0"/>
                <w:sz w:val="21"/>
                <w:szCs w:val="21"/>
                <w:lang w:val="en-US" w:eastAsia="uk-UA" w:bidi="ar-SA"/>
              </w:rPr>
            </w:pPr>
            <w:r>
              <w:rPr>
                <w:rFonts w:hint="eastAsia" w:ascii="仿宋_GB2312" w:hAnsi="仿宋_GB2312" w:eastAsia="仿宋_GB2312" w:cs="仿宋_GB2312"/>
                <w:sz w:val="21"/>
                <w:szCs w:val="21"/>
              </w:rPr>
              <w:t>按照上级要求，进行清真寺整改工作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工程质量达标</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工程质量达标完成验收</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达到施工合同要求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规定期限内完工</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按照上级相关工作要求时间节点内完成工作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经费限额内完成工作</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根据经费安排完成整改工作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25万元</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不超出该项目经费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效益指标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1843" w:type="dxa"/>
            <w:shd w:val="clear" w:color="auto" w:fill="auto"/>
            <w:vAlign w:val="center"/>
          </w:tcPr>
          <w:p>
            <w:pPr>
              <w:pStyle w:val="14"/>
              <w:rPr>
                <w:rFonts w:hint="eastAsia" w:ascii="仿宋_GB2312" w:hAnsi="仿宋_GB2312" w:eastAsia="仿宋_GB2312" w:cs="仿宋_GB2312"/>
                <w:kern w:val="0"/>
                <w:sz w:val="21"/>
                <w:szCs w:val="21"/>
                <w:lang w:val="en-US" w:eastAsia="uk-UA" w:bidi="ar-SA"/>
              </w:rPr>
            </w:pPr>
            <w:r>
              <w:rPr>
                <w:rFonts w:hint="eastAsia" w:ascii="仿宋_GB2312" w:hAnsi="仿宋_GB2312" w:eastAsia="仿宋_GB2312" w:cs="仿宋_GB2312"/>
                <w:sz w:val="21"/>
                <w:szCs w:val="21"/>
              </w:rPr>
              <w:t>无</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切实做好宗教工作</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按照上级相关规定，管理好辖区宗教事务</w:t>
            </w:r>
          </w:p>
        </w:tc>
        <w:tc>
          <w:tcPr>
            <w:tcW w:w="1843" w:type="dxa"/>
            <w:shd w:val="clear" w:color="auto" w:fill="auto"/>
            <w:vAlign w:val="center"/>
          </w:tcPr>
          <w:p>
            <w:pPr>
              <w:pStyle w:val="14"/>
              <w:rPr>
                <w:rFonts w:hint="eastAsia" w:ascii="仿宋_GB2312" w:hAnsi="仿宋_GB2312" w:eastAsia="仿宋_GB2312" w:cs="仿宋_GB2312"/>
                <w:kern w:val="0"/>
                <w:sz w:val="21"/>
                <w:szCs w:val="21"/>
                <w:lang w:val="en-US" w:eastAsia="uk-UA" w:bidi="ar-SA"/>
              </w:rPr>
            </w:pPr>
            <w:r>
              <w:rPr>
                <w:rFonts w:hint="eastAsia" w:ascii="仿宋_GB2312" w:hAnsi="仿宋_GB2312" w:eastAsia="仿宋_GB2312" w:cs="仿宋_GB2312"/>
                <w:sz w:val="21"/>
                <w:szCs w:val="21"/>
              </w:rPr>
              <w:t>稳步推进</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jc w:val="center"/>
        </w:trPr>
        <w:tc>
          <w:tcPr>
            <w:tcW w:w="2409" w:type="dxa"/>
            <w:vMerge w:val="continue"/>
            <w:shd w:val="clear" w:color="auto" w:fill="auto"/>
            <w:vAlign w:val="center"/>
          </w:tcPr>
          <w:p>
            <w:pPr>
              <w:spacing w:line="300" w:lineRule="exact"/>
              <w:jc w:val="both"/>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jc w:val="center"/>
        </w:trPr>
        <w:tc>
          <w:tcPr>
            <w:tcW w:w="2409" w:type="dxa"/>
            <w:vMerge w:val="continue"/>
            <w:shd w:val="clear" w:color="auto" w:fill="auto"/>
            <w:vAlign w:val="center"/>
          </w:tcPr>
          <w:p>
            <w:pPr>
              <w:spacing w:line="300" w:lineRule="exact"/>
              <w:jc w:val="left"/>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可持续影响指标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长期实用性</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确保长期实用性</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整改完成竣工后，能够确保正常使用</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确保清真寺正常使用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2409" w:type="dxa"/>
            <w:shd w:val="clear" w:color="auto" w:fill="auto"/>
            <w:vAlign w:val="center"/>
          </w:tcPr>
          <w:p>
            <w:pPr>
              <w:spacing w:line="300" w:lineRule="exact"/>
              <w:ind w:firstLine="1050" w:firstLineChars="5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委托方满意度</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委托方对工程整体情况满意度</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spacing w:before="0" w:after="0"/>
        <w:ind w:firstLine="560"/>
        <w:jc w:val="left"/>
        <w:outlineLvl w:val="3"/>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ascii="Times New Roman" w:hAnsi="Times New Roman" w:eastAsia="仿宋_GB2312" w:cs="Times New Roman"/>
          <w:sz w:val="28"/>
        </w:rPr>
        <w:t>阿式清真寺整改省级补助资金绩效目标表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1653" w:type="dxa"/>
            <w:gridSpan w:val="5"/>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1.认真贯彻落实党和国家宗教政策法规，全力落实上级部门决策部署</w:t>
            </w:r>
          </w:p>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2.统筹用于阿式清真寺整改工作，依法管理辖区宗教事务</w:t>
            </w:r>
          </w:p>
          <w:p>
            <w:pPr>
              <w:spacing w:line="3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3.进一步解决宗教工作中的特殊困难和问题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清真寺整改</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按照上级要求，进行清真寺整改工作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工程质量达标</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工程质量达标完成验收</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达到施工合同要求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规定期限内完工</w:t>
            </w:r>
          </w:p>
        </w:tc>
        <w:tc>
          <w:tcPr>
            <w:tcW w:w="3402" w:type="dxa"/>
            <w:shd w:val="clear" w:color="auto" w:fill="auto"/>
            <w:vAlign w:val="center"/>
          </w:tcPr>
          <w:p>
            <w:pPr>
              <w:pStyle w:val="14"/>
              <w:rPr>
                <w:rFonts w:hint="eastAsia" w:ascii="仿宋_GB2312" w:hAnsi="仿宋_GB2312" w:eastAsia="仿宋_GB2312" w:cs="仿宋_GB2312"/>
                <w:kern w:val="0"/>
                <w:sz w:val="21"/>
                <w:szCs w:val="21"/>
                <w:lang w:val="en-US" w:eastAsia="uk-UA" w:bidi="ar-SA"/>
              </w:rPr>
            </w:pPr>
            <w:r>
              <w:rPr>
                <w:rFonts w:hint="eastAsia" w:ascii="仿宋_GB2312" w:hAnsi="仿宋_GB2312" w:eastAsia="仿宋_GB2312" w:cs="仿宋_GB2312"/>
                <w:sz w:val="21"/>
                <w:szCs w:val="21"/>
              </w:rPr>
              <w:t>按照上级相关工作要求时间节点内完成工作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经费限额内完成工作</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根据经费安排完成整改工作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24.03万元</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不超出该项目经费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切实做好宗教工作</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按照上级相关规定，管理好辖区宗教事务</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稳步推进</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可持续影响指标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长期实用性</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确保长期实用性</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整改完成竣工后，能够确保正常使用</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确保清真寺正常使用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委托方满意度</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委托方对工程整体情况满意度</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autoSpaceDE w:val="0"/>
        <w:autoSpaceDN w:val="0"/>
        <w:adjustRightInd w:val="0"/>
        <w:spacing w:line="584" w:lineRule="exact"/>
        <w:ind w:firstLine="300" w:firstLineChars="200"/>
        <w:jc w:val="left"/>
        <w:rPr>
          <w:rFonts w:ascii="Times New Roman" w:hAnsi="Times New Roman" w:eastAsia="黑体" w:cs="Times New Roman"/>
          <w:sz w:val="15"/>
          <w:szCs w:val="15"/>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lang w:val="en-US" w:eastAsia="zh-CN"/>
        </w:rPr>
        <w:t>中共</w:t>
      </w:r>
      <w:r>
        <w:t>廊坊市</w:t>
      </w:r>
      <w:r>
        <w:rPr>
          <w:rFonts w:hint="eastAsia"/>
          <w:lang w:eastAsia="zh-CN"/>
        </w:rPr>
        <w:t>广阳区</w:t>
      </w:r>
      <w:r>
        <w:rPr>
          <w:rFonts w:hint="eastAsia"/>
          <w:lang w:val="en-US" w:eastAsia="zh-CN"/>
        </w:rPr>
        <w:t>委统战部</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委统战部</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36.1258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lang w:val="en-US" w:eastAsia="zh-CN"/>
              </w:rPr>
              <w:t>中共</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委统战部</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36.1258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28.06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8.0658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288D6E-0FAE-4DD1-8DC7-7971DEE52D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94CC4BD7-47BE-466F-8C21-C59B9E478A24}"/>
  </w:font>
  <w:font w:name="仿宋_GB2312">
    <w:panose1 w:val="02010609030101010101"/>
    <w:charset w:val="86"/>
    <w:family w:val="modern"/>
    <w:pitch w:val="default"/>
    <w:sig w:usb0="00000001" w:usb1="080E0000" w:usb2="00000000" w:usb3="00000000" w:csb0="00040000" w:csb1="00000000"/>
    <w:embedRegular r:id="rId3" w:fontKey="{68044E9C-53E1-44DD-81A2-6D55333775B5}"/>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CA698"/>
    <w:multiLevelType w:val="singleLevel"/>
    <w:tmpl w:val="066CA69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3612F9"/>
    <w:rsid w:val="004A54AA"/>
    <w:rsid w:val="00944233"/>
    <w:rsid w:val="00B40732"/>
    <w:rsid w:val="00B80935"/>
    <w:rsid w:val="00D347CC"/>
    <w:rsid w:val="00DC72B4"/>
    <w:rsid w:val="02E75B72"/>
    <w:rsid w:val="032253DE"/>
    <w:rsid w:val="03D35CBE"/>
    <w:rsid w:val="03E3544D"/>
    <w:rsid w:val="08710640"/>
    <w:rsid w:val="0CEC1180"/>
    <w:rsid w:val="0EB930BA"/>
    <w:rsid w:val="13EF430B"/>
    <w:rsid w:val="15C43D68"/>
    <w:rsid w:val="1846205E"/>
    <w:rsid w:val="1AB9337D"/>
    <w:rsid w:val="1ADE3600"/>
    <w:rsid w:val="22100F23"/>
    <w:rsid w:val="26A83973"/>
    <w:rsid w:val="27BD1FBA"/>
    <w:rsid w:val="27BD4109"/>
    <w:rsid w:val="2AFC37D9"/>
    <w:rsid w:val="2B111188"/>
    <w:rsid w:val="2DD53ECD"/>
    <w:rsid w:val="2EEA393E"/>
    <w:rsid w:val="3016309C"/>
    <w:rsid w:val="3163774D"/>
    <w:rsid w:val="32BE5A69"/>
    <w:rsid w:val="37892C29"/>
    <w:rsid w:val="37C84B38"/>
    <w:rsid w:val="38314E51"/>
    <w:rsid w:val="38AD48F1"/>
    <w:rsid w:val="3BD91F71"/>
    <w:rsid w:val="3C1A2437"/>
    <w:rsid w:val="3CDC1E2C"/>
    <w:rsid w:val="3E700FCE"/>
    <w:rsid w:val="3F082FC4"/>
    <w:rsid w:val="4292536A"/>
    <w:rsid w:val="45D252CD"/>
    <w:rsid w:val="480658CB"/>
    <w:rsid w:val="480850C3"/>
    <w:rsid w:val="48147164"/>
    <w:rsid w:val="49E56B4F"/>
    <w:rsid w:val="4AF1627F"/>
    <w:rsid w:val="4E836057"/>
    <w:rsid w:val="4EC76B11"/>
    <w:rsid w:val="509C3B7D"/>
    <w:rsid w:val="524B6C6D"/>
    <w:rsid w:val="545F1046"/>
    <w:rsid w:val="54F327CF"/>
    <w:rsid w:val="560539E1"/>
    <w:rsid w:val="562865F2"/>
    <w:rsid w:val="58045CBA"/>
    <w:rsid w:val="58956C0A"/>
    <w:rsid w:val="59A2593A"/>
    <w:rsid w:val="5B96385B"/>
    <w:rsid w:val="5D185065"/>
    <w:rsid w:val="621E67DC"/>
    <w:rsid w:val="6A2C65CA"/>
    <w:rsid w:val="6B132381"/>
    <w:rsid w:val="6B953145"/>
    <w:rsid w:val="6D155E99"/>
    <w:rsid w:val="6D7C7F7E"/>
    <w:rsid w:val="6D7F7DC7"/>
    <w:rsid w:val="6DFB240C"/>
    <w:rsid w:val="6F4A5D3D"/>
    <w:rsid w:val="73693C55"/>
    <w:rsid w:val="75380736"/>
    <w:rsid w:val="76171A2F"/>
    <w:rsid w:val="77CA29AE"/>
    <w:rsid w:val="79E42316"/>
    <w:rsid w:val="7C4360F2"/>
    <w:rsid w:val="7CF62C63"/>
    <w:rsid w:val="7EB42F08"/>
    <w:rsid w:val="7F44312B"/>
    <w:rsid w:val="7FF3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Normal]"/>
    <w:qFormat/>
    <w:uiPriority w:val="6"/>
    <w:rPr>
      <w:rFonts w:ascii="宋体" w:hAnsi="宋体" w:eastAsia="宋体" w:cstheme="minorBidi"/>
      <w:color w:val="auto"/>
      <w:position w:val="0"/>
      <w:sz w:val="24"/>
      <w:u w:val="none"/>
      <w:shd w:val="clear" w:color="auto" w:fill="auto"/>
      <w:lang w:val="en-US" w:eastAsia="en-US" w:bidi="ar-SA"/>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9</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2023-08-15T06:55:55Z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20E38D66C5784FC2B79E80112C2983FD</vt:lpwstr>
  </property>
</Properties>
</file>