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中共廊坊市</w:t>
      </w:r>
      <w:r>
        <w:rPr>
          <w:rFonts w:hint="eastAsia" w:ascii="Times New Roman" w:hAnsi="Times New Roman" w:eastAsia="方正小标宋简体" w:cs="Times New Roman"/>
          <w:sz w:val="44"/>
          <w:szCs w:val="44"/>
        </w:rPr>
        <w:t>广阳区委机构编制委员会办公室</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left="1" w:firstLine="639"/>
        <w:textAlignment w:val="bottom"/>
        <w:rPr>
          <w:rFonts w:ascii="仿宋_GB2312" w:eastAsia="仿宋_GB2312"/>
          <w:sz w:val="32"/>
        </w:rPr>
      </w:pPr>
      <w:r>
        <w:rPr>
          <w:rFonts w:hint="eastAsia" w:ascii="仿宋_GB2312" w:eastAsia="仿宋_GB2312"/>
          <w:sz w:val="32"/>
        </w:rPr>
        <w:t>（一）贯彻落实党中央和省、市、区委关于行政管理体制和机构改革以及机构编制管理的政策法规，</w:t>
      </w:r>
      <w:r>
        <w:rPr>
          <w:rFonts w:hint="eastAsia" w:ascii="仿宋_GB2312" w:eastAsia="仿宋_GB2312"/>
          <w:bCs/>
          <w:sz w:val="32"/>
        </w:rPr>
        <w:t>组织拟订相关政策规定和地方规范性文件并监督实施</w:t>
      </w:r>
      <w:r>
        <w:rPr>
          <w:rFonts w:hint="eastAsia" w:ascii="仿宋_GB2312" w:eastAsia="仿宋_GB2312"/>
          <w:sz w:val="32"/>
        </w:rPr>
        <w:t>。管理和指导全区各级党委、人大、政府、政协、监察委机关、人民团体机关以及全区事业单位的机构编制工作。</w:t>
      </w:r>
    </w:p>
    <w:p>
      <w:pPr>
        <w:spacing w:line="560" w:lineRule="exact"/>
        <w:ind w:left="1" w:firstLine="639"/>
        <w:textAlignment w:val="bottom"/>
        <w:rPr>
          <w:rFonts w:ascii="仿宋_GB2312" w:eastAsia="仿宋_GB2312"/>
          <w:sz w:val="32"/>
        </w:rPr>
      </w:pPr>
      <w:r>
        <w:rPr>
          <w:rFonts w:hint="eastAsia" w:ascii="仿宋_GB2312" w:eastAsia="仿宋_GB2312"/>
          <w:sz w:val="32"/>
        </w:rPr>
        <w:t>（二）组织拟订全区行政管理体制改革和区委、区政府机构改革方案并组织实施；审核乡镇、街道的行政管理体制和机构改革方案；指导全区行政管理体制和机构改革以及机构编制管理工作；负责行政执法体制改革工作。</w:t>
      </w:r>
    </w:p>
    <w:p>
      <w:pPr>
        <w:spacing w:line="560" w:lineRule="exact"/>
        <w:ind w:left="1" w:firstLine="639"/>
        <w:textAlignment w:val="bottom"/>
        <w:rPr>
          <w:rFonts w:ascii="仿宋_GB2312" w:eastAsia="仿宋_GB2312"/>
          <w:sz w:val="32"/>
        </w:rPr>
      </w:pPr>
      <w:r>
        <w:rPr>
          <w:rFonts w:hint="eastAsia" w:ascii="仿宋_GB2312" w:eastAsia="仿宋_GB2312"/>
          <w:sz w:val="32"/>
        </w:rPr>
        <w:t>（三）协调区委、区政府各部门的职能配置及其调整。协调区委、区政府部门之间以及区直部门与乡镇、街道之间的职责分工。</w:t>
      </w:r>
    </w:p>
    <w:p>
      <w:pPr>
        <w:spacing w:line="560" w:lineRule="exact"/>
        <w:ind w:left="1" w:firstLine="639"/>
        <w:textAlignment w:val="bottom"/>
        <w:rPr>
          <w:rFonts w:ascii="仿宋_GB2312" w:eastAsia="仿宋_GB2312"/>
          <w:sz w:val="32"/>
        </w:rPr>
      </w:pPr>
      <w:r>
        <w:rPr>
          <w:rFonts w:hint="eastAsia" w:ascii="仿宋_GB2312" w:eastAsia="仿宋_GB2312"/>
          <w:sz w:val="32"/>
        </w:rPr>
        <w:t>（四）</w:t>
      </w:r>
      <w:r>
        <w:rPr>
          <w:rFonts w:hint="eastAsia" w:ascii="仿宋_GB2312" w:eastAsia="仿宋_GB2312"/>
          <w:bCs/>
          <w:sz w:val="32"/>
        </w:rPr>
        <w:t>审核或审批</w:t>
      </w:r>
      <w:r>
        <w:rPr>
          <w:rFonts w:hint="eastAsia" w:ascii="仿宋_GB2312" w:eastAsia="仿宋_GB2312"/>
          <w:sz w:val="32"/>
        </w:rPr>
        <w:t>区委、区政府各部门及各部门派出机构的职能配置、机构设置、人员编制和领导职数；审核区人大、区政协、区监察委和区级各人民团体机关的职能配置、机构设置、人员编制和领导职数。</w:t>
      </w:r>
    </w:p>
    <w:p>
      <w:pPr>
        <w:spacing w:line="560" w:lineRule="exact"/>
        <w:ind w:left="1" w:firstLine="639"/>
        <w:textAlignment w:val="bottom"/>
        <w:rPr>
          <w:rFonts w:ascii="仿宋_GB2312" w:eastAsia="仿宋_GB2312"/>
          <w:sz w:val="32"/>
        </w:rPr>
      </w:pPr>
      <w:r>
        <w:rPr>
          <w:rFonts w:hint="eastAsia" w:ascii="仿宋_GB2312" w:eastAsia="仿宋_GB2312"/>
          <w:sz w:val="32"/>
        </w:rPr>
        <w:t>（五）审核或审批各乡镇、街道股级机构设置和调整事宜；审核或审批区人大、政协、监察委、区直部门和各人民团体股级机构设置和调整事宜；审核各乡镇、街道机构编制分类。</w:t>
      </w:r>
    </w:p>
    <w:p>
      <w:pPr>
        <w:spacing w:line="560" w:lineRule="exact"/>
        <w:ind w:left="1" w:firstLine="639"/>
        <w:textAlignment w:val="bottom"/>
        <w:rPr>
          <w:rFonts w:ascii="仿宋_GB2312" w:eastAsia="仿宋_GB2312"/>
          <w:sz w:val="32"/>
        </w:rPr>
      </w:pPr>
      <w:r>
        <w:rPr>
          <w:rFonts w:hint="eastAsia" w:ascii="仿宋_GB2312" w:eastAsia="仿宋_GB2312"/>
          <w:sz w:val="32"/>
        </w:rPr>
        <w:t>（六）组织拟订全区事业单位管理体制和机构改革方案。贯彻执行各类事业单位人员编制标准和管理办法，负责推进事业单位机构编制标准体系建设；审核或审批区委、区政府直属事业单位和区直部门、乡镇、街道、开发区（园区）所属事业单位的机构编制事宜；指导乡镇、街道、开发区（园区）事业单位管理体制改革和机构编制管理工作；负责全区党政群机关统一社会信用代码赋码管理工作，负责全区事业单位法人登记管理和监督检查工作。</w:t>
      </w:r>
    </w:p>
    <w:p>
      <w:pPr>
        <w:spacing w:line="560" w:lineRule="exact"/>
        <w:ind w:left="1" w:firstLine="639"/>
        <w:textAlignment w:val="bottom"/>
        <w:rPr>
          <w:rFonts w:ascii="仿宋_GB2312" w:eastAsia="仿宋_GB2312"/>
          <w:sz w:val="32"/>
        </w:rPr>
      </w:pPr>
      <w:r>
        <w:rPr>
          <w:rFonts w:hint="eastAsia" w:ascii="仿宋_GB2312" w:eastAsia="仿宋_GB2312"/>
          <w:sz w:val="32"/>
        </w:rPr>
        <w:t>（七）指导开发区（园区）行政管理体制改革工作；贯彻落实省级以上开发区（园区）机构编制管理办法，审核省级以上开发区（园区）机构编制事宜。</w:t>
      </w:r>
    </w:p>
    <w:p>
      <w:pPr>
        <w:spacing w:line="560" w:lineRule="exact"/>
        <w:ind w:left="1" w:firstLine="639"/>
        <w:textAlignment w:val="bottom"/>
        <w:rPr>
          <w:rFonts w:ascii="仿宋_GB2312" w:eastAsia="仿宋_GB2312"/>
          <w:sz w:val="32"/>
        </w:rPr>
      </w:pPr>
      <w:r>
        <w:rPr>
          <w:rFonts w:hint="eastAsia" w:ascii="仿宋_GB2312" w:eastAsia="仿宋_GB2312"/>
          <w:sz w:val="32"/>
        </w:rPr>
        <w:t>（八）负责全区机构编制的总量控制和动态管理。会同有关部门负责机构编制实名制工作；负责区直机关事业单位编制使用核准；建立健全机构编制部门与有关部门的协调配合约束机制。</w:t>
      </w:r>
    </w:p>
    <w:p>
      <w:pPr>
        <w:spacing w:line="560" w:lineRule="exact"/>
        <w:ind w:left="1" w:firstLine="639"/>
        <w:textAlignment w:val="bottom"/>
        <w:rPr>
          <w:rFonts w:ascii="仿宋_GB2312" w:eastAsia="仿宋_GB2312"/>
          <w:sz w:val="32"/>
        </w:rPr>
      </w:pPr>
      <w:r>
        <w:rPr>
          <w:rFonts w:hint="eastAsia" w:ascii="仿宋_GB2312" w:eastAsia="仿宋_GB2312"/>
          <w:sz w:val="32"/>
        </w:rPr>
        <w:t>（九）负责对各级行政、事业单位管理体制和机构改革及机构编制执行情况的跟踪评估和监督检查。负责受理违反机构编制法规、纪律的检举、控告和投诉，对违反机构编制法规、纪律问题进行调查处理。</w:t>
      </w:r>
    </w:p>
    <w:p>
      <w:pPr>
        <w:spacing w:line="560" w:lineRule="exact"/>
        <w:ind w:left="1" w:firstLine="639"/>
        <w:textAlignment w:val="bottom"/>
        <w:rPr>
          <w:rFonts w:ascii="仿宋_GB2312" w:eastAsia="仿宋_GB2312"/>
          <w:sz w:val="32"/>
        </w:rPr>
      </w:pPr>
      <w:r>
        <w:rPr>
          <w:rFonts w:hint="eastAsia" w:ascii="仿宋_GB2312" w:eastAsia="仿宋_GB2312"/>
          <w:sz w:val="32"/>
        </w:rPr>
        <w:t>（十）负责全区机构编制电子政务和信息化工作。负责全区机构编制统计工作；负责机构编制网站的建设管理以及网络安全工作；指导全区党政群机关、事业单位和其他非营利性单位网上名称管理工作。</w:t>
      </w:r>
    </w:p>
    <w:p>
      <w:pPr>
        <w:spacing w:line="560" w:lineRule="exact"/>
        <w:ind w:left="1" w:firstLine="639"/>
        <w:textAlignment w:val="bottom"/>
        <w:rPr>
          <w:rFonts w:ascii="仿宋_GB2312" w:eastAsia="仿宋_GB2312"/>
          <w:sz w:val="32"/>
        </w:rPr>
      </w:pPr>
      <w:r>
        <w:rPr>
          <w:rFonts w:hint="eastAsia" w:ascii="仿宋_GB2312" w:eastAsia="仿宋_GB2312"/>
          <w:sz w:val="32"/>
        </w:rPr>
        <w:t>（十一）组织开展行政体制改革及机构编制管理创新基础性和前瞻性研究。</w:t>
      </w:r>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sz w:val="32"/>
        </w:rPr>
        <w:t>（十二）承办区委、区政府和区委机构编制委员会交办的其他任务。</w:t>
      </w:r>
    </w:p>
    <w:p>
      <w:pPr>
        <w:autoSpaceDE w:val="0"/>
        <w:autoSpaceDN w:val="0"/>
        <w:adjustRightInd w:val="0"/>
        <w:spacing w:line="584" w:lineRule="exact"/>
        <w:ind w:firstLine="627" w:firstLineChars="196"/>
        <w:jc w:val="left"/>
        <w:rPr>
          <w:rFonts w:ascii="Times New Roman" w:hAnsi="Times New Roman" w:eastAsia="仿宋_GB2312" w:cs="Times New Roman"/>
          <w:color w:val="FF0000"/>
          <w:sz w:val="32"/>
          <w:szCs w:val="32"/>
        </w:rPr>
      </w:pPr>
    </w:p>
    <w:p>
      <w:pPr>
        <w:autoSpaceDE w:val="0"/>
        <w:autoSpaceDN w:val="0"/>
        <w:adjustRightInd w:val="0"/>
        <w:spacing w:line="584" w:lineRule="exact"/>
        <w:ind w:firstLine="627" w:firstLineChars="196"/>
        <w:jc w:val="left"/>
        <w:rPr>
          <w:rFonts w:ascii="Times New Roman" w:hAnsi="Times New Roman" w:eastAsia="仿宋_GB2312" w:cs="Times New Roman"/>
          <w:color w:val="FF000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4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0"/>
        <w:gridCol w:w="1984"/>
        <w:gridCol w:w="1854"/>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9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98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85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90" w:type="dxa"/>
            <w:vMerge w:val="continue"/>
            <w:shd w:val="clear" w:color="auto" w:fill="auto"/>
            <w:vAlign w:val="center"/>
          </w:tcPr>
          <w:p/>
        </w:tc>
        <w:tc>
          <w:tcPr>
            <w:tcW w:w="1984" w:type="dxa"/>
            <w:vMerge w:val="continue"/>
            <w:shd w:val="clear" w:color="auto" w:fill="auto"/>
            <w:vAlign w:val="center"/>
          </w:tcPr>
          <w:p/>
        </w:tc>
        <w:tc>
          <w:tcPr>
            <w:tcW w:w="1854"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中共廊坊市广阳区委机构编制委员会办公室</w:t>
            </w:r>
          </w:p>
        </w:tc>
        <w:tc>
          <w:tcPr>
            <w:tcW w:w="198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机关</w:t>
            </w:r>
          </w:p>
        </w:tc>
        <w:tc>
          <w:tcPr>
            <w:tcW w:w="185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r>
              <w:rPr>
                <w:rFonts w:hint="eastAsia" w:ascii="Times New Roman" w:hAnsi="Times New Roman" w:eastAsia="仿宋_GB2312" w:cs="Times New Roman"/>
                <w:b/>
              </w:rPr>
              <w:t>（行政）</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274.5</w:t>
      </w:r>
      <w:r>
        <w:rPr>
          <w:rFonts w:ascii="Times New Roman" w:hAnsi="Times New Roman" w:eastAsia="仿宋_GB2312" w:cs="Times New Roman"/>
          <w:sz w:val="32"/>
          <w:szCs w:val="32"/>
        </w:rPr>
        <w:t>9万元，基金预算收入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w:t>
      </w:r>
      <w:r>
        <w:rPr>
          <w:rFonts w:hint="eastAsia" w:ascii="Times New Roman" w:hAnsi="Times New Roman" w:eastAsia="仿宋_GB2312" w:cs="Times New Roman"/>
          <w:sz w:val="32"/>
          <w:szCs w:val="32"/>
        </w:rPr>
        <w:t>广阳区委机构编制委员会办公室2022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265.09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234.84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30.25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1.12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8.38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万元，主要为法律顾问服务经费、事业单位改革办公经费项目支出。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2年，我机关运行经费共计安排</w:t>
      </w:r>
      <w:r>
        <w:rPr>
          <w:rFonts w:hint="eastAsia" w:ascii="Times New Roman" w:hAnsi="Times New Roman" w:eastAsia="仿宋_GB2312" w:cs="Times New Roman"/>
          <w:sz w:val="32"/>
          <w:szCs w:val="32"/>
        </w:rPr>
        <w:t>30.25</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部门整体绩效目标</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动态调整，盘活编制资源。聚焦有效解决编制管理“一定终身”和“资源固化”情况严重、“粗放管理”和“重管轻用”情况突出等问题，推动全区机构编制资源的统筹优化、集约高效使用。研究制定我区机构编制动态调整评估试点工作实施意见，明确该工作的目标意义、主要原则、评估指标、评估方法、结果运用等，并上深改会以改革措施试行。对全区事业单位进行梳理分类，分批次有重点地进行评估，将效益不高的机构编制收回编制周转池。根据中心工作实际和相关单位的申请，为任务重、工作好的单位建立事业单位或增加编制。</w:t>
      </w:r>
    </w:p>
    <w:p>
      <w:pPr>
        <w:pStyle w:val="19"/>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规范管理，解决遗留问题。根据机构编制核查出的问题，分类分批逐步解决，努力实现规范管理。协调组织、人社、财政等部门，召开专题调度会议，共同研究人员混岗、经费形式、股级任命、领导职务等方面共性问题的解决办法。针对具体问题，与相关单位沟通协调，理清问题根源，拿出解决方案。对各单位“三定”方案进行重新核定，比对编制平台数据加以规范，确保“三定”与平台保持高度一致。加强日常管理，实现机构编制平台机构编制变动、人员变动的及时更新。制定全区机构编制规范管理规定，保持规范管理的常态化。</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法律顾问服务经费</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绩效目标：按照全区依法治区工作部署，为保障各项机构编制事务合法合规开展，更好的依法行政。</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指标：数量机构编制服务数量1个。时效法律顾问服务进度严格按照合同约定执行。质量法律顾问服务验收合格。成本成本控制在1.5万元。社会效益为依法工作夯实基础，提高工作效率。可持续影响保障各项机构编制事务合法合规开展，提升机构编制工作依法行政。满意度工作人员满意度大于90%。</w:t>
      </w:r>
    </w:p>
    <w:p>
      <w:pPr>
        <w:pStyle w:val="20"/>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事业单位改革办公经费</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绩效目标：为积极稳妥推进事业单位改革顺利进行，推进机构功能重塑再造，有效开展行政类和经营类事业单位改革。</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指标：数量部门机构服务数量大于等于180个。时效事业单位改革办公经费进度严格按照工作计划执行。质量事业单位改革有效提升。成本成本控制在8万元。社会效益推进机构改革功能重塑再造。可持续影响提升建立良好的人才发展环境。满意度部门机构服务满意度大于90%。</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单位实现年度绩效目标，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完善制度建设</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强化组织领导，有力推进生产经营类事业单位改革</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广阳区在改革期间及时调整区事业单位改革领导小组，建立健全党委、政府统一领导，机构编制部门与组织、财政、人社等部门相互协调配合的工作机制。指导涉改单位结合自身实际制定符合发展要求的改革方案，由机构编制部门负责综合协调，事业单位及其主管部门履行主体责任并负责组织实施，有力有序推进改革各项工作。</w:t>
      </w:r>
    </w:p>
    <w:p>
      <w:pPr>
        <w:pStyle w:val="21"/>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加强支出管理</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严格按照工作计划完成支出进度</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加强绩效运行监控</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强化监督检查。区委编办与纪检监察机关、组织人事、财政、审计等部门开展协作配合，加强对《规定》贯彻执行情况的监督检查，及时发现和纠正机构编制管理中存在的问题和违纪违法行为。</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做好绩效自评</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全面梳理业务流程，明确业务环节，分析风险隐患，完善风险评估机制，制定风险应对策略；做好绩效自评工作。</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规范财务资产管理</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要不断强化预算意识，形成以单位领导支持、财务部门牵头、其他部门密切配合的工作格局，保证预算编制质量。结合单位业务情况，进行科学合理分配细化，部门预算经批复后，跟踪预算执行进度，及时组织收入，科学合理安排支出，降低预算支出的波动幅度。严格执行财务资产管理，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加强内部监管</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加强监控管理，及时跟踪项目进度，对项目实施中存在的具体问题采取纠偏措施。加强相关专业技术人员的业务培训，进一步提高绩效评价质量。班子建设是部门自身建设的关键，为了造就一支“学习好、团结好、纪律好、作风好、政绩好”的领导班子，区编委办主要抓了以下四个方面。做好内部监管，以班子</w:t>
      </w:r>
      <w:r>
        <w:rPr>
          <w:rFonts w:hint="eastAsia" w:ascii="仿宋_GB2312" w:eastAsia="仿宋_GB2312"/>
          <w:sz w:val="32"/>
          <w:szCs w:val="32"/>
          <w:lang w:eastAsia="zh-CN"/>
        </w:rPr>
        <w:t>理论学习中心组</w:t>
      </w:r>
      <w:r>
        <w:rPr>
          <w:rFonts w:hint="eastAsia" w:ascii="仿宋_GB2312" w:eastAsia="仿宋_GB2312"/>
          <w:sz w:val="32"/>
          <w:szCs w:val="32"/>
        </w:rPr>
        <w:t>为核心，学习中央、省、市机构编制等方面的知识，切实提高理论修养。</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7、</w:t>
      </w:r>
      <w:r>
        <w:rPr>
          <w:rFonts w:hint="eastAsia" w:ascii="仿宋_GB2312" w:eastAsia="仿宋_GB2312"/>
          <w:sz w:val="32"/>
          <w:szCs w:val="32"/>
        </w:rPr>
        <w:t>加强宣传培训调研等</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通过开展调研，对涉改单位运行情况、财务状况、人员信息等进行详细摸底，认真分析梳理涉改单位</w:t>
      </w:r>
      <w:r>
        <w:rPr>
          <w:rFonts w:hint="eastAsia" w:ascii="仿宋_GB2312" w:eastAsia="仿宋_GB2312"/>
          <w:sz w:val="32"/>
          <w:szCs w:val="32"/>
          <w:lang w:eastAsia="zh-CN"/>
        </w:rPr>
        <w:t>反映</w:t>
      </w:r>
      <w:r>
        <w:rPr>
          <w:rFonts w:hint="eastAsia" w:ascii="仿宋_GB2312" w:eastAsia="仿宋_GB2312"/>
          <w:sz w:val="32"/>
          <w:szCs w:val="32"/>
        </w:rPr>
        <w:t>的问题及意见建议，及时跟进督促，提供服务保障，掌握改革工作进程，有针对性地开展改革工作。</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61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4"/>
        <w:gridCol w:w="1276"/>
        <w:gridCol w:w="1559"/>
        <w:gridCol w:w="1701"/>
        <w:gridCol w:w="2688"/>
        <w:gridCol w:w="607"/>
        <w:gridCol w:w="424"/>
        <w:gridCol w:w="573"/>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113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一级指标</w:t>
            </w:r>
          </w:p>
        </w:tc>
        <w:tc>
          <w:tcPr>
            <w:tcW w:w="1276"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二级</w:t>
            </w:r>
          </w:p>
          <w:p>
            <w:pPr>
              <w:widowControl/>
              <w:adjustRightInd w:val="0"/>
              <w:snapToGrid w:val="0"/>
              <w:spacing w:line="260" w:lineRule="exact"/>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三级</w:t>
            </w:r>
          </w:p>
          <w:p>
            <w:pPr>
              <w:widowControl/>
              <w:adjustRightInd w:val="0"/>
              <w:snapToGrid w:val="0"/>
              <w:spacing w:line="260" w:lineRule="exact"/>
              <w:jc w:val="center"/>
              <w:rPr>
                <w:rFonts w:ascii="方正书宋_GBK" w:eastAsia="方正书宋_GBK"/>
                <w:b/>
              </w:rPr>
            </w:pPr>
            <w:r>
              <w:rPr>
                <w:rFonts w:ascii="方正书宋_GBK" w:eastAsia="方正书宋_GBK"/>
                <w:b/>
              </w:rPr>
              <w:t>指标</w:t>
            </w:r>
          </w:p>
        </w:tc>
        <w:tc>
          <w:tcPr>
            <w:tcW w:w="1701"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评（扣）分标准</w:t>
            </w:r>
          </w:p>
        </w:tc>
        <w:tc>
          <w:tcPr>
            <w:tcW w:w="2688"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6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指标值</w:t>
            </w:r>
          </w:p>
        </w:tc>
        <w:tc>
          <w:tcPr>
            <w:tcW w:w="265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指标值</w:t>
            </w:r>
          </w:p>
          <w:p>
            <w:pPr>
              <w:widowControl/>
              <w:adjustRightInd w:val="0"/>
              <w:snapToGrid w:val="0"/>
              <w:spacing w:line="26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1134" w:type="dxa"/>
            <w:vMerge w:val="continue"/>
            <w:tcBorders>
              <w:tl2br w:val="nil"/>
              <w:tr2bl w:val="nil"/>
            </w:tcBorders>
            <w:vAlign w:val="center"/>
          </w:tcPr>
          <w:p>
            <w:pPr>
              <w:spacing w:line="260" w:lineRule="exact"/>
            </w:pPr>
          </w:p>
        </w:tc>
        <w:tc>
          <w:tcPr>
            <w:tcW w:w="1276" w:type="dxa"/>
            <w:vMerge w:val="continue"/>
            <w:tcBorders>
              <w:tl2br w:val="nil"/>
              <w:tr2bl w:val="nil"/>
            </w:tcBorders>
            <w:vAlign w:val="center"/>
          </w:tcPr>
          <w:p>
            <w:pPr>
              <w:spacing w:line="260" w:lineRule="exact"/>
            </w:pPr>
          </w:p>
        </w:tc>
        <w:tc>
          <w:tcPr>
            <w:tcW w:w="1559" w:type="dxa"/>
            <w:vMerge w:val="continue"/>
            <w:tcBorders>
              <w:tl2br w:val="nil"/>
              <w:tr2bl w:val="nil"/>
            </w:tcBorders>
            <w:vAlign w:val="center"/>
          </w:tcPr>
          <w:p>
            <w:pPr>
              <w:spacing w:line="260" w:lineRule="exact"/>
            </w:pPr>
          </w:p>
        </w:tc>
        <w:tc>
          <w:tcPr>
            <w:tcW w:w="1701" w:type="dxa"/>
            <w:vMerge w:val="continue"/>
            <w:tcBorders>
              <w:tl2br w:val="nil"/>
              <w:tr2bl w:val="nil"/>
            </w:tcBorders>
            <w:vAlign w:val="center"/>
          </w:tcPr>
          <w:p>
            <w:pPr>
              <w:spacing w:line="260" w:lineRule="exact"/>
            </w:pPr>
          </w:p>
        </w:tc>
        <w:tc>
          <w:tcPr>
            <w:tcW w:w="2688" w:type="dxa"/>
            <w:vMerge w:val="continue"/>
            <w:tcBorders>
              <w:tl2br w:val="nil"/>
              <w:tr2bl w:val="nil"/>
            </w:tcBorders>
            <w:vAlign w:val="center"/>
          </w:tcPr>
          <w:p>
            <w:pPr>
              <w:spacing w:line="260" w:lineRule="exact"/>
            </w:pPr>
          </w:p>
        </w:tc>
        <w:tc>
          <w:tcPr>
            <w:tcW w:w="607"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符号</w:t>
            </w:r>
          </w:p>
        </w:tc>
        <w:tc>
          <w:tcPr>
            <w:tcW w:w="424"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单位</w:t>
            </w:r>
          </w:p>
        </w:tc>
        <w:tc>
          <w:tcPr>
            <w:tcW w:w="2654" w:type="dxa"/>
            <w:vMerge w:val="continue"/>
            <w:tcBorders>
              <w:tl2br w:val="nil"/>
              <w:tr2bl w:val="nil"/>
            </w:tcBorders>
            <w:vAlign w:val="center"/>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113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rPr>
            </w:pPr>
            <w:r>
              <w:rPr>
                <w:rFonts w:ascii="方正书宋_GBK" w:eastAsia="方正书宋_GBK"/>
              </w:rPr>
              <w:t>部门产出</w:t>
            </w: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ascii="方正书宋_GBK" w:eastAsia="方正书宋_GBK"/>
              </w:rPr>
              <w:t>数量</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部门机构服务数量</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达到指标值得20分未达到按标准扣分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1个</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53"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ascii="方正书宋_GBK" w:eastAsia="方正书宋_GBK"/>
              </w:rPr>
              <w:t>质量</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积极稳妥推进事业单位改革</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有效开展提升率</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签署合同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成本</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完成金额</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完成金额</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廊广编办【2022】1号廊广编办【2021】44号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6"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时效</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p>
        </w:tc>
        <w:tc>
          <w:tcPr>
            <w:tcW w:w="573" w:type="dxa"/>
            <w:tcBorders>
              <w:tl2br w:val="nil"/>
              <w:tr2bl w:val="nil"/>
            </w:tcBorders>
            <w:vAlign w:val="center"/>
          </w:tcPr>
          <w:p>
            <w:pPr>
              <w:widowControl/>
              <w:adjustRightInd w:val="0"/>
              <w:snapToGrid w:val="0"/>
              <w:spacing w:line="26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12月底</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2" w:hRule="atLeast"/>
        </w:trPr>
        <w:tc>
          <w:tcPr>
            <w:tcW w:w="1134" w:type="dxa"/>
            <w:vMerge w:val="restart"/>
            <w:tcBorders>
              <w:tl2br w:val="nil"/>
              <w:tr2bl w:val="nil"/>
            </w:tcBorders>
            <w:vAlign w:val="center"/>
          </w:tcPr>
          <w:p>
            <w:pPr>
              <w:adjustRightInd w:val="0"/>
              <w:snapToGrid w:val="0"/>
              <w:spacing w:line="26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经济</w:t>
            </w:r>
          </w:p>
          <w:p>
            <w:pPr>
              <w:widowControl/>
              <w:adjustRightInd w:val="0"/>
              <w:snapToGrid w:val="0"/>
              <w:spacing w:line="260" w:lineRule="exact"/>
              <w:jc w:val="center"/>
              <w:rPr>
                <w:rFonts w:ascii="方正书宋_GBK" w:eastAsia="方正书宋_GBK"/>
              </w:rPr>
            </w:pPr>
            <w:r>
              <w:rPr>
                <w:rFonts w:ascii="方正书宋_GBK" w:eastAsia="方正书宋_GBK"/>
              </w:rPr>
              <w:t>效益</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积极稳妥推进事业单位改革工作</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提升事业单位管理服务水平</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提升水平</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4"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社会</w:t>
            </w:r>
          </w:p>
          <w:p>
            <w:pPr>
              <w:widowControl/>
              <w:adjustRightInd w:val="0"/>
              <w:snapToGrid w:val="0"/>
              <w:spacing w:line="260" w:lineRule="exact"/>
              <w:jc w:val="center"/>
              <w:rPr>
                <w:rFonts w:ascii="方正书宋_GBK" w:eastAsia="方正书宋_GBK"/>
              </w:rPr>
            </w:pPr>
            <w:r>
              <w:rPr>
                <w:rFonts w:hint="eastAsia" w:ascii="方正书宋_GBK" w:eastAsia="方正书宋_GBK"/>
              </w:rPr>
              <w:t>效益</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增进民生福祉</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提升推进机构改革功能重塑再造</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提升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both"/>
              <w:rPr>
                <w:rFonts w:hint="eastAsia" w:ascii="方正书宋_GBK" w:eastAsia="方正书宋_GBK"/>
                <w:lang w:eastAsia="zh-CN"/>
              </w:rPr>
            </w:pPr>
            <w:r>
              <w:rPr>
                <w:rFonts w:hint="eastAsia" w:ascii="方正书宋_GBK" w:eastAsia="方正书宋_GBK"/>
                <w:lang w:eastAsia="zh-CN"/>
              </w:rPr>
              <w:t>可持续影响</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建立良好的人才环境</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达到指标值得15分未达到按标准扣分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提升建立良好的人才发展环境</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提升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0"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hint="eastAsia" w:ascii="方正书宋_GBK" w:eastAsia="方正书宋_GBK"/>
              </w:rPr>
              <w:t>满意度</w:t>
            </w:r>
          </w:p>
        </w:tc>
        <w:tc>
          <w:tcPr>
            <w:tcW w:w="1559" w:type="dxa"/>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701" w:type="dxa"/>
            <w:tcBorders>
              <w:tl2br w:val="nil"/>
              <w:tr2bl w:val="nil"/>
            </w:tcBorders>
            <w:noWrap/>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达到指标值得15分未达到按标准扣分</w:t>
            </w:r>
          </w:p>
        </w:tc>
        <w:tc>
          <w:tcPr>
            <w:tcW w:w="2688" w:type="dxa"/>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部门服务对象满意度</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法律顾问服务经费</w:t>
      </w:r>
      <w:r>
        <w:rPr>
          <w:rFonts w:hint="eastAsia" w:ascii="仿宋_GB2312" w:hAnsi="仿宋_GB2312" w:eastAsia="仿宋_GB2312" w:cs="仿宋_GB2312"/>
          <w:sz w:val="28"/>
          <w:szCs w:val="28"/>
        </w:rPr>
        <w:t>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sz w:val="21"/>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2126"/>
        <w:gridCol w:w="3261"/>
        <w:gridCol w:w="3349"/>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8"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2734" w:type="dxa"/>
            <w:gridSpan w:val="5"/>
            <w:shd w:val="clear" w:color="auto" w:fill="auto"/>
            <w:vAlign w:val="center"/>
          </w:tcPr>
          <w:p>
            <w:pPr>
              <w:pStyle w:val="14"/>
              <w:spacing w:line="2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1.为保障各项事务合法合规开展</w:t>
            </w:r>
          </w:p>
          <w:p>
            <w:pPr>
              <w:pStyle w:val="14"/>
              <w:spacing w:line="2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2.按照全区依法治区工作部署</w:t>
            </w:r>
          </w:p>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kern w:val="0"/>
                <w:sz w:val="21"/>
                <w:szCs w:val="21"/>
                <w:lang w:eastAsia="uk-UA"/>
              </w:rPr>
              <w:t>更好的依法行政。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8"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126"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3261"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349"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restart"/>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部门机构数量</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部门机构数量</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1个</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为更好的依法行政</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更好的依法行政效率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100百分比</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12月底</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成本节约率</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完成金额</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≤1.5万元</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廊广编办【2022】1号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2" w:hRule="atLeast"/>
          <w:jc w:val="center"/>
        </w:trPr>
        <w:tc>
          <w:tcPr>
            <w:tcW w:w="1328" w:type="dxa"/>
            <w:vMerge w:val="restart"/>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保障各项机构编制事务合法合规</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保障各项机构编制事务合法合规</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保障合法合规性</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为依法工作夯实基础</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提高工作效率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提升效率</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6"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保障机构编制工作依法行政</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提升机构编制工作依法行政</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jc w:val="center"/>
        </w:trPr>
        <w:tc>
          <w:tcPr>
            <w:tcW w:w="1328"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区委编办满意度</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ind w:firstLine="560" w:firstLineChars="200"/>
        <w:jc w:val="left"/>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事业单位改革办公经费绩效目标表</w:t>
      </w:r>
    </w:p>
    <w:p>
      <w:pPr>
        <w:spacing w:line="14" w:lineRule="exact"/>
        <w:ind w:firstLine="420" w:firstLineChars="200"/>
        <w:jc w:val="center"/>
        <w:rPr>
          <w:rFonts w:hint="eastAsia" w:ascii="仿宋_GB2312" w:hAnsi="仿宋_GB2312" w:eastAsia="仿宋_GB2312" w:cs="仿宋_GB2312"/>
          <w:sz w:val="21"/>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pStyle w:val="14"/>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1.改善人民生活品质、增进民生福祉深化改革，不断创新公共服务体制机制。</w:t>
            </w:r>
          </w:p>
          <w:p>
            <w:pPr>
              <w:pStyle w:val="14"/>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2.满足人民群众日益增长的美好生活需要。</w:t>
            </w:r>
          </w:p>
          <w:p>
            <w:pPr>
              <w:spacing w:line="4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3.推进机构功能重塑再造和整体效能提升为目标，有效开展好行政类和经营类事业单位改革。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部门机构服务数量</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部门机构服务数量</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≥180个</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为积极稳妥推进事业单位改革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有效开展提升率</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100百分比</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12月底</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成本节约率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完成金额</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≤8万元</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廊广编办【2021】44号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为积极稳妥推进事业单位改革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提升事业登记管理服务水平</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提升水平</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增进民生福祉深化改革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提升推进机构改革功能重塑再造</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建立良好的人才发展环境</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提升建立良好的人才发展环境</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409" w:type="dxa"/>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部门机构服务满意度</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autoSpaceDE w:val="0"/>
        <w:autoSpaceDN w:val="0"/>
        <w:adjustRightInd w:val="0"/>
        <w:spacing w:line="280" w:lineRule="exact"/>
        <w:jc w:val="left"/>
        <w:rPr>
          <w:rFonts w:hint="eastAsia" w:ascii="仿宋_GB2312" w:hAnsi="仿宋_GB2312" w:eastAsia="仿宋_GB2312" w:cs="仿宋_GB2312"/>
          <w:sz w:val="21"/>
          <w:szCs w:val="21"/>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b/>
          <w:szCs w:val="21"/>
        </w:rPr>
      </w:pPr>
      <w:r>
        <w:rPr>
          <w:b/>
          <w:szCs w:val="21"/>
        </w:rPr>
        <w:t>[261001]中共廊坊市</w:t>
      </w:r>
      <w:r>
        <w:rPr>
          <w:rFonts w:hint="eastAsia"/>
          <w:b/>
          <w:szCs w:val="21"/>
        </w:rPr>
        <w:t xml:space="preserve">广阳区委机构编制委员会办公室 </w:t>
      </w:r>
      <w:r>
        <w:rPr>
          <w:b/>
          <w:szCs w:val="21"/>
        </w:rP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38.74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中共廊坊市</w:t>
            </w:r>
            <w:r>
              <w:rPr>
                <w:rFonts w:hint="eastAsia" w:ascii="Times New Roman" w:hAnsi="Times New Roman" w:eastAsia="仿宋_GB2312" w:cs="Times New Roman"/>
                <w:b/>
                <w:bCs/>
                <w:sz w:val="32"/>
                <w:szCs w:val="32"/>
              </w:rPr>
              <w:t>广阳区委机构编制委员会办公室</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编制部门：中共廊坊市</w:t>
            </w:r>
            <w:r>
              <w:rPr>
                <w:rFonts w:hint="eastAsia" w:ascii="Times New Roman" w:hAnsi="Times New Roman" w:eastAsia="仿宋_GB2312" w:cs="Times New Roman"/>
                <w:kern w:val="0"/>
                <w:sz w:val="22"/>
              </w:rPr>
              <w:t>广阳区委机构编制委员会办公室</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21</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1F34"/>
    <w:rsid w:val="000230E6"/>
    <w:rsid w:val="000C7105"/>
    <w:rsid w:val="000D671C"/>
    <w:rsid w:val="000F1C2E"/>
    <w:rsid w:val="000F6018"/>
    <w:rsid w:val="00153416"/>
    <w:rsid w:val="001F5A39"/>
    <w:rsid w:val="00202629"/>
    <w:rsid w:val="00250E8C"/>
    <w:rsid w:val="0025632D"/>
    <w:rsid w:val="002C7394"/>
    <w:rsid w:val="002E4FE3"/>
    <w:rsid w:val="003059E0"/>
    <w:rsid w:val="003B3A02"/>
    <w:rsid w:val="003D1D86"/>
    <w:rsid w:val="003D43C4"/>
    <w:rsid w:val="003D7268"/>
    <w:rsid w:val="00434FB8"/>
    <w:rsid w:val="004A54AA"/>
    <w:rsid w:val="00610A77"/>
    <w:rsid w:val="006E54F0"/>
    <w:rsid w:val="007F1714"/>
    <w:rsid w:val="00872DC3"/>
    <w:rsid w:val="00877BEB"/>
    <w:rsid w:val="008D1E4A"/>
    <w:rsid w:val="009204D8"/>
    <w:rsid w:val="00944233"/>
    <w:rsid w:val="00996183"/>
    <w:rsid w:val="00A609D9"/>
    <w:rsid w:val="00B22F26"/>
    <w:rsid w:val="00B40732"/>
    <w:rsid w:val="00B54BA0"/>
    <w:rsid w:val="00B80935"/>
    <w:rsid w:val="00BC3E9D"/>
    <w:rsid w:val="00C470F0"/>
    <w:rsid w:val="00C952F8"/>
    <w:rsid w:val="00CD3084"/>
    <w:rsid w:val="00D347CC"/>
    <w:rsid w:val="00D53615"/>
    <w:rsid w:val="00D73FD7"/>
    <w:rsid w:val="00D8094F"/>
    <w:rsid w:val="00DC106D"/>
    <w:rsid w:val="00DC631D"/>
    <w:rsid w:val="00DC72B4"/>
    <w:rsid w:val="00E97172"/>
    <w:rsid w:val="00EE02C6"/>
    <w:rsid w:val="00F924E7"/>
    <w:rsid w:val="0CEC1180"/>
    <w:rsid w:val="23161F79"/>
    <w:rsid w:val="2C9303C4"/>
    <w:rsid w:val="339A4ADB"/>
    <w:rsid w:val="39466D56"/>
    <w:rsid w:val="45107504"/>
    <w:rsid w:val="73693C55"/>
    <w:rsid w:val="76CC322B"/>
    <w:rsid w:val="7FD94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985</Words>
  <Characters>5618</Characters>
  <Lines>46</Lines>
  <Paragraphs>13</Paragraphs>
  <TotalTime>2</TotalTime>
  <ScaleCrop>false</ScaleCrop>
  <LinksUpToDate>false</LinksUpToDate>
  <CharactersWithSpaces>6590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2024-05-14T08:27:06Z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59A3DD0742C84DDBB14A5E3CC0970B78</vt:lpwstr>
  </property>
</Properties>
</file>