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统计局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40"/>
        <w:rPr>
          <w:rFonts w:ascii="仿宋_GB2312" w:eastAsia="仿宋_GB2312"/>
          <w:sz w:val="32"/>
          <w:szCs w:val="32"/>
        </w:rPr>
      </w:pPr>
      <w:r>
        <w:rPr>
          <w:rFonts w:hint="eastAsia" w:ascii="仿宋_GB2312" w:eastAsia="仿宋_GB2312"/>
          <w:sz w:val="32"/>
          <w:szCs w:val="32"/>
        </w:rPr>
        <w:t>（一）组织领导和协调全区统计工作，确保统计数据真实、准确、完整、及时。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（二）制定统计建设规划、统计调查计划、统计调查制度，指导和规范全区统计行政执法工作，监督检查统计法律、法规贯彻实施情况，组织实施统计法律法规宣传教育, 依法查处统计违法行为。组织实施统计执法监督检查和“双随机”抽查，依法查处统计违法案件，预防和查处统计造假、弄虚作假，受理、办理、督办统计违法举报。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（四）拟订重大区情区力普查调查计划、方案，组织实施全区人口、经济、农业等重大普查调查，汇总、整理和提供有关区情区力方面的统计数据。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实施全区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（六）综合整理和提供财政、金融、旅游、交通运输、邮政、地质勘查、教育、体育、卫生、社会保障、公用事业、对外经济、收入、价格等基本统计数据。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（七）组织全区和各部门的经济、社会、科技、服务业统计调查，统一核定、管理、公布全区性基本统计资料，定期发布全区国民经济和社会发展情况的统计信息，组织建立统计信息共享制度和发布制度。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（八）对国民经济、社会发展、科技进步和资源环境等情况进行统计分析、统计预测和统计监督，向区委、区政府及有关部门提供统计信息和咨询建议。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（九）依法审批管理部门和地方统计调查项目；指导专业统计基础工作、统计基层基础业务建设；组织建立统计信息管理制度，建立健全统计数据质量审核、监控和评估制度，开展对统计数据质量的检查和评估。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（十）建立并管理全区统计信息化系统和统计数据库系统，组织制定全区统计数据库和网络的基本标准和运行规则，指导全区统计信息化系统建设。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一）指导社会统计监测、社情民意调查、资料管理等工作；组织实施统计工作方面的国际交流合作项目和有关统计资料的交换、交流工作；会同有关部门组织全区统计专业技术资格考试，组织专业技术职务聘任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（十二）组织实施工业、建筑业、小微企业、服务业等行业的抽样与问卷调查；并开展调查情况分析研究。</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（十三）完成区委、区政府和上级统计部门交办的其他任务。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03"/>
        <w:gridCol w:w="1357"/>
        <w:gridCol w:w="1276"/>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57"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6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continue"/>
            <w:noWrap w:val="0"/>
            <w:vAlign w:val="center"/>
          </w:tcPr>
          <w:p/>
        </w:tc>
        <w:tc>
          <w:tcPr>
            <w:tcW w:w="1357" w:type="dxa"/>
            <w:vMerge w:val="continue"/>
            <w:noWrap w:val="0"/>
            <w:vAlign w:val="center"/>
          </w:tcPr>
          <w:p/>
        </w:tc>
        <w:tc>
          <w:tcPr>
            <w:tcW w:w="1276" w:type="dxa"/>
            <w:vMerge w:val="continue"/>
            <w:noWrap w:val="0"/>
            <w:vAlign w:val="center"/>
          </w:tcPr>
          <w:p/>
        </w:tc>
        <w:tc>
          <w:tcPr>
            <w:tcW w:w="346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03"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廊坊市广阳区统计局</w:t>
            </w:r>
          </w:p>
        </w:tc>
        <w:tc>
          <w:tcPr>
            <w:tcW w:w="1357"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462"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广阳区统计局2022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606.53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537.78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68.75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656.53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1年预算增加49.19万元，其中：基本支出增加</w:t>
      </w:r>
      <w:r>
        <w:rPr>
          <w:rFonts w:hint="eastAsia" w:ascii="Times New Roman" w:hAnsi="Times New Roman" w:eastAsia="仿宋_GB2312" w:cs="Times New Roman"/>
          <w:sz w:val="32"/>
          <w:szCs w:val="32"/>
        </w:rPr>
        <w:t>9.19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公用项目经费；项目支出增加</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万元，主要为四上企业培训费及统计人员补助经费项目支出。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68.75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统计局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组织完成国家部署的国情国力普查及重要调查任务，研究提出重大区情区力普查和抽样调查计划并组织实施，汇总、整理和提供有关区情区力的统计数据。组织开展专项统计调查，了解基层情况和动态提供统计信息和咨询建议。保障全区统计信息自动化系统和统计数据库系统运行安全平稳，保证统计数据的顺利报送，保障机关日常运转，健全全区统计法制建设，指导全区统计队伍建设。</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1、在全区开展GDP核算工作，完成全区年度数据的测算审核认定工作，对相关经济决策提供重要依据。</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绩效目标：完成国民经济核算。</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绩效指标：专项统计完成率；社会影响力；</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2、组织国情国力普查和工业、农业、能源、建筑业、服务业、贸易业等涉及相关行业的专项统计调查监测，收集、整理统计数据，提供咨询建议。</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绩效目标：完成统计调查</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绩效指标：专项统计完成率；</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3、保障机关日常运转，健全全区统计法制建设，指导全区统计队伍建设。</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绩效目标：完成统计政务管理</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绩效指标：业务培训次数；经费保障及时性；各项经费支出标准；保障办公需要，维持单位正常运转；服务对象满意度。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一是规范内部管理制度。通过建立健全本单位《财务管理制度》、《内部控制制度》等，强化单位内部岗位责任制，进一步加强会计机构建设，严格履行决策程序。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是严格资金支出管理。加强对专项资金收入和支出的管理，严格按预算规定用途合理使用资金，确保资金专款专用。严格执行非税收入，政府采购等各项管理规定。厉行节俭，严格执行各项费用开支范围和标准，保证“三公”经费支出的合法性、合规性。</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是加强财务知识学习。组织单位主要负责人、分管财务领导及财务人员认真学习财政部《中华人民共和国预算法》、《会计法》、《行政单位会计制度》、《行政单位财务规则》等相关法规、制度，进一步提高相关人员业务水平，增强财经法律观念。</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四是进一步完善内部管理制度，建立监督管理机制，加强内部监督，规范财务管理，在财务管理中要严格执行财经纪律，公正、客观、依规办事。</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是强化绩效理念，深入推进评价工作。对各项管理制度进行认真梳理，逐条查找制度漏洞，构建风险防范制度，进一步强化绩效管理理念，将“要我评价”的被动认识转化为“我要评价”的主动实践，健全完善制度办法，深入推进评价工作，提升整体绩效管理水平。</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是强化事前准备，提升评价质量。在推进自身评价工作开展时，结合评价工作实际，完善项目支出评价一级指标体系，规范评价标准，立足管理需求，预设评价重点，确保绩效评价结果公正、客观、精准，真实反映绩效，如实反映问题，切实提高评价质量。</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07"/>
        <w:gridCol w:w="1009"/>
        <w:gridCol w:w="976"/>
        <w:gridCol w:w="2693"/>
        <w:gridCol w:w="3685"/>
        <w:gridCol w:w="709"/>
        <w:gridCol w:w="567"/>
        <w:gridCol w:w="66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0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09"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976"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93"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68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938"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07" w:type="dxa"/>
            <w:vMerge w:val="continue"/>
            <w:noWrap w:val="0"/>
            <w:vAlign w:val="center"/>
          </w:tcPr>
          <w:p/>
        </w:tc>
        <w:tc>
          <w:tcPr>
            <w:tcW w:w="1009" w:type="dxa"/>
            <w:vMerge w:val="continue"/>
            <w:noWrap w:val="0"/>
            <w:vAlign w:val="center"/>
          </w:tcPr>
          <w:p/>
        </w:tc>
        <w:tc>
          <w:tcPr>
            <w:tcW w:w="976" w:type="dxa"/>
            <w:vMerge w:val="continue"/>
            <w:noWrap w:val="0"/>
            <w:vAlign w:val="center"/>
          </w:tcPr>
          <w:p/>
        </w:tc>
        <w:tc>
          <w:tcPr>
            <w:tcW w:w="2693" w:type="dxa"/>
            <w:vMerge w:val="continue"/>
            <w:noWrap w:val="0"/>
            <w:vAlign w:val="center"/>
          </w:tcPr>
          <w:p/>
        </w:tc>
        <w:tc>
          <w:tcPr>
            <w:tcW w:w="3685" w:type="dxa"/>
            <w:vMerge w:val="continue"/>
            <w:noWrap w:val="0"/>
            <w:vAlign w:val="center"/>
          </w:tcPr>
          <w:p/>
        </w:tc>
        <w:tc>
          <w:tcPr>
            <w:tcW w:w="709"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6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07" w:type="dxa"/>
            <w:vMerge w:val="restart"/>
            <w:noWrap w:val="0"/>
            <w:vAlign w:val="center"/>
          </w:tcPr>
          <w:p>
            <w:pPr>
              <w:widowControl/>
              <w:adjustRightInd w:val="0"/>
              <w:snapToGrid w:val="0"/>
              <w:jc w:val="center"/>
              <w:rPr>
                <w:rFonts w:ascii="方正书宋_GBK" w:eastAsia="方正书宋_GBK"/>
                <w:b/>
                <w:bCs/>
              </w:rPr>
            </w:pPr>
            <w:r>
              <w:rPr>
                <w:rFonts w:ascii="方正书宋_GBK" w:eastAsia="方正书宋_GBK"/>
                <w:b/>
                <w:bCs/>
              </w:rPr>
              <w:t>部门产出</w:t>
            </w: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数量</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业务培训次数</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业务培训次数</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56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1</w:t>
            </w: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次</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质量</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专项统计完成率</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大于等于90%得20分，大于等于80%小于90%得10分，小于80%得0分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各类专项统计调查任务（包括各项调查报表的月报、季报、年报）完成程度占所有调查任务的比重</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56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90</w:t>
            </w: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时效</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经费保障及时性</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及时保障各项工作需要</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及时保障</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成本</w:t>
            </w:r>
          </w:p>
        </w:tc>
        <w:tc>
          <w:tcPr>
            <w:tcW w:w="976"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各项经费支出标准</w:t>
            </w:r>
          </w:p>
        </w:tc>
        <w:tc>
          <w:tcPr>
            <w:tcW w:w="2693"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等于指标值得20分，不等于指标值得0分</w:t>
            </w:r>
          </w:p>
        </w:tc>
        <w:tc>
          <w:tcPr>
            <w:tcW w:w="3685"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办公费、水电费、交通费、会议费、工会经费、招待费及其他各项经费的开支符合标准</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按统一规定执行</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restart"/>
            <w:noWrap w:val="0"/>
            <w:vAlign w:val="center"/>
          </w:tcPr>
          <w:p>
            <w:pPr>
              <w:adjustRightInd w:val="0"/>
              <w:snapToGrid w:val="0"/>
              <w:jc w:val="center"/>
              <w:rPr>
                <w:rFonts w:ascii="方正书宋_GBK" w:eastAsia="方正书宋_GBK"/>
                <w:b/>
                <w:bCs/>
              </w:rPr>
            </w:pPr>
            <w:r>
              <w:rPr>
                <w:rFonts w:ascii="方正书宋_GBK" w:eastAsia="方正书宋_GBK"/>
                <w:b/>
                <w:bCs/>
              </w:rPr>
              <w:t>部门</w:t>
            </w:r>
            <w:r>
              <w:rPr>
                <w:rFonts w:hint="eastAsia" w:ascii="方正书宋_GBK" w:eastAsia="方正书宋_GBK"/>
                <w:b/>
                <w:bCs/>
              </w:rPr>
              <w:t>效果</w:t>
            </w: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社会</w:t>
            </w:r>
          </w:p>
          <w:p>
            <w:pPr>
              <w:widowControl/>
              <w:adjustRightInd w:val="0"/>
              <w:snapToGrid w:val="0"/>
              <w:jc w:val="center"/>
              <w:rPr>
                <w:rFonts w:ascii="方正书宋_GBK" w:eastAsia="方正书宋_GBK"/>
                <w:b/>
                <w:bCs/>
              </w:rPr>
            </w:pPr>
            <w:r>
              <w:rPr>
                <w:rFonts w:ascii="方正书宋_GBK" w:eastAsia="方正书宋_GBK"/>
                <w:b/>
                <w:bCs/>
              </w:rPr>
              <w:t>效益</w:t>
            </w:r>
          </w:p>
        </w:tc>
        <w:tc>
          <w:tcPr>
            <w:tcW w:w="976"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保障办公需要，维持单位正常运转</w:t>
            </w:r>
          </w:p>
        </w:tc>
        <w:tc>
          <w:tcPr>
            <w:tcW w:w="2693"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保障办公需要，维持单位正常运转</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维持单位正常运转</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pPr>
              <w:adjustRightInd w:val="0"/>
              <w:snapToGrid w:val="0"/>
              <w:jc w:val="center"/>
              <w:rPr>
                <w:rFonts w:ascii="方正书宋_GBK" w:eastAsia="方正书宋_GBK"/>
                <w:b/>
                <w:bCs/>
              </w:rPr>
            </w:pPr>
          </w:p>
        </w:tc>
        <w:tc>
          <w:tcPr>
            <w:tcW w:w="1009" w:type="dxa"/>
            <w:noWrap w:val="0"/>
            <w:vAlign w:val="center"/>
          </w:tcPr>
          <w:p>
            <w:pPr>
              <w:widowControl/>
              <w:adjustRightInd w:val="0"/>
              <w:snapToGrid w:val="0"/>
              <w:jc w:val="center"/>
              <w:rPr>
                <w:rFonts w:ascii="方正书宋_GBK" w:eastAsia="方正书宋_GBK"/>
                <w:b/>
                <w:bCs/>
              </w:rPr>
            </w:pPr>
            <w:r>
              <w:rPr>
                <w:rFonts w:ascii="方正书宋_GBK" w:eastAsia="方正书宋_GBK"/>
                <w:b/>
                <w:bCs/>
              </w:rPr>
              <w:t>社会</w:t>
            </w:r>
          </w:p>
          <w:p>
            <w:pPr>
              <w:widowControl/>
              <w:adjustRightInd w:val="0"/>
              <w:snapToGrid w:val="0"/>
              <w:jc w:val="center"/>
              <w:rPr>
                <w:rFonts w:ascii="方正书宋_GBK" w:eastAsia="方正书宋_GBK"/>
                <w:b/>
                <w:bCs/>
              </w:rPr>
            </w:pPr>
            <w:r>
              <w:rPr>
                <w:rFonts w:ascii="方正书宋_GBK" w:eastAsia="方正书宋_GBK"/>
                <w:b/>
                <w:bCs/>
              </w:rPr>
              <w:t>效益</w:t>
            </w:r>
          </w:p>
        </w:tc>
        <w:tc>
          <w:tcPr>
            <w:tcW w:w="976"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社会影响力</w:t>
            </w:r>
          </w:p>
        </w:tc>
        <w:tc>
          <w:tcPr>
            <w:tcW w:w="2693"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等于指标值得10分，不等于指标值得0分</w:t>
            </w:r>
          </w:p>
        </w:tc>
        <w:tc>
          <w:tcPr>
            <w:tcW w:w="3685" w:type="dxa"/>
            <w:noWrap w:val="0"/>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主要调查数据产品是否得到社会认可，没有产生不良影响</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文字描述</w:t>
            </w:r>
          </w:p>
        </w:tc>
        <w:tc>
          <w:tcPr>
            <w:tcW w:w="567" w:type="dxa"/>
            <w:noWrap w:val="0"/>
            <w:vAlign w:val="top"/>
          </w:tcPr>
          <w:p>
            <w:pPr>
              <w:jc w:val="left"/>
              <w:rPr>
                <w:rFonts w:ascii="仿宋" w:hAnsi="仿宋" w:eastAsia="仿宋"/>
              </w:rPr>
            </w:pP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认可</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07" w:type="dxa"/>
            <w:vMerge w:val="continue"/>
            <w:noWrap w:val="0"/>
            <w:vAlign w:val="center"/>
          </w:tcPr>
          <w:p>
            <w:pPr>
              <w:rPr>
                <w:b/>
                <w:bCs/>
              </w:rPr>
            </w:pPr>
          </w:p>
        </w:tc>
        <w:tc>
          <w:tcPr>
            <w:tcW w:w="1009" w:type="dxa"/>
            <w:noWrap w:val="0"/>
            <w:vAlign w:val="center"/>
          </w:tcPr>
          <w:p>
            <w:pPr>
              <w:widowControl/>
              <w:adjustRightInd w:val="0"/>
              <w:snapToGrid w:val="0"/>
              <w:jc w:val="center"/>
              <w:rPr>
                <w:rFonts w:ascii="方正书宋_GBK" w:eastAsia="方正书宋_GBK"/>
                <w:b/>
                <w:bCs/>
              </w:rPr>
            </w:pPr>
            <w:r>
              <w:rPr>
                <w:rFonts w:hint="eastAsia" w:ascii="方正书宋_GBK" w:eastAsia="方正书宋_GBK"/>
                <w:b/>
                <w:bCs/>
              </w:rPr>
              <w:t>满意度</w:t>
            </w:r>
          </w:p>
        </w:tc>
        <w:tc>
          <w:tcPr>
            <w:tcW w:w="976" w:type="dxa"/>
            <w:noWrap/>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服务对象满意度</w:t>
            </w:r>
          </w:p>
        </w:tc>
        <w:tc>
          <w:tcPr>
            <w:tcW w:w="2693" w:type="dxa"/>
            <w:noWrap/>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大于等于90%得20分，大于等于80%小于90%得1分，小于8</w:t>
            </w:r>
            <w:r>
              <w:rPr>
                <w:rFonts w:ascii="仿宋_GB2312" w:hAnsi="仿宋_GB2312" w:eastAsia="仿宋_GB2312" w:cs="仿宋_GB2312"/>
                <w:kern w:val="0"/>
                <w:szCs w:val="24"/>
                <w:lang w:eastAsia="uk-UA"/>
              </w:rPr>
              <w:t>0%得0分</w:t>
            </w:r>
          </w:p>
        </w:tc>
        <w:tc>
          <w:tcPr>
            <w:tcW w:w="3685" w:type="dxa"/>
            <w:noWrap/>
            <w:vAlign w:val="top"/>
          </w:tcPr>
          <w:p>
            <w:pPr>
              <w:widowControl/>
              <w:jc w:val="left"/>
              <w:textAlignment w:val="top"/>
              <w:rPr>
                <w:rFonts w:ascii="仿宋" w:hAnsi="仿宋" w:eastAsia="仿宋" w:cs="Calibri"/>
                <w:color w:val="000000"/>
                <w:sz w:val="22"/>
              </w:rPr>
            </w:pPr>
            <w:r>
              <w:rPr>
                <w:rFonts w:ascii="仿宋" w:hAnsi="仿宋" w:eastAsia="仿宋" w:cs="Calibri"/>
                <w:color w:val="000000"/>
                <w:kern w:val="0"/>
                <w:sz w:val="22"/>
                <w:lang w:bidi="ar"/>
              </w:rPr>
              <w:t>服务对象对此项工作的满意人数占服务对象意见总人数的比重</w:t>
            </w:r>
          </w:p>
        </w:tc>
        <w:tc>
          <w:tcPr>
            <w:tcW w:w="709"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56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90</w:t>
            </w:r>
          </w:p>
        </w:tc>
        <w:tc>
          <w:tcPr>
            <w:tcW w:w="662"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w:t>
            </w:r>
          </w:p>
        </w:tc>
        <w:tc>
          <w:tcPr>
            <w:tcW w:w="1277" w:type="dxa"/>
            <w:noWrap w:val="0"/>
            <w:vAlign w:val="top"/>
          </w:tcPr>
          <w:p>
            <w:pPr>
              <w:widowControl/>
              <w:jc w:val="left"/>
              <w:textAlignment w:val="top"/>
              <w:rPr>
                <w:rFonts w:ascii="仿宋" w:hAnsi="仿宋" w:eastAsia="仿宋"/>
              </w:rPr>
            </w:pPr>
            <w:r>
              <w:rPr>
                <w:rFonts w:ascii="仿宋" w:hAnsi="仿宋" w:eastAsia="仿宋" w:cs="Calibri"/>
                <w:color w:val="000000"/>
                <w:kern w:val="0"/>
                <w:sz w:val="22"/>
                <w:lang w:bidi="ar"/>
              </w:rPr>
              <w:t>工作计划</w:t>
            </w:r>
          </w:p>
        </w:tc>
      </w:tr>
    </w:tbl>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1.四上企业培训费及统计人员补助经费绩效目标表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1.确保统计数据质量</w:t>
            </w:r>
          </w:p>
          <w:p>
            <w:pPr>
              <w:spacing w:line="280" w:lineRule="exact"/>
              <w:rPr>
                <w:rFonts w:ascii="Times New Roman" w:hAnsi="Times New Roman" w:eastAsia="仿宋_GB2312" w:cs="Times New Roman"/>
                <w:b/>
              </w:rPr>
            </w:pPr>
            <w:r>
              <w:rPr>
                <w:rFonts w:hint="eastAsia" w:ascii="仿宋_GB2312" w:hAnsi="仿宋_GB2312" w:eastAsia="仿宋_GB2312" w:cs="仿宋_GB2312"/>
              </w:rPr>
              <w:t>2.确保各项统计调查任务完成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noWrap w:val="0"/>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restart"/>
            <w:noWrap w:val="0"/>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产出指标</w:t>
            </w:r>
          </w:p>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补贴发放人次</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补贴发放人次</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4000人次</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业务培训人数</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业务培训人数</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1000人</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业务培训次数</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业务培训次数</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1次</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1"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专项统计完成率</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各类专项统计调查任务（包括各项调查报表的月报、季报、年报）完成程度占所有调查任务的比重</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补助发放及时性</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按照季度及时发放补助</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及时发放</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280" w:lineRule="exact"/>
            </w:pP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资金投入量</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对项目经费进行控制</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≤50万元</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主要调查数据产品是否得到社会认可，没有产生不良影响</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认可</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“四上企业”统计人员对此项工作的满意人数占服务对象意见总人数的比重</w:t>
            </w:r>
          </w:p>
        </w:tc>
        <w:tc>
          <w:tcPr>
            <w:tcW w:w="1843"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420"/>
        <w:rPr>
          <w:rFonts w:ascii="Times New Roman" w:hAnsi="Times New Roman" w:eastAsia="等线"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1"/>
      <w:r>
        <w:rPr>
          <w:rFonts w:ascii="Times New Roman" w:hAnsi="Times New Roman" w:eastAsia="仿宋_GB2312" w:cs="Times New Roman"/>
          <w:sz w:val="32"/>
          <w:szCs w:val="24"/>
        </w:rPr>
        <w:t>具体内容见下表。</w:t>
      </w:r>
    </w:p>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left"/>
        <w:outlineLvl w:val="1"/>
        <w:rPr>
          <w:rFonts w:ascii="方正小标宋_GBK" w:eastAsia="方正小标宋_GBK" w:cs="Times New Roman"/>
          <w:sz w:val="32"/>
        </w:rPr>
      </w:pPr>
      <w:r>
        <w:rPr>
          <w:rFonts w:hint="eastAsia"/>
        </w:rPr>
        <w:t>[</w:t>
      </w:r>
      <w:r>
        <w:t>227001]廊坊市</w:t>
      </w:r>
      <w:r>
        <w:rPr>
          <w:rFonts w:hint="eastAsia"/>
        </w:rPr>
        <w:t>广阳区统计局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70" w:type="pct"/>
            <w:gridSpan w:val="2"/>
            <w:noWrap w:val="0"/>
            <w:vAlign w:val="center"/>
          </w:tcPr>
          <w:p>
            <w:pPr>
              <w:pStyle w:val="12"/>
            </w:pPr>
            <w:r>
              <w:t>政府采购项目来源</w:t>
            </w:r>
          </w:p>
        </w:tc>
        <w:tc>
          <w:tcPr>
            <w:tcW w:w="368" w:type="pct"/>
            <w:vMerge w:val="restart"/>
            <w:noWrap w:val="0"/>
            <w:vAlign w:val="center"/>
          </w:tcPr>
          <w:p>
            <w:pPr>
              <w:pStyle w:val="12"/>
            </w:pPr>
            <w:r>
              <w:t>采购物品名称</w:t>
            </w:r>
          </w:p>
        </w:tc>
        <w:tc>
          <w:tcPr>
            <w:tcW w:w="368" w:type="pct"/>
            <w:vMerge w:val="restart"/>
            <w:noWrap w:val="0"/>
            <w:vAlign w:val="center"/>
          </w:tcPr>
          <w:p>
            <w:pPr>
              <w:pStyle w:val="12"/>
            </w:pPr>
            <w:r>
              <w:t>政府采购目录序号</w:t>
            </w:r>
          </w:p>
        </w:tc>
        <w:tc>
          <w:tcPr>
            <w:tcW w:w="230" w:type="pct"/>
            <w:vMerge w:val="restart"/>
            <w:noWrap w:val="0"/>
            <w:vAlign w:val="center"/>
          </w:tcPr>
          <w:p>
            <w:pPr>
              <w:pStyle w:val="12"/>
            </w:pPr>
            <w:r>
              <w:t>计量  单位</w:t>
            </w:r>
          </w:p>
        </w:tc>
        <w:tc>
          <w:tcPr>
            <w:tcW w:w="276" w:type="pct"/>
            <w:vMerge w:val="restart"/>
            <w:noWrap w:val="0"/>
            <w:vAlign w:val="center"/>
          </w:tcPr>
          <w:p>
            <w:pPr>
              <w:pStyle w:val="12"/>
            </w:pPr>
            <w:r>
              <w:t>数量</w:t>
            </w:r>
          </w:p>
        </w:tc>
        <w:tc>
          <w:tcPr>
            <w:tcW w:w="276" w:type="pct"/>
            <w:vMerge w:val="restart"/>
            <w:noWrap w:val="0"/>
            <w:vAlign w:val="center"/>
          </w:tcPr>
          <w:p>
            <w:pPr>
              <w:pStyle w:val="12"/>
            </w:pPr>
            <w:r>
              <w:t>单价</w:t>
            </w:r>
          </w:p>
        </w:tc>
        <w:tc>
          <w:tcPr>
            <w:tcW w:w="2503" w:type="pct"/>
            <w:gridSpan w:val="8"/>
            <w:noWrap w:val="0"/>
            <w:vAlign w:val="center"/>
          </w:tcPr>
          <w:p>
            <w:pPr>
              <w:pStyle w:val="12"/>
            </w:pPr>
            <w:r>
              <w:t>政府采购金额（当年部门预算安排资金）</w:t>
            </w:r>
          </w:p>
        </w:tc>
        <w:tc>
          <w:tcPr>
            <w:tcW w:w="309" w:type="pct"/>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6" w:type="pct"/>
            <w:noWrap w:val="0"/>
            <w:vAlign w:val="center"/>
          </w:tcPr>
          <w:p>
            <w:pPr>
              <w:pStyle w:val="12"/>
            </w:pPr>
            <w:r>
              <w:t>项目名称</w:t>
            </w:r>
          </w:p>
        </w:tc>
        <w:tc>
          <w:tcPr>
            <w:tcW w:w="313" w:type="pct"/>
            <w:noWrap w:val="0"/>
            <w:vAlign w:val="center"/>
          </w:tcPr>
          <w:p>
            <w:pPr>
              <w:pStyle w:val="12"/>
            </w:pPr>
            <w:r>
              <w:t>预算    资金</w:t>
            </w:r>
          </w:p>
        </w:tc>
        <w:tc>
          <w:tcPr>
            <w:tcW w:w="368" w:type="pct"/>
            <w:vMerge w:val="continue"/>
            <w:noWrap w:val="0"/>
            <w:vAlign w:val="top"/>
          </w:tcPr>
          <w:p/>
        </w:tc>
        <w:tc>
          <w:tcPr>
            <w:tcW w:w="368" w:type="pct"/>
            <w:vMerge w:val="continue"/>
            <w:noWrap w:val="0"/>
            <w:vAlign w:val="top"/>
          </w:tcPr>
          <w:p/>
        </w:tc>
        <w:tc>
          <w:tcPr>
            <w:tcW w:w="230" w:type="pct"/>
            <w:vMerge w:val="continue"/>
            <w:noWrap w:val="0"/>
            <w:vAlign w:val="top"/>
          </w:tcPr>
          <w:p/>
        </w:tc>
        <w:tc>
          <w:tcPr>
            <w:tcW w:w="276" w:type="pct"/>
            <w:vMerge w:val="continue"/>
            <w:noWrap w:val="0"/>
            <w:vAlign w:val="top"/>
          </w:tcPr>
          <w:p/>
        </w:tc>
        <w:tc>
          <w:tcPr>
            <w:tcW w:w="276" w:type="pct"/>
            <w:vMerge w:val="continue"/>
            <w:noWrap w:val="0"/>
            <w:vAlign w:val="top"/>
          </w:tcPr>
          <w:p/>
        </w:tc>
        <w:tc>
          <w:tcPr>
            <w:tcW w:w="313" w:type="pct"/>
            <w:noWrap w:val="0"/>
            <w:vAlign w:val="center"/>
          </w:tcPr>
          <w:p>
            <w:pPr>
              <w:pStyle w:val="12"/>
            </w:pPr>
            <w:r>
              <w:t>合计</w:t>
            </w:r>
          </w:p>
        </w:tc>
        <w:tc>
          <w:tcPr>
            <w:tcW w:w="313" w:type="pct"/>
            <w:noWrap w:val="0"/>
            <w:vAlign w:val="center"/>
          </w:tcPr>
          <w:p>
            <w:pPr>
              <w:pStyle w:val="12"/>
            </w:pPr>
            <w:r>
              <w:t>一般公共预算拨款</w:t>
            </w:r>
          </w:p>
        </w:tc>
        <w:tc>
          <w:tcPr>
            <w:tcW w:w="313" w:type="pct"/>
            <w:noWrap w:val="0"/>
            <w:vAlign w:val="center"/>
          </w:tcPr>
          <w:p>
            <w:pPr>
              <w:pStyle w:val="12"/>
            </w:pPr>
            <w:r>
              <w:t>基金预算拨款</w:t>
            </w:r>
          </w:p>
        </w:tc>
        <w:tc>
          <w:tcPr>
            <w:tcW w:w="313" w:type="pct"/>
            <w:noWrap w:val="0"/>
            <w:vAlign w:val="center"/>
          </w:tcPr>
          <w:p>
            <w:pPr>
              <w:pStyle w:val="12"/>
            </w:pPr>
            <w:r>
              <w:t>国有资本经营预算拨款</w:t>
            </w:r>
          </w:p>
        </w:tc>
        <w:tc>
          <w:tcPr>
            <w:tcW w:w="313" w:type="pct"/>
            <w:noWrap w:val="0"/>
            <w:vAlign w:val="center"/>
          </w:tcPr>
          <w:p>
            <w:pPr>
              <w:pStyle w:val="12"/>
            </w:pPr>
            <w:r>
              <w:t>财政专户核拨</w:t>
            </w:r>
          </w:p>
        </w:tc>
        <w:tc>
          <w:tcPr>
            <w:tcW w:w="313" w:type="pct"/>
            <w:noWrap w:val="0"/>
            <w:vAlign w:val="center"/>
          </w:tcPr>
          <w:p>
            <w:pPr>
              <w:pStyle w:val="12"/>
            </w:pPr>
            <w:r>
              <w:t>单位    资金</w:t>
            </w:r>
          </w:p>
        </w:tc>
        <w:tc>
          <w:tcPr>
            <w:tcW w:w="313" w:type="pct"/>
            <w:noWrap w:val="0"/>
            <w:vAlign w:val="center"/>
          </w:tcPr>
          <w:p>
            <w:pPr>
              <w:pStyle w:val="12"/>
            </w:pPr>
            <w:r>
              <w:t>财政拨    款结转</w:t>
            </w:r>
          </w:p>
        </w:tc>
        <w:tc>
          <w:tcPr>
            <w:tcW w:w="313" w:type="pct"/>
            <w:noWrap w:val="0"/>
            <w:vAlign w:val="center"/>
          </w:tcPr>
          <w:p>
            <w:pPr>
              <w:pStyle w:val="12"/>
            </w:pPr>
            <w:r>
              <w:t>非财政    拨款结    转结余</w:t>
            </w:r>
          </w:p>
        </w:tc>
        <w:tc>
          <w:tcPr>
            <w:tcW w:w="309"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noWrap w:val="0"/>
            <w:vAlign w:val="center"/>
          </w:tcPr>
          <w:p>
            <w:pPr>
              <w:pStyle w:val="16"/>
            </w:pPr>
            <w:r>
              <w:t>合  计</w:t>
            </w:r>
          </w:p>
        </w:tc>
        <w:tc>
          <w:tcPr>
            <w:tcW w:w="313" w:type="pct"/>
            <w:noWrap w:val="0"/>
            <w:vAlign w:val="center"/>
          </w:tcPr>
          <w:p>
            <w:pPr>
              <w:pStyle w:val="17"/>
              <w:rPr>
                <w:lang w:eastAsia="zh-CN"/>
              </w:rPr>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noWrap w:val="0"/>
            <w:vAlign w:val="center"/>
          </w:tcPr>
          <w:p>
            <w:pPr>
              <w:pStyle w:val="16"/>
            </w:pPr>
          </w:p>
        </w:tc>
        <w:tc>
          <w:tcPr>
            <w:tcW w:w="313" w:type="pct"/>
            <w:noWrap w:val="0"/>
            <w:vAlign w:val="center"/>
          </w:tcPr>
          <w:p>
            <w:pPr>
              <w:pStyle w:val="17"/>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bl>
    <w:p>
      <w:pPr>
        <w:spacing w:line="500" w:lineRule="exact"/>
        <w:ind w:firstLine="420"/>
        <w:rPr>
          <w:rFonts w:hint="eastAsia" w:ascii="Times New Roman" w:hAnsi="Times New Roman" w:eastAsia="等线" w:cs="Times New Roman"/>
          <w:sz w:val="32"/>
          <w:szCs w:val="24"/>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640" w:firstLineChars="20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162.05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广阳区统计局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广阳区统计局</w:t>
            </w:r>
          </w:p>
        </w:tc>
        <w:tc>
          <w:tcPr>
            <w:tcW w:w="5103" w:type="dxa"/>
            <w:tcBorders>
              <w:top w:val="nil"/>
              <w:left w:val="nil"/>
              <w:bottom w:val="nil"/>
              <w:right w:val="nil"/>
            </w:tcBorders>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162.05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p>
            <w:pPr>
              <w:spacing w:line="584" w:lineRule="exact"/>
              <w:jc w:val="center"/>
              <w:rPr>
                <w:rFonts w:hint="eastAsia"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p>
            <w:pPr>
              <w:spacing w:line="584" w:lineRule="exact"/>
              <w:jc w:val="center"/>
              <w:rPr>
                <w:rFonts w:hint="eastAsia"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142.17</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52BE8"/>
    <w:multiLevelType w:val="singleLevel"/>
    <w:tmpl w:val="63252BE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A7231"/>
    <w:rsid w:val="000C4392"/>
    <w:rsid w:val="000F6018"/>
    <w:rsid w:val="00116F1C"/>
    <w:rsid w:val="001A339A"/>
    <w:rsid w:val="0025632D"/>
    <w:rsid w:val="003059E0"/>
    <w:rsid w:val="003117CD"/>
    <w:rsid w:val="004A54AA"/>
    <w:rsid w:val="00515730"/>
    <w:rsid w:val="005E0B8A"/>
    <w:rsid w:val="005F451F"/>
    <w:rsid w:val="007B69A7"/>
    <w:rsid w:val="00944233"/>
    <w:rsid w:val="00B40732"/>
    <w:rsid w:val="00B80935"/>
    <w:rsid w:val="00D2193C"/>
    <w:rsid w:val="00D347CC"/>
    <w:rsid w:val="00D77F33"/>
    <w:rsid w:val="00D867BD"/>
    <w:rsid w:val="00DC72B4"/>
    <w:rsid w:val="00F34FAF"/>
    <w:rsid w:val="0AE56593"/>
    <w:rsid w:val="0C6C76C6"/>
    <w:rsid w:val="0CEC1180"/>
    <w:rsid w:val="16CA1EBB"/>
    <w:rsid w:val="45F363B7"/>
    <w:rsid w:val="541D5974"/>
    <w:rsid w:val="5BAB02B1"/>
    <w:rsid w:val="60300076"/>
    <w:rsid w:val="63B75D24"/>
    <w:rsid w:val="73693C55"/>
    <w:rsid w:val="7FB8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827</Words>
  <Characters>4716</Characters>
  <Lines>39</Lines>
  <Paragraphs>11</Paragraphs>
  <TotalTime>0</TotalTime>
  <ScaleCrop>false</ScaleCrop>
  <LinksUpToDate>false</LinksUpToDate>
  <CharactersWithSpaces>5532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2022-07-07T03:31:56Z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6EEAE14220A94524BFA51C76849E08BD</vt:lpwstr>
  </property>
</Properties>
</file>