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bookmarkStart w:id="3" w:name="_GoBack"/>
      <w:r>
        <w:rPr>
          <w:rFonts w:hint="eastAsia" w:ascii="Times New Roman" w:hAnsi="Times New Roman" w:eastAsia="方正小标宋简体" w:cs="Times New Roman"/>
          <w:sz w:val="44"/>
          <w:szCs w:val="44"/>
        </w:rPr>
        <w:t>新世纪步行街服务中心</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楷体_GB2312" w:cs="Times New Roman"/>
          <w:b/>
          <w:sz w:val="32"/>
          <w:szCs w:val="32"/>
        </w:rPr>
      </w:pPr>
      <w:r>
        <w:rPr>
          <w:rFonts w:hint="eastAsia" w:ascii="仿宋_GB2312" w:eastAsia="仿宋_GB2312" w:cs="Arial Black"/>
          <w:kern w:val="0"/>
          <w:sz w:val="32"/>
          <w:szCs w:val="32"/>
        </w:rPr>
        <w:t>贯彻落实上级党委、政府和区委、区政府关于步行街发展工作的方针政策和决策部署，坚持和加强党对步行街发展工作的集中统一领导。主要职责是：</w:t>
      </w:r>
    </w:p>
    <w:p>
      <w:pPr>
        <w:pStyle w:val="22"/>
        <w:numPr>
          <w:ilvl w:val="0"/>
          <w:numId w:val="1"/>
        </w:numPr>
        <w:spacing w:line="584" w:lineRule="exact"/>
        <w:ind w:firstLineChars="0"/>
        <w:rPr>
          <w:rFonts w:ascii="Times New Roman" w:hAnsi="Times New Roman" w:eastAsia="楷体_GB2312" w:cs="Times New Roman"/>
          <w:b/>
          <w:sz w:val="32"/>
          <w:szCs w:val="32"/>
        </w:rPr>
      </w:pPr>
      <w:r>
        <w:rPr>
          <w:rFonts w:hint="eastAsia" w:ascii="仿宋_GB2312" w:eastAsia="仿宋_GB2312" w:cs="Arial Black"/>
          <w:kern w:val="0"/>
          <w:sz w:val="32"/>
          <w:szCs w:val="32"/>
        </w:rPr>
        <w:t>负责步行街界定范围内的日常服务工作。</w:t>
      </w:r>
    </w:p>
    <w:p>
      <w:pPr>
        <w:pStyle w:val="22"/>
        <w:numPr>
          <w:ilvl w:val="0"/>
          <w:numId w:val="1"/>
        </w:numPr>
        <w:spacing w:line="584" w:lineRule="exact"/>
        <w:ind w:firstLineChars="0"/>
        <w:rPr>
          <w:rFonts w:ascii="Times New Roman" w:hAnsi="Times New Roman" w:eastAsia="楷体_GB2312" w:cs="Times New Roman"/>
          <w:b/>
          <w:sz w:val="32"/>
          <w:szCs w:val="32"/>
        </w:rPr>
      </w:pPr>
      <w:r>
        <w:rPr>
          <w:rFonts w:hint="eastAsia" w:ascii="仿宋_GB2312" w:eastAsia="仿宋_GB2312" w:cs="Arial Black"/>
          <w:kern w:val="0"/>
          <w:sz w:val="32"/>
          <w:szCs w:val="32"/>
        </w:rPr>
        <w:t>负责开展调查研究，及时向区政府提出步行街发展意见，为领导决策服务；积极推动商业业态调整，促进商业结构上档升级。</w:t>
      </w:r>
    </w:p>
    <w:p>
      <w:pPr>
        <w:pStyle w:val="22"/>
        <w:numPr>
          <w:ilvl w:val="0"/>
          <w:numId w:val="1"/>
        </w:numPr>
        <w:spacing w:line="584" w:lineRule="exact"/>
        <w:ind w:firstLineChars="0"/>
        <w:rPr>
          <w:rFonts w:ascii="Times New Roman" w:hAnsi="Times New Roman" w:eastAsia="楷体_GB2312" w:cs="Times New Roman"/>
          <w:b/>
          <w:sz w:val="32"/>
          <w:szCs w:val="32"/>
        </w:rPr>
      </w:pPr>
      <w:r>
        <w:rPr>
          <w:rFonts w:hint="eastAsia" w:ascii="仿宋_GB2312" w:eastAsia="仿宋_GB2312" w:cs="Arial Black"/>
          <w:kern w:val="0"/>
          <w:sz w:val="32"/>
          <w:szCs w:val="32"/>
        </w:rPr>
        <w:t>负责协调步行街招商引资和涉外经济服务活动；为投资企业、商户办理证照等相关事宜提供服务。</w:t>
      </w:r>
    </w:p>
    <w:p>
      <w:pPr>
        <w:keepNext/>
        <w:keepLines/>
        <w:numPr>
          <w:ilvl w:val="0"/>
          <w:numId w:val="1"/>
        </w:numPr>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负责协助步行街社会治安、市容环境、道路交通、市政设施、市场监督管理等行政执法服务工作。</w:t>
      </w:r>
    </w:p>
    <w:p>
      <w:pPr>
        <w:keepNext/>
        <w:keepLines/>
        <w:numPr>
          <w:ilvl w:val="0"/>
          <w:numId w:val="1"/>
        </w:numPr>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负责协调税务、金融、保险、自然资源、生态环境、邮政、电信、文化、新闻出版、物业等服务工作。</w:t>
      </w:r>
    </w:p>
    <w:p>
      <w:pPr>
        <w:keepNext/>
        <w:keepLines/>
        <w:numPr>
          <w:ilvl w:val="0"/>
          <w:numId w:val="1"/>
        </w:numPr>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负责步行街内的环卫、绿化、市政维修等综合服务工作。</w:t>
      </w:r>
    </w:p>
    <w:p>
      <w:pPr>
        <w:keepNext/>
        <w:keepLines/>
        <w:numPr>
          <w:ilvl w:val="0"/>
          <w:numId w:val="1"/>
        </w:numPr>
        <w:spacing w:line="580" w:lineRule="exact"/>
        <w:ind w:firstLine="640" w:firstLineChars="200"/>
        <w:jc w:val="left"/>
        <w:outlineLvl w:val="0"/>
        <w:rPr>
          <w:rFonts w:ascii="仿宋_GB2312" w:eastAsia="仿宋_GB2312" w:cs="Arial Black"/>
          <w:kern w:val="0"/>
          <w:sz w:val="32"/>
          <w:szCs w:val="32"/>
        </w:rPr>
      </w:pPr>
      <w:r>
        <w:rPr>
          <w:rFonts w:hint="eastAsia" w:ascii="仿宋_GB2312" w:eastAsia="仿宋_GB2312" w:cs="Arial Black"/>
          <w:kern w:val="0"/>
          <w:sz w:val="32"/>
          <w:szCs w:val="32"/>
        </w:rPr>
        <w:t>承担区委、区政府交办的其他事项。</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11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68"/>
        <w:gridCol w:w="1275"/>
        <w:gridCol w:w="1418"/>
        <w:gridCol w:w="374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66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27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418"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74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668" w:type="dxa"/>
            <w:vMerge w:val="continue"/>
            <w:shd w:val="clear" w:color="auto" w:fill="auto"/>
            <w:vAlign w:val="center"/>
          </w:tcPr>
          <w:p/>
        </w:tc>
        <w:tc>
          <w:tcPr>
            <w:tcW w:w="1275" w:type="dxa"/>
            <w:vMerge w:val="continue"/>
            <w:shd w:val="clear" w:color="auto" w:fill="auto"/>
            <w:vAlign w:val="center"/>
          </w:tcPr>
          <w:p/>
        </w:tc>
        <w:tc>
          <w:tcPr>
            <w:tcW w:w="1418" w:type="dxa"/>
            <w:vMerge w:val="continue"/>
            <w:shd w:val="clear" w:color="auto" w:fill="auto"/>
            <w:vAlign w:val="center"/>
          </w:tcPr>
          <w:p/>
        </w:tc>
        <w:tc>
          <w:tcPr>
            <w:tcW w:w="3741"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668"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廊坊市广阳区新世纪步行街服务中心</w:t>
            </w:r>
          </w:p>
        </w:tc>
        <w:tc>
          <w:tcPr>
            <w:tcW w:w="1275"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418"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3741"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178.83</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178.83</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广阳区新世纪步行街服务中心2022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178.83</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178.83</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160</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18.83</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178.83</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4.36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4.36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一般公共服务</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w:t>
      </w:r>
      <w:r>
        <w:rPr>
          <w:rFonts w:hint="eastAsia" w:ascii="Times New Roman" w:hAnsi="Times New Roman" w:eastAsia="仿宋_GB2312" w:cs="Times New Roman"/>
          <w:sz w:val="32"/>
          <w:szCs w:val="32"/>
        </w:rPr>
        <w:t>18.83</w:t>
      </w:r>
      <w:r>
        <w:rPr>
          <w:rFonts w:ascii="Times New Roman" w:hAnsi="Times New Roman" w:eastAsia="仿宋_GB2312" w:cs="Times New Roman"/>
          <w:sz w:val="32"/>
          <w:szCs w:val="32"/>
        </w:rPr>
        <w:t>万元，主要用于廊坊市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无增减变化。</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topLinePunct w:val="0"/>
        <w:autoSpaceDE/>
        <w:autoSpaceDN/>
        <w:bidi w:val="0"/>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keepNext w:val="0"/>
        <w:keepLines w:val="0"/>
        <w:pageBreakBefore w:val="0"/>
        <w:widowControl w:val="0"/>
        <w:kinsoku/>
        <w:wordWrap/>
        <w:topLinePunct w:val="0"/>
        <w:autoSpaceDE/>
        <w:autoSpaceDN/>
        <w:bidi w:val="0"/>
        <w:spacing w:line="584" w:lineRule="exact"/>
        <w:textAlignment w:val="auto"/>
      </w:pPr>
      <w:r>
        <w:rPr>
          <w:rFonts w:eastAsia="仿宋_GB2312"/>
          <w:sz w:val="32"/>
          <w:szCs w:val="32"/>
        </w:rPr>
        <w:t>以习近平新时代中国特色社会主义思想为指导，全面贯彻落实党的十九大、十九届二中、三中、四中、六中全会精神，切实增强“四个意识”，坚定落实“两个维护”，进一步推动重点项目建设，切实改善街区环境，维护社会和谐稳定，巩固良好政治生态，有效促进街区平稳发展，全力打造有活力的新街区。</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1、</w:t>
      </w:r>
      <w:r>
        <w:rPr>
          <w:rFonts w:eastAsia="仿宋_GB2312"/>
          <w:sz w:val="32"/>
          <w:szCs w:val="32"/>
        </w:rPr>
        <w:t>人员类支出绩效目标主要用于人员工资福利等支出，社会保障缴纳，进一步增强干部职工的归属感，保障办公正常运转。</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数量指标  保障单位实有人数的各项工资、保险的发放缴纳</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质量指标  社会保障准确缴纳</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时效</w:t>
      </w:r>
      <w:r>
        <w:rPr>
          <w:rFonts w:eastAsia="仿宋_GB2312"/>
          <w:sz w:val="32"/>
          <w:szCs w:val="32"/>
        </w:rPr>
        <w:t>指标  社会保障及时缴纳</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成本指标  严格按照保障缴纳社会保障业务</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2</w:t>
      </w:r>
      <w:r>
        <w:rPr>
          <w:rFonts w:eastAsia="仿宋_GB2312"/>
          <w:sz w:val="32"/>
          <w:szCs w:val="32"/>
        </w:rPr>
        <w:t>、公用类支出绩效目标主要是经费保障工作，保障办公正常运转。</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数量指标  保障单位实有人数的办公</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质量指标  保障单位的运转</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时效指标  及时保障日常工作经费的支出</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eastAsia="仿宋_GB2312"/>
          <w:sz w:val="32"/>
          <w:szCs w:val="32"/>
        </w:rPr>
        <w:t>成本指标  严格按照标准保障单位日常公用经费开支</w:t>
      </w:r>
    </w:p>
    <w:p>
      <w:pPr>
        <w:keepNext w:val="0"/>
        <w:keepLines w:val="0"/>
        <w:pageBreakBefore w:val="0"/>
        <w:widowControl w:val="0"/>
        <w:kinsoku/>
        <w:wordWrap/>
        <w:topLinePunct w:val="0"/>
        <w:autoSpaceDE/>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1、加强制度建设。围绕预算绩效管理的主要内容，研究制定本部门整体绩效目标，建立绩效运行“双监控”制度，健全目标管理、运行监控、绩效自评等管理制度体系。</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2、实施绩效监控。按照“双监控”要求，建立预算执行监控机制，一方面严格按照预算、用款计划、项目进度、有关合同办理资金制度，不得无故滞留、拖延，另一方面对绩效目标实现程度和预算支出进度进行监控，做到发现问题及时纠正，确保绩效目标如期实现。</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3、开展绩效评价。预算执行终了，对照设定目标及实现程度进行自评，及时分析原因并提出改进措施，并将此作为改进预算管理，优化支出的重要依据。</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4、规范财务管理，进一步完善财务管理制度，通过科学编制预算，优化支出结构，加快政府采购，加快项目建设，确保经费支出进度达到规定标准。</w:t>
      </w:r>
    </w:p>
    <w:p>
      <w:pPr>
        <w:pStyle w:val="20"/>
        <w:keepNext w:val="0"/>
        <w:keepLines w:val="0"/>
        <w:pageBreakBefore w:val="0"/>
        <w:widowControl w:val="0"/>
        <w:kinsoku/>
        <w:wordWrap/>
        <w:topLinePunct w:val="0"/>
        <w:autoSpaceDE/>
        <w:autoSpaceDN/>
        <w:bidi w:val="0"/>
        <w:spacing w:line="584" w:lineRule="exact"/>
        <w:textAlignment w:val="auto"/>
        <w:rPr>
          <w:rFonts w:eastAsia="仿宋_GB2312"/>
          <w:sz w:val="32"/>
          <w:szCs w:val="32"/>
        </w:rPr>
      </w:pPr>
      <w:r>
        <w:rPr>
          <w:rFonts w:hint="eastAsia" w:eastAsia="仿宋_GB2312"/>
          <w:sz w:val="32"/>
          <w:szCs w:val="32"/>
        </w:rPr>
        <w:t>5、加强内部监督。对绩效运行、重大支出事项、资产处置及其他重要经济业务事项决策和执行进度监督，定期开展财务内部审计，确保财政资金使用安全合规。</w:t>
      </w:r>
    </w:p>
    <w:p>
      <w:pPr>
        <w:pStyle w:val="20"/>
        <w:keepNext w:val="0"/>
        <w:keepLines w:val="0"/>
        <w:pageBreakBefore w:val="0"/>
        <w:widowControl w:val="0"/>
        <w:kinsoku/>
        <w:wordWrap/>
        <w:topLinePunct w:val="0"/>
        <w:autoSpaceDE/>
        <w:autoSpaceDN/>
        <w:bidi w:val="0"/>
        <w:spacing w:line="584" w:lineRule="exact"/>
        <w:textAlignment w:val="auto"/>
      </w:pPr>
      <w:r>
        <w:rPr>
          <w:rFonts w:hint="eastAsia" w:eastAsia="仿宋_GB2312"/>
          <w:sz w:val="32"/>
          <w:szCs w:val="32"/>
        </w:rPr>
        <w:t>6、加强宣传培训。加强人员培训，加大宣传力度，强化预算绩效管理意识，促进预算绩效管理水平提高。</w:t>
      </w:r>
    </w:p>
    <w:p>
      <w:pPr>
        <w:keepNext w:val="0"/>
        <w:keepLines w:val="0"/>
        <w:pageBreakBefore w:val="0"/>
        <w:widowControl w:val="0"/>
        <w:kinsoku/>
        <w:wordWrap/>
        <w:topLinePunct w:val="0"/>
        <w:autoSpaceDE/>
        <w:autoSpaceDN/>
        <w:bidi w:val="0"/>
        <w:spacing w:line="584" w:lineRule="exact"/>
        <w:jc w:val="center"/>
        <w:textAlignment w:val="auto"/>
      </w:pPr>
      <w:r>
        <w:rPr>
          <w:rFonts w:ascii="方正书宋_GBK" w:hAnsi="方正书宋_GBK" w:eastAsia="方正书宋_GBK" w:cs="方正书宋_GBK"/>
          <w:color w:val="000000"/>
        </w:rPr>
        <w:t xml:space="preserve"> </w:t>
      </w: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ascii="楷体_GB2312" w:eastAsia="楷体_GB2312" w:cs="Times New Roman"/>
          <w:b/>
          <w:sz w:val="32"/>
          <w:szCs w:val="32"/>
        </w:rPr>
      </w:pPr>
    </w:p>
    <w:p>
      <w:pPr>
        <w:keepNext w:val="0"/>
        <w:keepLines w:val="0"/>
        <w:pageBreakBefore w:val="0"/>
        <w:widowControl w:val="0"/>
        <w:kinsoku/>
        <w:wordWrap/>
        <w:overflowPunct w:val="0"/>
        <w:topLinePunct w:val="0"/>
        <w:autoSpaceDE/>
        <w:autoSpaceDN/>
        <w:bidi w:val="0"/>
        <w:adjustRightInd w:val="0"/>
        <w:snapToGrid w:val="0"/>
        <w:spacing w:after="156" w:afterLines="50" w:line="584" w:lineRule="exact"/>
        <w:ind w:firstLine="630" w:firstLineChars="196"/>
        <w:jc w:val="left"/>
        <w:textAlignment w:val="auto"/>
        <w:rPr>
          <w:rFonts w:ascii="楷体_GB2312" w:eastAsia="楷体_GB2312" w:cs="Times New Roman"/>
          <w:b/>
          <w:sz w:val="32"/>
          <w:szCs w:val="32"/>
        </w:rPr>
      </w:pP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564"/>
        <w:gridCol w:w="996"/>
        <w:gridCol w:w="1843"/>
        <w:gridCol w:w="2596"/>
        <w:gridCol w:w="4062"/>
        <w:gridCol w:w="487"/>
        <w:gridCol w:w="361"/>
        <w:gridCol w:w="1074"/>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20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5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659"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92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5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687"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71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202" w:type="pct"/>
            <w:vMerge w:val="continue"/>
            <w:tcBorders>
              <w:tl2br w:val="nil"/>
              <w:tr2bl w:val="nil"/>
            </w:tcBorders>
            <w:vAlign w:val="center"/>
          </w:tcPr>
          <w:p/>
        </w:tc>
        <w:tc>
          <w:tcPr>
            <w:tcW w:w="356" w:type="pct"/>
            <w:vMerge w:val="continue"/>
            <w:tcBorders>
              <w:tl2br w:val="nil"/>
              <w:tr2bl w:val="nil"/>
            </w:tcBorders>
            <w:vAlign w:val="center"/>
          </w:tcPr>
          <w:p/>
        </w:tc>
        <w:tc>
          <w:tcPr>
            <w:tcW w:w="659" w:type="pct"/>
            <w:vMerge w:val="continue"/>
            <w:tcBorders>
              <w:tl2br w:val="nil"/>
              <w:tr2bl w:val="nil"/>
            </w:tcBorders>
            <w:vAlign w:val="center"/>
          </w:tcPr>
          <w:p/>
        </w:tc>
        <w:tc>
          <w:tcPr>
            <w:tcW w:w="928" w:type="pct"/>
            <w:vMerge w:val="continue"/>
            <w:tcBorders>
              <w:tl2br w:val="nil"/>
              <w:tr2bl w:val="nil"/>
            </w:tcBorders>
            <w:vAlign w:val="center"/>
          </w:tcPr>
          <w:p/>
        </w:tc>
        <w:tc>
          <w:tcPr>
            <w:tcW w:w="1452" w:type="pct"/>
            <w:vMerge w:val="continue"/>
            <w:tcBorders>
              <w:tl2br w:val="nil"/>
              <w:tr2bl w:val="nil"/>
            </w:tcBorders>
            <w:vAlign w:val="center"/>
          </w:tcPr>
          <w:p/>
        </w:tc>
        <w:tc>
          <w:tcPr>
            <w:tcW w:w="17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2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84"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714"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71" w:hRule="atLeast"/>
          <w:jc w:val="center"/>
        </w:trPr>
        <w:tc>
          <w:tcPr>
            <w:tcW w:w="202" w:type="pct"/>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659"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保障人数</w:t>
            </w:r>
          </w:p>
        </w:tc>
        <w:tc>
          <w:tcPr>
            <w:tcW w:w="928"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完成绩效目标得15分</w:t>
            </w:r>
          </w:p>
        </w:tc>
        <w:tc>
          <w:tcPr>
            <w:tcW w:w="1452"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保障人数</w:t>
            </w:r>
          </w:p>
        </w:tc>
        <w:tc>
          <w:tcPr>
            <w:tcW w:w="174" w:type="pct"/>
            <w:tcBorders>
              <w:tl2br w:val="nil"/>
              <w:tr2bl w:val="nil"/>
            </w:tcBorders>
            <w:vAlign w:val="center"/>
          </w:tcPr>
          <w:p>
            <w:pPr>
              <w:widowControl/>
              <w:adjustRightInd w:val="0"/>
              <w:snapToGrid w:val="0"/>
              <w:jc w:val="center"/>
              <w:rPr>
                <w:rFonts w:ascii="仿宋" w:hAnsi="仿宋" w:eastAsia="仿宋"/>
                <w:szCs w:val="21"/>
              </w:rPr>
            </w:pPr>
            <w:r>
              <w:rPr>
                <w:rFonts w:hint="eastAsia" w:ascii="仿宋" w:hAnsi="仿宋" w:eastAsia="仿宋"/>
                <w:szCs w:val="21"/>
              </w:rPr>
              <w:t>=</w:t>
            </w:r>
          </w:p>
        </w:tc>
        <w:tc>
          <w:tcPr>
            <w:tcW w:w="129" w:type="pct"/>
            <w:tcBorders>
              <w:tl2br w:val="nil"/>
              <w:tr2bl w:val="nil"/>
            </w:tcBorders>
            <w:vAlign w:val="center"/>
          </w:tcPr>
          <w:p>
            <w:pPr>
              <w:widowControl/>
              <w:adjustRightInd w:val="0"/>
              <w:snapToGrid w:val="0"/>
              <w:jc w:val="center"/>
              <w:rPr>
                <w:rFonts w:ascii="仿宋" w:hAnsi="仿宋" w:eastAsia="仿宋"/>
                <w:szCs w:val="21"/>
              </w:rPr>
            </w:pPr>
            <w:r>
              <w:rPr>
                <w:rFonts w:hint="eastAsia" w:ascii="仿宋" w:hAnsi="仿宋" w:eastAsia="仿宋"/>
                <w:szCs w:val="21"/>
              </w:rPr>
              <w:t>13</w:t>
            </w:r>
          </w:p>
        </w:tc>
        <w:tc>
          <w:tcPr>
            <w:tcW w:w="384" w:type="pct"/>
            <w:tcBorders>
              <w:tl2br w:val="nil"/>
              <w:tr2bl w:val="nil"/>
            </w:tcBorders>
            <w:vAlign w:val="center"/>
          </w:tcPr>
          <w:p>
            <w:pPr>
              <w:widowControl/>
              <w:adjustRightInd w:val="0"/>
              <w:snapToGrid w:val="0"/>
              <w:jc w:val="center"/>
              <w:rPr>
                <w:rFonts w:ascii="仿宋" w:hAnsi="仿宋" w:eastAsia="仿宋"/>
                <w:szCs w:val="21"/>
              </w:rPr>
            </w:pPr>
            <w:r>
              <w:rPr>
                <w:rFonts w:hint="eastAsia" w:ascii="仿宋" w:hAnsi="仿宋" w:eastAsia="仿宋"/>
                <w:szCs w:val="21"/>
              </w:rPr>
              <w:t>人</w:t>
            </w:r>
          </w:p>
        </w:tc>
        <w:tc>
          <w:tcPr>
            <w:tcW w:w="71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单位实有人数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22" w:hRule="atLeast"/>
          <w:jc w:val="center"/>
        </w:trPr>
        <w:tc>
          <w:tcPr>
            <w:tcW w:w="202" w:type="pct"/>
            <w:vMerge w:val="continue"/>
            <w:tcBorders>
              <w:tl2br w:val="nil"/>
              <w:tr2bl w:val="nil"/>
            </w:tcBorders>
            <w:vAlign w:val="center"/>
          </w:tcP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659"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运转保障率</w:t>
            </w:r>
          </w:p>
        </w:tc>
        <w:tc>
          <w:tcPr>
            <w:tcW w:w="928"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维持机关正常运转得15分</w:t>
            </w:r>
          </w:p>
        </w:tc>
        <w:tc>
          <w:tcPr>
            <w:tcW w:w="1452"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各项日常工作保障率</w:t>
            </w:r>
          </w:p>
        </w:tc>
        <w:tc>
          <w:tcPr>
            <w:tcW w:w="174" w:type="pct"/>
            <w:tcBorders>
              <w:tl2br w:val="nil"/>
              <w:tr2bl w:val="nil"/>
            </w:tcBorders>
            <w:vAlign w:val="center"/>
          </w:tcPr>
          <w:p>
            <w:pPr>
              <w:widowControl/>
              <w:adjustRightInd w:val="0"/>
              <w:snapToGrid w:val="0"/>
              <w:jc w:val="center"/>
              <w:rPr>
                <w:rFonts w:ascii="仿宋" w:hAnsi="仿宋" w:eastAsia="仿宋"/>
                <w:szCs w:val="21"/>
              </w:rPr>
            </w:pPr>
            <w:r>
              <w:rPr>
                <w:rFonts w:hint="eastAsia" w:ascii="仿宋" w:hAnsi="仿宋" w:eastAsia="仿宋"/>
                <w:szCs w:val="21"/>
              </w:rPr>
              <w:t>=</w:t>
            </w:r>
          </w:p>
        </w:tc>
        <w:tc>
          <w:tcPr>
            <w:tcW w:w="129" w:type="pct"/>
            <w:tcBorders>
              <w:tl2br w:val="nil"/>
              <w:tr2bl w:val="nil"/>
            </w:tcBorders>
            <w:vAlign w:val="center"/>
          </w:tcPr>
          <w:p>
            <w:pPr>
              <w:widowControl/>
              <w:adjustRightInd w:val="0"/>
              <w:snapToGrid w:val="0"/>
              <w:jc w:val="center"/>
              <w:rPr>
                <w:rFonts w:ascii="仿宋" w:hAnsi="仿宋" w:eastAsia="仿宋"/>
                <w:szCs w:val="21"/>
              </w:rPr>
            </w:pPr>
            <w:r>
              <w:rPr>
                <w:rFonts w:hint="eastAsia" w:ascii="仿宋" w:hAnsi="仿宋" w:eastAsia="仿宋"/>
                <w:szCs w:val="21"/>
              </w:rPr>
              <w:t>100</w:t>
            </w:r>
          </w:p>
        </w:tc>
        <w:tc>
          <w:tcPr>
            <w:tcW w:w="384" w:type="pct"/>
            <w:tcBorders>
              <w:tl2br w:val="nil"/>
              <w:tr2bl w:val="nil"/>
            </w:tcBorders>
            <w:vAlign w:val="center"/>
          </w:tcPr>
          <w:p>
            <w:pPr>
              <w:widowControl/>
              <w:adjustRightInd w:val="0"/>
              <w:snapToGrid w:val="0"/>
              <w:jc w:val="center"/>
              <w:rPr>
                <w:rFonts w:ascii="仿宋" w:hAnsi="仿宋" w:eastAsia="仿宋"/>
                <w:szCs w:val="21"/>
              </w:rPr>
            </w:pPr>
            <w:r>
              <w:rPr>
                <w:rFonts w:hint="eastAsia" w:ascii="仿宋" w:hAnsi="仿宋" w:eastAsia="仿宋"/>
                <w:szCs w:val="21"/>
              </w:rPr>
              <w:t>%</w:t>
            </w:r>
          </w:p>
        </w:tc>
        <w:tc>
          <w:tcPr>
            <w:tcW w:w="71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根据实际工作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71" w:hRule="atLeast"/>
          <w:jc w:val="center"/>
        </w:trPr>
        <w:tc>
          <w:tcPr>
            <w:tcW w:w="202" w:type="pct"/>
            <w:vMerge w:val="continue"/>
            <w:tcBorders>
              <w:tl2br w:val="nil"/>
              <w:tr2bl w:val="nil"/>
            </w:tcBorders>
            <w:vAlign w:val="center"/>
          </w:tcP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659"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工资福利发放及社保缴纳的及时性</w:t>
            </w:r>
          </w:p>
        </w:tc>
        <w:tc>
          <w:tcPr>
            <w:tcW w:w="928"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完成绩效目标得15分</w:t>
            </w:r>
          </w:p>
        </w:tc>
        <w:tc>
          <w:tcPr>
            <w:tcW w:w="1452"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工资福利发放及社保缴纳的及时性</w:t>
            </w:r>
          </w:p>
        </w:tc>
        <w:tc>
          <w:tcPr>
            <w:tcW w:w="17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文字描述</w:t>
            </w:r>
          </w:p>
        </w:tc>
        <w:tc>
          <w:tcPr>
            <w:tcW w:w="129" w:type="pct"/>
            <w:tcBorders>
              <w:tl2br w:val="nil"/>
              <w:tr2bl w:val="nil"/>
            </w:tcBorders>
            <w:vAlign w:val="center"/>
          </w:tcPr>
          <w:p>
            <w:pPr>
              <w:widowControl/>
              <w:adjustRightInd w:val="0"/>
              <w:snapToGrid w:val="0"/>
              <w:jc w:val="center"/>
              <w:rPr>
                <w:rFonts w:ascii="仿宋" w:hAnsi="仿宋" w:eastAsia="仿宋"/>
                <w:szCs w:val="21"/>
              </w:rPr>
            </w:pPr>
          </w:p>
        </w:tc>
        <w:tc>
          <w:tcPr>
            <w:tcW w:w="38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按规定时间发放缴纳</w:t>
            </w:r>
          </w:p>
        </w:tc>
        <w:tc>
          <w:tcPr>
            <w:tcW w:w="71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按规定实际发放缴纳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02" w:type="pct"/>
            <w:vMerge w:val="continue"/>
            <w:tcBorders>
              <w:tl2br w:val="nil"/>
              <w:tr2bl w:val="nil"/>
            </w:tcBorders>
            <w:vAlign w:val="center"/>
          </w:tcP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659"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工资社保公积金发放缴纳标准</w:t>
            </w:r>
          </w:p>
        </w:tc>
        <w:tc>
          <w:tcPr>
            <w:tcW w:w="928"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完成绩效目标得15分</w:t>
            </w:r>
          </w:p>
        </w:tc>
        <w:tc>
          <w:tcPr>
            <w:tcW w:w="1452"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工资社保公积金发放缴纳标准</w:t>
            </w:r>
          </w:p>
        </w:tc>
        <w:tc>
          <w:tcPr>
            <w:tcW w:w="17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文字描述</w:t>
            </w:r>
          </w:p>
        </w:tc>
        <w:tc>
          <w:tcPr>
            <w:tcW w:w="129" w:type="pct"/>
            <w:tcBorders>
              <w:tl2br w:val="nil"/>
              <w:tr2bl w:val="nil"/>
            </w:tcBorders>
            <w:vAlign w:val="center"/>
          </w:tcPr>
          <w:p>
            <w:pPr>
              <w:widowControl/>
              <w:adjustRightInd w:val="0"/>
              <w:snapToGrid w:val="0"/>
              <w:jc w:val="center"/>
              <w:rPr>
                <w:rFonts w:ascii="仿宋" w:hAnsi="仿宋" w:eastAsia="仿宋"/>
                <w:szCs w:val="21"/>
              </w:rPr>
            </w:pPr>
          </w:p>
        </w:tc>
        <w:tc>
          <w:tcPr>
            <w:tcW w:w="38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按规定执行</w:t>
            </w:r>
          </w:p>
        </w:tc>
        <w:tc>
          <w:tcPr>
            <w:tcW w:w="71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按标准缴纳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202" w:type="pct"/>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659"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加强工作人员归属感</w:t>
            </w:r>
          </w:p>
        </w:tc>
        <w:tc>
          <w:tcPr>
            <w:tcW w:w="928"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完成绩效目标得10分</w:t>
            </w:r>
          </w:p>
        </w:tc>
        <w:tc>
          <w:tcPr>
            <w:tcW w:w="1452"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通过按时按标准发放工资福利等，进一步增强干部职工的归属感，保障办公正常运转</w:t>
            </w:r>
          </w:p>
        </w:tc>
        <w:tc>
          <w:tcPr>
            <w:tcW w:w="17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文字描述</w:t>
            </w:r>
          </w:p>
        </w:tc>
        <w:tc>
          <w:tcPr>
            <w:tcW w:w="129" w:type="pct"/>
            <w:tcBorders>
              <w:tl2br w:val="nil"/>
              <w:tr2bl w:val="nil"/>
            </w:tcBorders>
            <w:vAlign w:val="center"/>
          </w:tcPr>
          <w:p>
            <w:pPr>
              <w:widowControl/>
              <w:adjustRightInd w:val="0"/>
              <w:snapToGrid w:val="0"/>
              <w:jc w:val="center"/>
              <w:rPr>
                <w:rFonts w:ascii="仿宋" w:hAnsi="仿宋" w:eastAsia="仿宋"/>
                <w:szCs w:val="21"/>
              </w:rPr>
            </w:pPr>
          </w:p>
        </w:tc>
        <w:tc>
          <w:tcPr>
            <w:tcW w:w="38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保持干部队伍相对稳定</w:t>
            </w:r>
          </w:p>
        </w:tc>
        <w:tc>
          <w:tcPr>
            <w:tcW w:w="71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保障日常办公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55" w:hRule="atLeast"/>
          <w:jc w:val="center"/>
        </w:trPr>
        <w:tc>
          <w:tcPr>
            <w:tcW w:w="202" w:type="pct"/>
            <w:vMerge w:val="continue"/>
            <w:tcBorders>
              <w:tl2br w:val="nil"/>
              <w:tr2bl w:val="nil"/>
            </w:tcBorders>
            <w:vAlign w:val="center"/>
          </w:tcPr>
          <w:p>
            <w:pPr>
              <w:adjustRightInd w:val="0"/>
              <w:snapToGrid w:val="0"/>
              <w:jc w:val="center"/>
              <w:rPr>
                <w:rFonts w:ascii="方正书宋_GBK" w:eastAsia="方正书宋_GBK"/>
              </w:rPr>
            </w:pP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659"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维持单位正常运转</w:t>
            </w:r>
          </w:p>
        </w:tc>
        <w:tc>
          <w:tcPr>
            <w:tcW w:w="928"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完成绩效目标得10分</w:t>
            </w:r>
          </w:p>
        </w:tc>
        <w:tc>
          <w:tcPr>
            <w:tcW w:w="1452"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保障日常办公需要，维持单位正常运转</w:t>
            </w:r>
          </w:p>
        </w:tc>
        <w:tc>
          <w:tcPr>
            <w:tcW w:w="17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文字描述</w:t>
            </w:r>
          </w:p>
        </w:tc>
        <w:tc>
          <w:tcPr>
            <w:tcW w:w="129" w:type="pct"/>
            <w:tcBorders>
              <w:tl2br w:val="nil"/>
              <w:tr2bl w:val="nil"/>
            </w:tcBorders>
            <w:vAlign w:val="center"/>
          </w:tcPr>
          <w:p>
            <w:pPr>
              <w:widowControl/>
              <w:adjustRightInd w:val="0"/>
              <w:snapToGrid w:val="0"/>
              <w:jc w:val="center"/>
              <w:rPr>
                <w:rFonts w:ascii="仿宋" w:hAnsi="仿宋" w:eastAsia="仿宋"/>
                <w:szCs w:val="21"/>
              </w:rPr>
            </w:pPr>
          </w:p>
        </w:tc>
        <w:tc>
          <w:tcPr>
            <w:tcW w:w="38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维持单位正常运转</w:t>
            </w:r>
          </w:p>
        </w:tc>
        <w:tc>
          <w:tcPr>
            <w:tcW w:w="714" w:type="pct"/>
            <w:tcBorders>
              <w:tl2br w:val="nil"/>
              <w:tr2bl w:val="nil"/>
            </w:tcBorders>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根据实际工作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202" w:type="pct"/>
            <w:vMerge w:val="continue"/>
            <w:tcBorders>
              <w:tl2br w:val="nil"/>
              <w:tr2bl w:val="nil"/>
            </w:tcBorders>
            <w:vAlign w:val="center"/>
          </w:tcPr>
          <w:p/>
        </w:tc>
        <w:tc>
          <w:tcPr>
            <w:tcW w:w="356"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659" w:type="pct"/>
            <w:tcBorders>
              <w:tl2br w:val="nil"/>
              <w:tr2bl w:val="nil"/>
            </w:tcBorders>
            <w:noWrap/>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单位人员满意度</w:t>
            </w:r>
          </w:p>
        </w:tc>
        <w:tc>
          <w:tcPr>
            <w:tcW w:w="928" w:type="pct"/>
            <w:tcBorders>
              <w:tl2br w:val="nil"/>
              <w:tr2bl w:val="nil"/>
            </w:tcBorders>
            <w:noWrap/>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满意度大于等于95%为20分</w:t>
            </w:r>
          </w:p>
        </w:tc>
        <w:tc>
          <w:tcPr>
            <w:tcW w:w="1452" w:type="pct"/>
            <w:tcBorders>
              <w:tl2br w:val="nil"/>
              <w:tr2bl w:val="nil"/>
            </w:tcBorders>
            <w:noWrap/>
          </w:tcPr>
          <w:p>
            <w:pPr>
              <w:widowControl/>
              <w:jc w:val="left"/>
              <w:textAlignment w:val="top"/>
              <w:rPr>
                <w:rFonts w:ascii="仿宋" w:hAnsi="仿宋" w:eastAsia="仿宋" w:cs="Calibri"/>
                <w:color w:val="000000"/>
                <w:szCs w:val="21"/>
              </w:rPr>
            </w:pPr>
            <w:r>
              <w:rPr>
                <w:rFonts w:ascii="仿宋" w:hAnsi="仿宋" w:eastAsia="仿宋" w:cs="Calibri"/>
                <w:color w:val="000000"/>
                <w:kern w:val="0"/>
                <w:szCs w:val="21"/>
                <w:lang w:bidi="ar"/>
              </w:rPr>
              <w:t>单位人员对工资福利等发放工作的满意程度</w:t>
            </w:r>
          </w:p>
        </w:tc>
        <w:tc>
          <w:tcPr>
            <w:tcW w:w="174" w:type="pct"/>
            <w:tcBorders>
              <w:tl2br w:val="nil"/>
              <w:tr2bl w:val="nil"/>
            </w:tcBorders>
          </w:tcPr>
          <w:p>
            <w:pPr>
              <w:widowControl/>
              <w:jc w:val="center"/>
              <w:textAlignment w:val="top"/>
              <w:rPr>
                <w:rFonts w:ascii="仿宋" w:hAnsi="仿宋" w:eastAsia="仿宋" w:cs="Calibri"/>
                <w:color w:val="000000"/>
                <w:kern w:val="0"/>
                <w:szCs w:val="21"/>
                <w:lang w:bidi="ar"/>
              </w:rPr>
            </w:pPr>
            <w:r>
              <w:rPr>
                <w:rFonts w:hint="eastAsia" w:ascii="仿宋" w:hAnsi="仿宋" w:eastAsia="仿宋" w:cs="Calibri"/>
                <w:color w:val="000000"/>
                <w:kern w:val="0"/>
                <w:szCs w:val="21"/>
                <w:lang w:bidi="ar"/>
              </w:rPr>
              <w:t>≥</w:t>
            </w:r>
          </w:p>
          <w:p>
            <w:pPr>
              <w:widowControl/>
              <w:textAlignment w:val="top"/>
              <w:rPr>
                <w:rFonts w:ascii="仿宋" w:hAnsi="仿宋" w:eastAsia="仿宋" w:cs="Calibri"/>
                <w:color w:val="000000"/>
                <w:szCs w:val="21"/>
              </w:rPr>
            </w:pPr>
          </w:p>
        </w:tc>
        <w:tc>
          <w:tcPr>
            <w:tcW w:w="129" w:type="pct"/>
            <w:tcBorders>
              <w:tl2br w:val="nil"/>
              <w:tr2bl w:val="nil"/>
            </w:tcBorders>
            <w:vAlign w:val="center"/>
          </w:tcPr>
          <w:p>
            <w:pPr>
              <w:widowControl/>
              <w:adjustRightInd w:val="0"/>
              <w:snapToGrid w:val="0"/>
              <w:rPr>
                <w:rFonts w:ascii="仿宋" w:hAnsi="仿宋" w:eastAsia="仿宋"/>
                <w:szCs w:val="21"/>
              </w:rPr>
            </w:pPr>
            <w:r>
              <w:rPr>
                <w:rFonts w:hint="eastAsia" w:ascii="仿宋" w:hAnsi="仿宋" w:eastAsia="仿宋"/>
                <w:szCs w:val="21"/>
              </w:rPr>
              <w:t>95</w:t>
            </w:r>
          </w:p>
        </w:tc>
        <w:tc>
          <w:tcPr>
            <w:tcW w:w="384" w:type="pct"/>
            <w:tcBorders>
              <w:tl2br w:val="nil"/>
              <w:tr2bl w:val="nil"/>
            </w:tcBorders>
            <w:vAlign w:val="center"/>
          </w:tcPr>
          <w:p>
            <w:pPr>
              <w:widowControl/>
              <w:adjustRightInd w:val="0"/>
              <w:snapToGrid w:val="0"/>
              <w:rPr>
                <w:rFonts w:ascii="仿宋" w:hAnsi="仿宋" w:eastAsia="仿宋"/>
                <w:szCs w:val="21"/>
              </w:rPr>
            </w:pPr>
            <w:r>
              <w:rPr>
                <w:rFonts w:hint="eastAsia" w:ascii="仿宋" w:hAnsi="仿宋" w:eastAsia="仿宋"/>
                <w:szCs w:val="21"/>
              </w:rPr>
              <w:t>%</w:t>
            </w:r>
          </w:p>
        </w:tc>
        <w:tc>
          <w:tcPr>
            <w:tcW w:w="714" w:type="pct"/>
            <w:tcBorders>
              <w:tl2br w:val="nil"/>
              <w:tr2bl w:val="nil"/>
            </w:tcBorders>
            <w:vAlign w:val="center"/>
          </w:tcPr>
          <w:p>
            <w:pPr>
              <w:widowControl/>
              <w:adjustRightInd w:val="0"/>
              <w:snapToGrid w:val="0"/>
              <w:rPr>
                <w:rFonts w:ascii="仿宋" w:hAnsi="仿宋" w:eastAsia="仿宋"/>
                <w:szCs w:val="21"/>
              </w:rPr>
            </w:pPr>
            <w:r>
              <w:rPr>
                <w:rFonts w:hint="eastAsia" w:ascii="仿宋" w:hAnsi="仿宋" w:eastAsia="仿宋"/>
                <w:szCs w:val="21"/>
              </w:rPr>
              <w:t>问询</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autoSpaceDE w:val="0"/>
        <w:autoSpaceDN w:val="0"/>
        <w:adjustRightInd w:val="0"/>
        <w:spacing w:line="584" w:lineRule="exact"/>
        <w:ind w:firstLine="640" w:firstLineChars="20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p>
    <w:p>
      <w:pPr>
        <w:autoSpaceDE w:val="0"/>
        <w:autoSpaceDN w:val="0"/>
        <w:adjustRightInd w:val="0"/>
        <w:spacing w:line="584" w:lineRule="exact"/>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0"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bookmarkStart w:id="1" w:name="_Hlk97924873"/>
      <w:r>
        <w:rPr>
          <w:rFonts w:ascii="Times New Roman" w:hAnsi="Times New Roman" w:eastAsia="仿宋_GB2312" w:cs="Times New Roman"/>
          <w:sz w:val="32"/>
          <w:szCs w:val="24"/>
        </w:rPr>
        <w:t>具体内容见下表。</w:t>
      </w:r>
      <w:bookmarkEnd w:id="1"/>
    </w:p>
    <w:bookmarkEnd w:id="0"/>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jc w:val="left"/>
        <w:outlineLvl w:val="1"/>
        <w:rPr>
          <w:rFonts w:ascii="方正小标宋_GBK" w:eastAsia="方正小标宋_GBK" w:cs="Times New Roman"/>
          <w:sz w:val="32"/>
        </w:rPr>
      </w:pPr>
      <w:r>
        <w:rPr>
          <w:rFonts w:hint="eastAsia"/>
        </w:rPr>
        <w:t>[</w:t>
      </w:r>
      <w:r>
        <w:t>181001]廊坊市</w:t>
      </w:r>
      <w:r>
        <w:rPr>
          <w:rFonts w:hint="eastAsia"/>
        </w:rPr>
        <w:t>广阳区新世纪步行街服务中心</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3"/>
        <w:gridCol w:w="1043"/>
        <w:gridCol w:w="1043"/>
        <w:gridCol w:w="652"/>
        <w:gridCol w:w="782"/>
        <w:gridCol w:w="782"/>
        <w:gridCol w:w="887"/>
        <w:gridCol w:w="887"/>
        <w:gridCol w:w="887"/>
        <w:gridCol w:w="887"/>
        <w:gridCol w:w="887"/>
        <w:gridCol w:w="888"/>
        <w:gridCol w:w="888"/>
        <w:gridCol w:w="888"/>
        <w:gridCol w:w="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671"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政府采购金额（当年部门预算安排资金）</w:t>
            </w:r>
          </w:p>
        </w:tc>
        <w:tc>
          <w:tcPr>
            <w:tcW w:w="308"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356" w:type="pct"/>
            <w:vAlign w:val="center"/>
          </w:tcPr>
          <w:p>
            <w:pPr>
              <w:pStyle w:val="12"/>
            </w:pPr>
            <w:r>
              <w:t>项目名称</w:t>
            </w:r>
          </w:p>
        </w:tc>
        <w:tc>
          <w:tcPr>
            <w:tcW w:w="314"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8"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vAlign w:val="center"/>
          </w:tcPr>
          <w:p>
            <w:pPr>
              <w:pStyle w:val="16"/>
            </w:pPr>
            <w:r>
              <w:t>合  计</w:t>
            </w:r>
          </w:p>
        </w:tc>
        <w:tc>
          <w:tcPr>
            <w:tcW w:w="314" w:type="pct"/>
            <w:vAlign w:val="center"/>
          </w:tcPr>
          <w:p>
            <w:pPr>
              <w:pStyle w:val="17"/>
              <w:rPr>
                <w:lang w:eastAsia="zh-CN"/>
              </w:rPr>
            </w:pPr>
            <w:r>
              <w:rPr>
                <w:rFonts w:hint="eastAsia"/>
                <w:lang w:eastAsia="zh-CN"/>
              </w:rPr>
              <w:t>0</w:t>
            </w: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8"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356" w:type="pct"/>
            <w:vAlign w:val="center"/>
          </w:tcPr>
          <w:p>
            <w:pPr>
              <w:pStyle w:val="16"/>
            </w:pPr>
          </w:p>
        </w:tc>
        <w:tc>
          <w:tcPr>
            <w:tcW w:w="314"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8"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广阳区新世纪步行街服务中心</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32.48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广阳区新世纪步行街服务中心</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广阳区新世纪步行街服务中心</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32.48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tabs>
                <w:tab w:val="left" w:pos="702"/>
              </w:tabs>
              <w:spacing w:line="584" w:lineRule="exact"/>
              <w:jc w:val="left"/>
              <w:rPr>
                <w:rFonts w:ascii="Times New Roman" w:hAnsi="Times New Roman" w:eastAsia="仿宋_GB2312" w:cs="Times New Roman"/>
                <w:sz w:val="22"/>
              </w:rPr>
            </w:pPr>
            <w:r>
              <w:rPr>
                <w:rFonts w:hint="eastAsia" w:ascii="Times New Roman" w:hAnsi="Times New Roman" w:eastAsia="仿宋_GB2312" w:cs="Times New Roman"/>
                <w:sz w:val="22"/>
              </w:rPr>
              <w:tab/>
            </w:r>
            <w:r>
              <w:rPr>
                <w:rFonts w:hint="eastAsia" w:ascii="Times New Roman" w:hAnsi="Times New Roman" w:eastAsia="仿宋_GB2312" w:cs="Times New Roman"/>
                <w:sz w:val="22"/>
              </w:rPr>
              <w:t>204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32.48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B61A8C"/>
    <w:multiLevelType w:val="singleLevel"/>
    <w:tmpl w:val="9BB61A8C"/>
    <w:lvl w:ilvl="0" w:tentative="0">
      <w:start w:val="1"/>
      <w:numFmt w:val="japaneseCounting"/>
      <w:suff w:val="nothing"/>
      <w:lvlText w:val="（%1）"/>
      <w:lvlJc w:val="left"/>
      <w:rPr>
        <w:rFonts w:ascii="Times New Roman" w:hAnsi="Times New Roman" w:eastAsia="楷体_GB2312" w:cs="Times New Roman"/>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2A5CE1"/>
    <w:rsid w:val="003059E0"/>
    <w:rsid w:val="00472038"/>
    <w:rsid w:val="004A54AA"/>
    <w:rsid w:val="004C353D"/>
    <w:rsid w:val="005C6F7B"/>
    <w:rsid w:val="007C31D9"/>
    <w:rsid w:val="00822933"/>
    <w:rsid w:val="00944233"/>
    <w:rsid w:val="009618DA"/>
    <w:rsid w:val="00B40732"/>
    <w:rsid w:val="00B80935"/>
    <w:rsid w:val="00BD14C4"/>
    <w:rsid w:val="00BE71F1"/>
    <w:rsid w:val="00C8415F"/>
    <w:rsid w:val="00D347CC"/>
    <w:rsid w:val="00DC72B4"/>
    <w:rsid w:val="00DE206C"/>
    <w:rsid w:val="00DE4CF2"/>
    <w:rsid w:val="00E063FE"/>
    <w:rsid w:val="00F509EB"/>
    <w:rsid w:val="05B9580E"/>
    <w:rsid w:val="0CEC1180"/>
    <w:rsid w:val="3B2B32AF"/>
    <w:rsid w:val="73693C55"/>
    <w:rsid w:val="7D1F314E"/>
    <w:rsid w:val="7D320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 w:type="paragraph" w:styleId="2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607</Words>
  <Characters>3461</Characters>
  <Lines>28</Lines>
  <Paragraphs>8</Paragraphs>
  <TotalTime>4</TotalTime>
  <ScaleCrop>false</ScaleCrop>
  <LinksUpToDate>false</LinksUpToDate>
  <CharactersWithSpaces>4060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2022-07-07T03:35:44Z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EAB777D6F2B44DB7A64D705DA159D1B7</vt:lpwstr>
  </property>
</Properties>
</file>