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广阳区行政审批局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广阳区行政审批局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pStyle w:val="19"/>
        <w:rPr>
          <w:rFonts w:ascii="仿宋" w:hAnsi="仿宋" w:eastAsia="仿宋" w:cs="仿宋"/>
          <w:sz w:val="32"/>
          <w:szCs w:val="32"/>
          <w:lang w:eastAsia="zh-CN"/>
        </w:rPr>
      </w:pPr>
      <w:r>
        <w:rPr>
          <w:sz w:val="20"/>
          <w:lang w:eastAsia="zh-CN"/>
        </w:rPr>
        <w:t xml:space="preserve">     </w:t>
      </w:r>
      <w:r>
        <w:rPr>
          <w:rFonts w:hint="eastAsia" w:ascii="仿宋" w:hAnsi="仿宋" w:eastAsia="仿宋" w:cs="仿宋"/>
          <w:sz w:val="32"/>
          <w:szCs w:val="32"/>
          <w:lang w:eastAsia="zh-CN"/>
        </w:rPr>
        <w:t>1、贯彻执行党中央、国务院、省委省政府、市委市政府和区委区政府“放管服”改革、行政审批制度改革、政务服务管理、公共资源交易市场管理有关方针政策和法律法规。拟定有关政策，协调指导并监督实施。</w:t>
      </w:r>
    </w:p>
    <w:p>
      <w:pPr>
        <w:pStyle w:val="19"/>
        <w:rPr>
          <w:rFonts w:ascii="仿宋" w:hAnsi="仿宋" w:eastAsia="仿宋" w:cs="仿宋"/>
          <w:sz w:val="32"/>
          <w:szCs w:val="32"/>
          <w:lang w:eastAsia="zh-CN"/>
        </w:rPr>
      </w:pPr>
      <w:r>
        <w:rPr>
          <w:rFonts w:hint="eastAsia" w:ascii="仿宋" w:hAnsi="仿宋" w:eastAsia="仿宋" w:cs="仿宋"/>
          <w:sz w:val="32"/>
          <w:szCs w:val="32"/>
          <w:lang w:eastAsia="zh-CN"/>
        </w:rPr>
        <w:t xml:space="preserve">  2、组织协调全区“放管服”改革工作。指导、督促贯彻落实党中央、国务院、省委省政府、市委市政府和区委区政府有关“放管服”改革重要领域、关键环节重大措施，承担区推进政府职能转变和“放管服”改革协调小组的日常工作。</w:t>
      </w:r>
    </w:p>
    <w:p>
      <w:pPr>
        <w:pStyle w:val="19"/>
        <w:rPr>
          <w:rFonts w:ascii="仿宋" w:hAnsi="仿宋" w:eastAsia="仿宋" w:cs="仿宋"/>
          <w:sz w:val="32"/>
          <w:szCs w:val="32"/>
          <w:lang w:eastAsia="zh-CN"/>
        </w:rPr>
      </w:pPr>
      <w:r>
        <w:rPr>
          <w:rFonts w:hint="eastAsia" w:ascii="仿宋" w:hAnsi="仿宋" w:eastAsia="仿宋" w:cs="仿宋"/>
          <w:sz w:val="32"/>
          <w:szCs w:val="32"/>
          <w:lang w:eastAsia="zh-CN"/>
        </w:rPr>
        <w:t xml:space="preserve">  3、指导协调全区行政审批制度改革工作。建立健全行政审批管理体系；推进简政放权，清理和规范各类行政许可等管理事项；协调推进行政审批标准化工作；承担区行政审批制度改革工作领导小组的日常工作。</w:t>
      </w:r>
    </w:p>
    <w:p>
      <w:pPr>
        <w:pStyle w:val="19"/>
        <w:rPr>
          <w:rFonts w:ascii="仿宋" w:hAnsi="仿宋" w:eastAsia="仿宋" w:cs="仿宋"/>
          <w:sz w:val="32"/>
          <w:szCs w:val="32"/>
          <w:lang w:eastAsia="zh-CN"/>
        </w:rPr>
      </w:pPr>
      <w:r>
        <w:rPr>
          <w:rFonts w:hint="eastAsia" w:ascii="仿宋" w:hAnsi="仿宋" w:eastAsia="仿宋" w:cs="仿宋"/>
          <w:sz w:val="32"/>
          <w:szCs w:val="32"/>
          <w:lang w:eastAsia="zh-CN"/>
        </w:rPr>
        <w:t xml:space="preserve">  4、负责办理划转至区行政审批局的行政审批事项，并对审批行为承担相应的法律责任；负责对划入的行政审批事项进行流程再造和环节优化；负责与监督部门的联系沟通，建立健全审批与监管的有效衔接机制。</w:t>
      </w:r>
    </w:p>
    <w:p>
      <w:pPr>
        <w:pStyle w:val="19"/>
        <w:rPr>
          <w:rFonts w:ascii="仿宋" w:hAnsi="仿宋" w:eastAsia="仿宋" w:cs="仿宋"/>
          <w:sz w:val="32"/>
          <w:szCs w:val="32"/>
          <w:lang w:eastAsia="zh-CN"/>
        </w:rPr>
      </w:pPr>
      <w:r>
        <w:rPr>
          <w:rFonts w:hint="eastAsia" w:ascii="仿宋" w:hAnsi="仿宋" w:eastAsia="仿宋" w:cs="仿宋"/>
          <w:sz w:val="32"/>
          <w:szCs w:val="32"/>
          <w:lang w:eastAsia="zh-CN"/>
        </w:rPr>
        <w:t xml:space="preserve">  5、指导协调全区政务服务管理工作。负责优化政务服务供给，降低制度性交易成本，提升政务服务效能；负责推进审批服务便民化；指导协调区有关部门为公民、法人或其他组织提供规范、高效、优质的政务服务。</w:t>
      </w:r>
    </w:p>
    <w:p>
      <w:pPr>
        <w:pStyle w:val="19"/>
        <w:rPr>
          <w:rFonts w:ascii="仿宋" w:hAnsi="仿宋" w:eastAsia="仿宋" w:cs="仿宋"/>
          <w:sz w:val="32"/>
          <w:szCs w:val="32"/>
          <w:lang w:eastAsia="zh-CN"/>
        </w:rPr>
      </w:pPr>
      <w:r>
        <w:rPr>
          <w:rFonts w:hint="eastAsia" w:ascii="仿宋" w:hAnsi="仿宋" w:eastAsia="仿宋" w:cs="仿宋"/>
          <w:sz w:val="32"/>
          <w:szCs w:val="32"/>
          <w:lang w:eastAsia="zh-CN"/>
        </w:rPr>
        <w:t xml:space="preserve">  6、负责综合协调和监督管理区级各部门行政审批事项和公共服务事项的集中统一办理；推进重点项目审批服务的综合协调和督办；组织相关部门开展审批服务事项的联合办理和联审会办；研究推进并联审服务工作。</w:t>
      </w:r>
    </w:p>
    <w:p>
      <w:pPr>
        <w:pStyle w:val="19"/>
        <w:rPr>
          <w:rFonts w:ascii="仿宋" w:hAnsi="仿宋" w:eastAsia="仿宋" w:cs="仿宋"/>
          <w:sz w:val="32"/>
          <w:szCs w:val="32"/>
          <w:lang w:eastAsia="zh-CN"/>
        </w:rPr>
      </w:pPr>
      <w:r>
        <w:rPr>
          <w:rFonts w:hint="eastAsia" w:ascii="仿宋" w:hAnsi="仿宋" w:eastAsia="仿宋" w:cs="仿宋"/>
          <w:sz w:val="32"/>
          <w:szCs w:val="32"/>
          <w:lang w:eastAsia="zh-CN"/>
        </w:rPr>
        <w:t xml:space="preserve">  7、协调指导全区公共资源交易市场工作。拟定全区公共资源交易市场管理制度和规则；编制全区公共资源交易目录；负责管理和利用统一的公共资源交易电子服务系统；负责推进全区公共资源交易领域信用体系建设；依据公共资源交易平台管理细则和办法等相关规定，履行管理和服务的职责；依法协调祥光部门开展区本级公共资源交易活动的联动执法工作。</w:t>
      </w:r>
    </w:p>
    <w:p>
      <w:pPr>
        <w:pStyle w:val="19"/>
        <w:rPr>
          <w:rFonts w:ascii="仿宋" w:hAnsi="仿宋" w:eastAsia="仿宋" w:cs="仿宋"/>
          <w:sz w:val="32"/>
          <w:szCs w:val="32"/>
          <w:lang w:eastAsia="zh-CN"/>
        </w:rPr>
      </w:pPr>
      <w:r>
        <w:rPr>
          <w:rFonts w:hint="eastAsia" w:ascii="仿宋" w:hAnsi="仿宋" w:eastAsia="仿宋" w:cs="仿宋"/>
          <w:sz w:val="32"/>
          <w:szCs w:val="32"/>
          <w:lang w:eastAsia="zh-CN"/>
        </w:rPr>
        <w:t xml:space="preserve">  8、统筹推进全区“互联网+政务服务”工作，构建全区一体化政务服务平台。推行政务服务事项网上办理，形成管理机构、实体大厅、网上平台“三位一体”的管理模式；推进全区电子证照库建设‘推进全区政务服务平台规范化、标准化、集约化建设和互联互通、数据共享。</w:t>
      </w:r>
    </w:p>
    <w:p>
      <w:pPr>
        <w:pStyle w:val="19"/>
        <w:rPr>
          <w:rFonts w:ascii="仿宋" w:hAnsi="仿宋" w:eastAsia="仿宋" w:cs="仿宋"/>
          <w:sz w:val="32"/>
          <w:szCs w:val="32"/>
          <w:lang w:eastAsia="zh-CN"/>
        </w:rPr>
      </w:pPr>
      <w:r>
        <w:rPr>
          <w:rFonts w:hint="eastAsia" w:ascii="仿宋" w:hAnsi="仿宋" w:eastAsia="仿宋" w:cs="仿宋"/>
          <w:sz w:val="32"/>
          <w:szCs w:val="32"/>
          <w:lang w:eastAsia="zh-CN"/>
        </w:rPr>
        <w:t xml:space="preserve">  9、建立健全全区行政审批服务、政务服务效能可量化的考核评价制度；对进驻政务服务大厅的部门进行综合考评，对进驻事项的办理情况、办理效能，以及办事人员的服务质量等进行监督；负责对垂管部门和有关单位派驻窗口的规范、管理和监督；负责受理对本单位及派驻单位行政审批行为的投诉举报，会同有关部门查处行政审批方面的违纪违规行为。</w:t>
      </w:r>
    </w:p>
    <w:p>
      <w:pPr>
        <w:pStyle w:val="19"/>
        <w:rPr>
          <w:rFonts w:ascii="仿宋" w:hAnsi="仿宋" w:eastAsia="仿宋" w:cs="仿宋"/>
          <w:sz w:val="32"/>
          <w:szCs w:val="32"/>
          <w:lang w:eastAsia="zh-CN"/>
        </w:rPr>
      </w:pPr>
      <w:r>
        <w:rPr>
          <w:rFonts w:hint="eastAsia" w:ascii="仿宋" w:hAnsi="仿宋" w:eastAsia="仿宋" w:cs="仿宋"/>
          <w:sz w:val="32"/>
          <w:szCs w:val="32"/>
          <w:lang w:eastAsia="zh-CN"/>
        </w:rPr>
        <w:t xml:space="preserve">  10、不断优化行政审批、政务服务管理模式。指导和监督政务服务中心和公共资源交易规范化建设；协调市行政审批局与区有关部门，建立完善市县审批服务联动工作机制；指导全区政务服务大厅建设。</w:t>
      </w:r>
    </w:p>
    <w:p>
      <w:pPr>
        <w:pStyle w:val="19"/>
        <w:ind w:firstLine="320" w:firstLineChars="100"/>
        <w:rPr>
          <w:rFonts w:ascii="仿宋" w:hAnsi="仿宋" w:eastAsia="仿宋" w:cs="仿宋"/>
          <w:sz w:val="32"/>
          <w:szCs w:val="32"/>
          <w:lang w:eastAsia="zh-CN"/>
        </w:rPr>
      </w:pPr>
      <w:r>
        <w:rPr>
          <w:rFonts w:hint="eastAsia" w:ascii="仿宋" w:hAnsi="仿宋" w:eastAsia="仿宋" w:cs="仿宋"/>
          <w:sz w:val="32"/>
          <w:szCs w:val="32"/>
          <w:lang w:eastAsia="zh-CN"/>
        </w:rPr>
        <w:t>11、完成区委、区政府交办的其他任务</w:t>
      </w:r>
    </w:p>
    <w:p>
      <w:pPr>
        <w:pStyle w:val="19"/>
        <w:rPr>
          <w:rFonts w:ascii="仿宋" w:hAnsi="仿宋" w:eastAsia="仿宋" w:cs="仿宋"/>
          <w:sz w:val="32"/>
          <w:szCs w:val="32"/>
          <w:lang w:eastAsia="zh-CN"/>
        </w:rPr>
      </w:pPr>
    </w:p>
    <w:p>
      <w:pPr>
        <w:autoSpaceDE w:val="0"/>
        <w:autoSpaceDN w:val="0"/>
        <w:adjustRightInd w:val="0"/>
        <w:spacing w:line="584" w:lineRule="exact"/>
        <w:ind w:firstLine="630" w:firstLineChars="196"/>
        <w:jc w:val="left"/>
        <w:rPr>
          <w:rFonts w:ascii="仿宋" w:hAnsi="仿宋" w:eastAsia="仿宋" w:cs="仿宋"/>
          <w:b/>
          <w:sz w:val="32"/>
          <w:szCs w:val="32"/>
        </w:rPr>
      </w:pPr>
      <w:r>
        <w:rPr>
          <w:rFonts w:hint="eastAsia" w:ascii="仿宋" w:hAnsi="仿宋" w:eastAsia="仿宋" w:cs="仿宋"/>
          <w:b/>
          <w:sz w:val="32"/>
          <w:szCs w:val="32"/>
        </w:rPr>
        <w:t>机构设置：</w:t>
      </w:r>
    </w:p>
    <w:p>
      <w:pPr>
        <w:spacing w:line="584" w:lineRule="exact"/>
        <w:jc w:val="center"/>
        <w:outlineLvl w:val="0"/>
        <w:rPr>
          <w:rFonts w:ascii="仿宋" w:hAnsi="仿宋" w:eastAsia="仿宋" w:cs="仿宋"/>
          <w:b/>
          <w:sz w:val="32"/>
          <w:szCs w:val="32"/>
        </w:rPr>
      </w:pPr>
      <w:r>
        <w:rPr>
          <w:rFonts w:hint="eastAsia" w:ascii="仿宋" w:hAnsi="仿宋" w:eastAsia="仿宋" w:cs="仿宋"/>
          <w:b/>
          <w:sz w:val="32"/>
          <w:szCs w:val="32"/>
        </w:rPr>
        <w:t>部门机构设置情况</w:t>
      </w:r>
    </w:p>
    <w:tbl>
      <w:tblPr>
        <w:tblStyle w:val="8"/>
        <w:tblW w:w="118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78"/>
        <w:gridCol w:w="1843"/>
        <w:gridCol w:w="1782"/>
        <w:gridCol w:w="37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78" w:type="dxa"/>
            <w:vMerge w:val="restart"/>
            <w:shd w:val="clear" w:color="auto" w:fill="auto"/>
            <w:vAlign w:val="center"/>
          </w:tcPr>
          <w:p>
            <w:pPr>
              <w:spacing w:line="584" w:lineRule="exact"/>
              <w:jc w:val="center"/>
              <w:rPr>
                <w:rFonts w:ascii="仿宋" w:hAnsi="仿宋" w:eastAsia="仿宋" w:cs="仿宋"/>
                <w:b/>
                <w:sz w:val="32"/>
                <w:szCs w:val="32"/>
              </w:rPr>
            </w:pPr>
            <w:r>
              <w:rPr>
                <w:rFonts w:hint="eastAsia" w:ascii="仿宋" w:hAnsi="仿宋" w:eastAsia="仿宋" w:cs="仿宋"/>
                <w:b/>
                <w:sz w:val="32"/>
                <w:szCs w:val="32"/>
              </w:rPr>
              <w:t>单位名称</w:t>
            </w:r>
          </w:p>
        </w:tc>
        <w:tc>
          <w:tcPr>
            <w:tcW w:w="1843" w:type="dxa"/>
            <w:vMerge w:val="restart"/>
            <w:shd w:val="clear" w:color="auto" w:fill="auto"/>
            <w:vAlign w:val="center"/>
          </w:tcPr>
          <w:p>
            <w:pPr>
              <w:spacing w:line="584" w:lineRule="exact"/>
              <w:jc w:val="center"/>
              <w:rPr>
                <w:rFonts w:ascii="仿宋" w:hAnsi="仿宋" w:eastAsia="仿宋" w:cs="仿宋"/>
                <w:b/>
                <w:sz w:val="32"/>
                <w:szCs w:val="32"/>
              </w:rPr>
            </w:pPr>
            <w:r>
              <w:rPr>
                <w:rFonts w:hint="eastAsia" w:ascii="仿宋" w:hAnsi="仿宋" w:eastAsia="仿宋" w:cs="仿宋"/>
                <w:b/>
                <w:sz w:val="32"/>
                <w:szCs w:val="32"/>
              </w:rPr>
              <w:t>单位性质</w:t>
            </w:r>
          </w:p>
        </w:tc>
        <w:tc>
          <w:tcPr>
            <w:tcW w:w="1782" w:type="dxa"/>
            <w:vMerge w:val="restart"/>
            <w:shd w:val="clear" w:color="auto" w:fill="auto"/>
            <w:vAlign w:val="center"/>
          </w:tcPr>
          <w:p>
            <w:pPr>
              <w:spacing w:line="584" w:lineRule="exact"/>
              <w:jc w:val="center"/>
              <w:rPr>
                <w:rFonts w:ascii="仿宋" w:hAnsi="仿宋" w:eastAsia="仿宋" w:cs="仿宋"/>
                <w:b/>
                <w:sz w:val="32"/>
                <w:szCs w:val="32"/>
              </w:rPr>
            </w:pPr>
            <w:r>
              <w:rPr>
                <w:rFonts w:hint="eastAsia" w:ascii="仿宋" w:hAnsi="仿宋" w:eastAsia="仿宋" w:cs="仿宋"/>
                <w:b/>
                <w:sz w:val="32"/>
                <w:szCs w:val="32"/>
              </w:rPr>
              <w:t>单位规格</w:t>
            </w:r>
          </w:p>
        </w:tc>
        <w:tc>
          <w:tcPr>
            <w:tcW w:w="3746" w:type="dxa"/>
            <w:vMerge w:val="restart"/>
            <w:shd w:val="clear" w:color="auto" w:fill="auto"/>
            <w:vAlign w:val="center"/>
          </w:tcPr>
          <w:p>
            <w:pPr>
              <w:spacing w:line="584" w:lineRule="exact"/>
              <w:jc w:val="center"/>
              <w:rPr>
                <w:rFonts w:ascii="仿宋" w:hAnsi="仿宋" w:eastAsia="仿宋" w:cs="仿宋"/>
                <w:b/>
                <w:sz w:val="32"/>
                <w:szCs w:val="32"/>
              </w:rPr>
            </w:pPr>
            <w:r>
              <w:rPr>
                <w:rFonts w:hint="eastAsia" w:ascii="仿宋" w:hAnsi="仿宋" w:eastAsia="仿宋" w:cs="仿宋"/>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blHeader/>
          <w:jc w:val="center"/>
        </w:trPr>
        <w:tc>
          <w:tcPr>
            <w:tcW w:w="4478" w:type="dxa"/>
            <w:vMerge w:val="continue"/>
            <w:shd w:val="clear" w:color="auto" w:fill="auto"/>
            <w:vAlign w:val="center"/>
          </w:tcPr>
          <w:p>
            <w:pPr>
              <w:rPr>
                <w:rFonts w:ascii="仿宋" w:hAnsi="仿宋" w:eastAsia="仿宋" w:cs="仿宋"/>
                <w:sz w:val="32"/>
                <w:szCs w:val="32"/>
              </w:rPr>
            </w:pPr>
          </w:p>
        </w:tc>
        <w:tc>
          <w:tcPr>
            <w:tcW w:w="1843" w:type="dxa"/>
            <w:vMerge w:val="continue"/>
            <w:shd w:val="clear" w:color="auto" w:fill="auto"/>
            <w:vAlign w:val="center"/>
          </w:tcPr>
          <w:p>
            <w:pPr>
              <w:rPr>
                <w:rFonts w:ascii="仿宋" w:hAnsi="仿宋" w:eastAsia="仿宋" w:cs="仿宋"/>
                <w:sz w:val="32"/>
                <w:szCs w:val="32"/>
              </w:rPr>
            </w:pPr>
          </w:p>
        </w:tc>
        <w:tc>
          <w:tcPr>
            <w:tcW w:w="1782" w:type="dxa"/>
            <w:vMerge w:val="continue"/>
            <w:shd w:val="clear" w:color="auto" w:fill="auto"/>
            <w:vAlign w:val="center"/>
          </w:tcPr>
          <w:p>
            <w:pPr>
              <w:rPr>
                <w:rFonts w:ascii="仿宋" w:hAnsi="仿宋" w:eastAsia="仿宋" w:cs="仿宋"/>
                <w:sz w:val="32"/>
                <w:szCs w:val="32"/>
              </w:rPr>
            </w:pPr>
          </w:p>
        </w:tc>
        <w:tc>
          <w:tcPr>
            <w:tcW w:w="3746" w:type="dxa"/>
            <w:vMerge w:val="continue"/>
            <w:shd w:val="clear" w:color="auto" w:fill="auto"/>
            <w:vAlign w:val="center"/>
          </w:tcPr>
          <w:p>
            <w:pPr>
              <w:rPr>
                <w:rFonts w:ascii="仿宋" w:hAnsi="仿宋" w:eastAsia="仿宋" w:cs="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78" w:type="dxa"/>
            <w:shd w:val="clear" w:color="auto" w:fill="auto"/>
            <w:vAlign w:val="center"/>
          </w:tcPr>
          <w:p>
            <w:pPr>
              <w:spacing w:line="584" w:lineRule="exact"/>
              <w:jc w:val="center"/>
              <w:rPr>
                <w:rFonts w:ascii="仿宋" w:hAnsi="仿宋" w:eastAsia="仿宋" w:cs="仿宋"/>
                <w:b/>
                <w:sz w:val="32"/>
                <w:szCs w:val="32"/>
              </w:rPr>
            </w:pPr>
            <w:r>
              <w:rPr>
                <w:rFonts w:hint="eastAsia" w:ascii="仿宋" w:hAnsi="仿宋" w:eastAsia="仿宋" w:cs="仿宋"/>
                <w:b/>
                <w:sz w:val="32"/>
                <w:szCs w:val="32"/>
              </w:rPr>
              <w:t>廊坊市广阳区行政审批局</w:t>
            </w:r>
          </w:p>
        </w:tc>
        <w:tc>
          <w:tcPr>
            <w:tcW w:w="1843" w:type="dxa"/>
            <w:shd w:val="clear" w:color="auto" w:fill="auto"/>
            <w:vAlign w:val="center"/>
          </w:tcPr>
          <w:p>
            <w:pPr>
              <w:spacing w:line="584" w:lineRule="exact"/>
              <w:jc w:val="center"/>
              <w:rPr>
                <w:rFonts w:ascii="仿宋" w:hAnsi="仿宋" w:eastAsia="仿宋" w:cs="仿宋"/>
                <w:b/>
                <w:sz w:val="32"/>
                <w:szCs w:val="32"/>
              </w:rPr>
            </w:pPr>
            <w:r>
              <w:rPr>
                <w:rFonts w:hint="eastAsia" w:ascii="仿宋" w:hAnsi="仿宋" w:eastAsia="仿宋" w:cs="仿宋"/>
                <w:b/>
                <w:sz w:val="32"/>
                <w:szCs w:val="32"/>
              </w:rPr>
              <w:t>机关</w:t>
            </w:r>
          </w:p>
        </w:tc>
        <w:tc>
          <w:tcPr>
            <w:tcW w:w="1782" w:type="dxa"/>
            <w:shd w:val="clear" w:color="auto" w:fill="auto"/>
            <w:vAlign w:val="center"/>
          </w:tcPr>
          <w:p>
            <w:pPr>
              <w:spacing w:line="584" w:lineRule="exact"/>
              <w:jc w:val="center"/>
              <w:rPr>
                <w:rFonts w:ascii="仿宋" w:hAnsi="仿宋" w:eastAsia="仿宋" w:cs="仿宋"/>
                <w:b/>
                <w:sz w:val="32"/>
                <w:szCs w:val="32"/>
              </w:rPr>
            </w:pPr>
            <w:r>
              <w:rPr>
                <w:rFonts w:hint="eastAsia" w:ascii="仿宋" w:hAnsi="仿宋" w:eastAsia="仿宋" w:cs="仿宋"/>
                <w:b/>
                <w:sz w:val="32"/>
                <w:szCs w:val="32"/>
              </w:rPr>
              <w:t>正科级</w:t>
            </w:r>
          </w:p>
        </w:tc>
        <w:tc>
          <w:tcPr>
            <w:tcW w:w="3746" w:type="dxa"/>
            <w:shd w:val="clear" w:color="auto" w:fill="auto"/>
            <w:vAlign w:val="center"/>
          </w:tcPr>
          <w:p>
            <w:pPr>
              <w:spacing w:line="584" w:lineRule="exact"/>
              <w:jc w:val="center"/>
              <w:rPr>
                <w:rFonts w:ascii="仿宋" w:hAnsi="仿宋" w:eastAsia="仿宋" w:cs="仿宋"/>
                <w:b/>
                <w:sz w:val="32"/>
                <w:szCs w:val="32"/>
              </w:rPr>
            </w:pPr>
            <w:r>
              <w:rPr>
                <w:rFonts w:hint="eastAsia" w:ascii="仿宋" w:hAnsi="仿宋" w:eastAsia="仿宋" w:cs="仿宋"/>
                <w:b/>
                <w:sz w:val="32"/>
                <w:szCs w:val="32"/>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广阳区行政审批局</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739.85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739.85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ascii="Times New Roman" w:hAnsi="Times New Roman" w:eastAsia="仿宋_GB2312" w:cs="Times New Roman"/>
          <w:color w:val="000000" w:themeColor="text1"/>
          <w:sz w:val="32"/>
          <w:szCs w:val="32"/>
          <w14:textFill>
            <w14:solidFill>
              <w14:schemeClr w14:val="tx1"/>
            </w14:solidFill>
          </w14:textFill>
        </w:rPr>
        <w:t>0</w:t>
      </w:r>
      <w:r>
        <w:rPr>
          <w:rFonts w:hint="eastAsia"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广阳区行政审批局2022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739.85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608.1</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481.44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126.66</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131.75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739.85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减少38.49</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58.05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w:t>
      </w:r>
      <w:r>
        <w:rPr>
          <w:rFonts w:ascii="Times New Roman" w:hAnsi="Times New Roman" w:eastAsia="仿宋_GB2312" w:cs="Times New Roman"/>
          <w:color w:val="000000" w:themeColor="text1"/>
          <w:sz w:val="32"/>
          <w:szCs w:val="32"/>
          <w14:textFill>
            <w14:solidFill>
              <w14:schemeClr w14:val="tx1"/>
            </w14:solidFill>
          </w14:textFill>
        </w:rPr>
        <w:t>减少</w:t>
      </w:r>
      <w:r>
        <w:rPr>
          <w:rFonts w:hint="eastAsia" w:ascii="Times New Roman" w:hAnsi="Times New Roman" w:eastAsia="仿宋_GB2312" w:cs="Times New Roman"/>
          <w:color w:val="000000" w:themeColor="text1"/>
          <w:sz w:val="32"/>
          <w:szCs w:val="32"/>
          <w14:textFill>
            <w14:solidFill>
              <w14:schemeClr w14:val="tx1"/>
            </w14:solidFill>
          </w14:textFill>
        </w:rPr>
        <w:t>96.54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政务中心运行经费、国防动员指挥培训基地物业服务经费</w:t>
      </w:r>
      <w:r>
        <w:rPr>
          <w:rFonts w:ascii="Times New Roman" w:hAnsi="Times New Roman" w:eastAsia="仿宋_GB2312" w:cs="Times New Roman"/>
          <w:sz w:val="32"/>
          <w:szCs w:val="32"/>
        </w:rPr>
        <w:t>等项目支出。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126.66</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廊坊市广阳区行政审批局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947" w:firstLineChars="2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spacing w:line="584" w:lineRule="exact"/>
        <w:ind w:firstLine="960" w:firstLineChars="3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0"/>
        <w:rPr>
          <w:rFonts w:eastAsia="仿宋_GB2312"/>
          <w:sz w:val="32"/>
          <w:szCs w:val="32"/>
        </w:rPr>
      </w:pPr>
      <w:r>
        <w:rPr>
          <w:rFonts w:ascii="仿宋" w:hAnsi="仿宋" w:eastAsia="仿宋"/>
        </w:rPr>
        <w:t>1</w:t>
      </w:r>
      <w:r>
        <w:rPr>
          <w:rFonts w:eastAsia="仿宋_GB2312"/>
          <w:sz w:val="32"/>
          <w:szCs w:val="32"/>
        </w:rPr>
        <w:t>、组织实施审批局各项规章制度和管理办法，做好深化行政审批制度改革、提高审批效率，优化政务服务环境;</w:t>
      </w:r>
    </w:p>
    <w:p>
      <w:pPr>
        <w:pStyle w:val="20"/>
        <w:rPr>
          <w:rFonts w:eastAsia="仿宋_GB2312"/>
          <w:sz w:val="32"/>
          <w:szCs w:val="32"/>
        </w:rPr>
      </w:pPr>
      <w:r>
        <w:rPr>
          <w:rFonts w:eastAsia="仿宋_GB2312"/>
          <w:sz w:val="32"/>
          <w:szCs w:val="32"/>
        </w:rPr>
        <w:t>2、完成全年审批业务申请受理，按照规定程序对行政审批事项进行要件审核，对符合规定条件的行政审批事项进行批准，完成对各工作人员的业务培训、教育培训、管理、监督和考核工作，加强档案管理；</w:t>
      </w:r>
    </w:p>
    <w:p>
      <w:pPr>
        <w:pStyle w:val="20"/>
        <w:rPr>
          <w:rFonts w:eastAsia="仿宋_GB2312"/>
          <w:sz w:val="32"/>
          <w:szCs w:val="32"/>
        </w:rPr>
      </w:pPr>
      <w:r>
        <w:rPr>
          <w:rFonts w:eastAsia="仿宋_GB2312"/>
          <w:sz w:val="32"/>
          <w:szCs w:val="32"/>
        </w:rPr>
        <w:t>3、配合上级部门完成政务服务平台建设，并有效管理和运用，深化互联网+政务服务改革；</w:t>
      </w:r>
    </w:p>
    <w:p>
      <w:pPr>
        <w:pStyle w:val="20"/>
        <w:rPr>
          <w:rFonts w:eastAsia="仿宋_GB2312"/>
          <w:sz w:val="32"/>
          <w:szCs w:val="32"/>
        </w:rPr>
      </w:pPr>
      <w:r>
        <w:rPr>
          <w:rFonts w:eastAsia="仿宋_GB2312"/>
          <w:sz w:val="32"/>
          <w:szCs w:val="32"/>
        </w:rPr>
        <w:t>4、完成各部门间业务交流和上级部门交办的工作，加强行政管理能力建设，促进自身建设、服务保障能力进一步提升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1"/>
        <w:rPr>
          <w:rFonts w:eastAsia="仿宋_GB2312"/>
          <w:sz w:val="32"/>
          <w:szCs w:val="32"/>
        </w:rPr>
      </w:pPr>
      <w:r>
        <w:rPr>
          <w:rFonts w:hint="eastAsia" w:eastAsia="仿宋_GB2312"/>
          <w:sz w:val="32"/>
          <w:szCs w:val="32"/>
        </w:rPr>
        <w:t>1</w:t>
      </w:r>
      <w:r>
        <w:rPr>
          <w:rFonts w:eastAsia="仿宋_GB2312"/>
          <w:sz w:val="32"/>
          <w:szCs w:val="32"/>
        </w:rPr>
        <w:t>、贯彻执行有关行政审批的方针政策、法律法规及各项制度。</w:t>
      </w:r>
    </w:p>
    <w:p>
      <w:pPr>
        <w:pStyle w:val="21"/>
        <w:rPr>
          <w:rFonts w:eastAsia="仿宋_GB2312"/>
          <w:sz w:val="32"/>
          <w:szCs w:val="32"/>
        </w:rPr>
      </w:pPr>
      <w:r>
        <w:rPr>
          <w:rFonts w:hint="eastAsia" w:eastAsia="仿宋_GB2312"/>
          <w:sz w:val="32"/>
          <w:szCs w:val="32"/>
        </w:rPr>
        <w:t>2</w:t>
      </w:r>
      <w:r>
        <w:rPr>
          <w:rFonts w:eastAsia="仿宋_GB2312"/>
          <w:sz w:val="32"/>
          <w:szCs w:val="32"/>
        </w:rPr>
        <w:t>、持续优化提升审批服务效能。</w:t>
      </w:r>
    </w:p>
    <w:p>
      <w:pPr>
        <w:pStyle w:val="21"/>
        <w:rPr>
          <w:rFonts w:eastAsia="仿宋_GB2312"/>
          <w:sz w:val="32"/>
          <w:szCs w:val="32"/>
        </w:rPr>
      </w:pPr>
      <w:r>
        <w:rPr>
          <w:rFonts w:hint="eastAsia" w:eastAsia="仿宋_GB2312"/>
          <w:sz w:val="32"/>
          <w:szCs w:val="32"/>
        </w:rPr>
        <w:t>3</w:t>
      </w:r>
      <w:r>
        <w:rPr>
          <w:rFonts w:eastAsia="仿宋_GB2312"/>
          <w:sz w:val="32"/>
          <w:szCs w:val="32"/>
        </w:rPr>
        <w:t>、严格依法依规开展审批事项。</w:t>
      </w:r>
    </w:p>
    <w:p>
      <w:pPr>
        <w:pStyle w:val="21"/>
        <w:rPr>
          <w:rFonts w:eastAsia="仿宋_GB2312"/>
          <w:sz w:val="32"/>
          <w:szCs w:val="32"/>
        </w:rPr>
      </w:pPr>
      <w:r>
        <w:rPr>
          <w:rFonts w:hint="eastAsia" w:eastAsia="仿宋_GB2312"/>
          <w:sz w:val="32"/>
          <w:szCs w:val="32"/>
        </w:rPr>
        <w:t>4</w:t>
      </w:r>
      <w:r>
        <w:rPr>
          <w:rFonts w:eastAsia="仿宋_GB2312"/>
          <w:sz w:val="32"/>
          <w:szCs w:val="32"/>
        </w:rPr>
        <w:t>、深化“互联网+政务服务”改革。</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2"/>
        <w:rPr>
          <w:rFonts w:eastAsia="仿宋_GB2312"/>
          <w:sz w:val="32"/>
          <w:szCs w:val="32"/>
        </w:rPr>
      </w:pPr>
      <w:r>
        <w:rPr>
          <w:rFonts w:hint="eastAsia" w:eastAsia="仿宋_GB2312"/>
          <w:sz w:val="32"/>
          <w:szCs w:val="32"/>
        </w:rPr>
        <w:t>1、</w:t>
      </w:r>
      <w:r>
        <w:rPr>
          <w:rFonts w:eastAsia="仿宋_GB2312"/>
          <w:sz w:val="32"/>
          <w:szCs w:val="32"/>
        </w:rPr>
        <w:t>完善制度建设,严格执行绩效管理制度，完善管理体系，规范管理行为，提高管理质量，为目标绩效管理提供强力支撑。</w:t>
      </w:r>
    </w:p>
    <w:p>
      <w:pPr>
        <w:pStyle w:val="22"/>
        <w:rPr>
          <w:rFonts w:eastAsia="仿宋_GB2312"/>
          <w:sz w:val="32"/>
          <w:szCs w:val="32"/>
        </w:rPr>
      </w:pPr>
      <w:r>
        <w:rPr>
          <w:rFonts w:hint="eastAsia" w:eastAsia="仿宋_GB2312"/>
          <w:sz w:val="32"/>
          <w:szCs w:val="32"/>
        </w:rPr>
        <w:t>2、</w:t>
      </w:r>
      <w:r>
        <w:rPr>
          <w:rFonts w:eastAsia="仿宋_GB2312"/>
          <w:sz w:val="32"/>
          <w:szCs w:val="32"/>
        </w:rPr>
        <w:t>加强支出管理，结合自身实际，明确目标任务，切实落实责任，细化工作措施，确保目标绩效管理工作扎实有效。</w:t>
      </w:r>
    </w:p>
    <w:p>
      <w:pPr>
        <w:pStyle w:val="22"/>
        <w:rPr>
          <w:rFonts w:eastAsia="仿宋_GB2312"/>
          <w:sz w:val="32"/>
          <w:szCs w:val="32"/>
        </w:rPr>
      </w:pPr>
      <w:r>
        <w:rPr>
          <w:rFonts w:hint="eastAsia" w:eastAsia="仿宋_GB2312"/>
          <w:sz w:val="32"/>
          <w:szCs w:val="32"/>
        </w:rPr>
        <w:t>3、</w:t>
      </w:r>
      <w:r>
        <w:rPr>
          <w:rFonts w:eastAsia="仿宋_GB2312"/>
          <w:sz w:val="32"/>
          <w:szCs w:val="32"/>
        </w:rPr>
        <w:t>加强绩效运行监控，成立由局长担任主任的目标绩效管理小组，建立健全工作机制，负责谋划推进、部署协调、督查落实等工作。</w:t>
      </w:r>
    </w:p>
    <w:p>
      <w:pPr>
        <w:pStyle w:val="22"/>
        <w:rPr>
          <w:rFonts w:eastAsia="仿宋_GB2312"/>
          <w:sz w:val="32"/>
          <w:szCs w:val="32"/>
        </w:rPr>
      </w:pPr>
      <w:r>
        <w:rPr>
          <w:rFonts w:hint="eastAsia" w:eastAsia="仿宋_GB2312"/>
          <w:sz w:val="32"/>
          <w:szCs w:val="32"/>
        </w:rPr>
        <w:t>4、</w:t>
      </w:r>
      <w:r>
        <w:rPr>
          <w:rFonts w:eastAsia="仿宋_GB2312"/>
          <w:sz w:val="32"/>
          <w:szCs w:val="32"/>
        </w:rPr>
        <w:t>做好绩效自评，加强目标绩效管理，作为改进机关作风、提高工作效能、规范内部管理的重要手段。</w:t>
      </w:r>
    </w:p>
    <w:p>
      <w:pPr>
        <w:pStyle w:val="22"/>
        <w:rPr>
          <w:rFonts w:eastAsia="仿宋_GB2312"/>
          <w:sz w:val="32"/>
          <w:szCs w:val="32"/>
        </w:rPr>
      </w:pPr>
      <w:r>
        <w:rPr>
          <w:rFonts w:hint="eastAsia" w:eastAsia="仿宋_GB2312"/>
          <w:sz w:val="32"/>
          <w:szCs w:val="32"/>
        </w:rPr>
        <w:t>5、</w:t>
      </w:r>
      <w:r>
        <w:rPr>
          <w:rFonts w:eastAsia="仿宋_GB2312"/>
          <w:sz w:val="32"/>
          <w:szCs w:val="32"/>
        </w:rPr>
        <w:t>规范财务资产管理，严格财务支出审批流程，指定专人负责财务资产管理。</w:t>
      </w:r>
    </w:p>
    <w:p>
      <w:pPr>
        <w:pStyle w:val="22"/>
        <w:rPr>
          <w:rFonts w:eastAsia="仿宋_GB2312"/>
          <w:sz w:val="32"/>
          <w:szCs w:val="32"/>
        </w:rPr>
      </w:pPr>
      <w:r>
        <w:rPr>
          <w:rFonts w:hint="eastAsia" w:eastAsia="仿宋_GB2312"/>
          <w:sz w:val="32"/>
          <w:szCs w:val="32"/>
        </w:rPr>
        <w:t>6、</w:t>
      </w:r>
      <w:r>
        <w:rPr>
          <w:rFonts w:eastAsia="仿宋_GB2312"/>
          <w:sz w:val="32"/>
          <w:szCs w:val="32"/>
        </w:rPr>
        <w:t>加强内部监督，进一步强化日常监督，加强党风廉政教育，切实增强服务意识。</w:t>
      </w:r>
    </w:p>
    <w:p>
      <w:pPr>
        <w:pStyle w:val="22"/>
      </w:pPr>
      <w:r>
        <w:rPr>
          <w:rFonts w:hint="eastAsia" w:eastAsia="仿宋_GB2312"/>
          <w:sz w:val="32"/>
          <w:szCs w:val="32"/>
        </w:rPr>
        <w:t>7、</w:t>
      </w:r>
      <w:r>
        <w:rPr>
          <w:rFonts w:eastAsia="仿宋_GB2312"/>
          <w:sz w:val="32"/>
          <w:szCs w:val="32"/>
        </w:rPr>
        <w:t>加强宣传培训调研等，定期开展业务培训，认真学习同级、上级各部门各单位的先进经验，加强和各媒体的沟通，及时将取得成绩进行宣传报道，开展满意度调查等活动，确保各项工作能够取得办事企业的认可。</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2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448"/>
        <w:gridCol w:w="1134"/>
        <w:gridCol w:w="1134"/>
        <w:gridCol w:w="2410"/>
        <w:gridCol w:w="2835"/>
        <w:gridCol w:w="851"/>
        <w:gridCol w:w="732"/>
        <w:gridCol w:w="70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44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13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13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41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83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291"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56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448" w:type="dxa"/>
            <w:vMerge w:val="continue"/>
            <w:tcBorders>
              <w:tl2br w:val="nil"/>
              <w:tr2bl w:val="nil"/>
            </w:tcBorders>
            <w:vAlign w:val="center"/>
          </w:tcPr>
          <w:p/>
        </w:tc>
        <w:tc>
          <w:tcPr>
            <w:tcW w:w="1134" w:type="dxa"/>
            <w:vMerge w:val="continue"/>
            <w:tcBorders>
              <w:tl2br w:val="nil"/>
              <w:tr2bl w:val="nil"/>
            </w:tcBorders>
            <w:vAlign w:val="center"/>
          </w:tcPr>
          <w:p/>
        </w:tc>
        <w:tc>
          <w:tcPr>
            <w:tcW w:w="1134" w:type="dxa"/>
            <w:vMerge w:val="continue"/>
            <w:tcBorders>
              <w:tl2br w:val="nil"/>
              <w:tr2bl w:val="nil"/>
            </w:tcBorders>
            <w:vAlign w:val="center"/>
          </w:tcPr>
          <w:p/>
        </w:tc>
        <w:tc>
          <w:tcPr>
            <w:tcW w:w="2410" w:type="dxa"/>
            <w:vMerge w:val="continue"/>
            <w:tcBorders>
              <w:tl2br w:val="nil"/>
              <w:tr2bl w:val="nil"/>
            </w:tcBorders>
            <w:vAlign w:val="center"/>
          </w:tcPr>
          <w:p/>
        </w:tc>
        <w:tc>
          <w:tcPr>
            <w:tcW w:w="2835"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732"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70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56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44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1134" w:type="dxa"/>
            <w:tcBorders>
              <w:tl2br w:val="nil"/>
              <w:tr2bl w:val="nil"/>
            </w:tcBorders>
            <w:vAlign w:val="center"/>
          </w:tcPr>
          <w:p>
            <w:pPr>
              <w:pStyle w:val="22"/>
              <w:ind w:left="0" w:leftChars="0" w:firstLine="0" w:firstLineChars="0"/>
              <w:rPr>
                <w:rFonts w:eastAsia="仿宋_GB2312"/>
                <w:sz w:val="21"/>
                <w:szCs w:val="21"/>
              </w:rPr>
            </w:pPr>
            <w:r>
              <w:rPr>
                <w:rFonts w:eastAsia="仿宋_GB2312"/>
                <w:sz w:val="21"/>
                <w:szCs w:val="21"/>
              </w:rPr>
              <w:t>数量</w:t>
            </w:r>
          </w:p>
        </w:tc>
        <w:tc>
          <w:tcPr>
            <w:tcW w:w="1134" w:type="dxa"/>
            <w:tcBorders>
              <w:tl2br w:val="nil"/>
              <w:tr2bl w:val="nil"/>
            </w:tcBorders>
            <w:vAlign w:val="center"/>
          </w:tcPr>
          <w:p>
            <w:pPr>
              <w:widowControl/>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业务办结率</w:t>
            </w:r>
          </w:p>
        </w:tc>
        <w:tc>
          <w:tcPr>
            <w:tcW w:w="2410" w:type="dxa"/>
            <w:tcBorders>
              <w:tl2br w:val="nil"/>
              <w:tr2bl w:val="nil"/>
            </w:tcBorders>
            <w:vAlign w:val="center"/>
          </w:tcPr>
          <w:p>
            <w:pPr>
              <w:widowControl/>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完成考核得20分，未完成按比例扣分</w:t>
            </w:r>
          </w:p>
        </w:tc>
        <w:tc>
          <w:tcPr>
            <w:tcW w:w="2835" w:type="dxa"/>
            <w:tcBorders>
              <w:tl2br w:val="nil"/>
              <w:tr2bl w:val="nil"/>
            </w:tcBorders>
            <w:vAlign w:val="center"/>
          </w:tcPr>
          <w:p>
            <w:pPr>
              <w:widowControl/>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办结业务数占申请业务的比率</w:t>
            </w:r>
          </w:p>
        </w:tc>
        <w:tc>
          <w:tcPr>
            <w:tcW w:w="851" w:type="dxa"/>
            <w:tcBorders>
              <w:tl2br w:val="nil"/>
              <w:tr2bl w:val="nil"/>
            </w:tcBorders>
            <w:vAlign w:val="center"/>
          </w:tcPr>
          <w:p>
            <w:pPr>
              <w:widowControl/>
              <w:adjustRightInd w:val="0"/>
              <w:snapToGrid w:val="0"/>
              <w:jc w:val="left"/>
              <w:rPr>
                <w:rFonts w:ascii="Times New Roman" w:hAnsi="Times New Roman" w:eastAsia="仿宋_GB2312" w:cs="Times New Roman"/>
                <w:szCs w:val="21"/>
              </w:rPr>
            </w:pPr>
            <w:r>
              <w:rPr>
                <w:rFonts w:hint="eastAsia" w:ascii="Times New Roman" w:hAnsi="Times New Roman" w:eastAsia="仿宋_GB2312" w:cs="Times New Roman"/>
                <w:szCs w:val="21"/>
              </w:rPr>
              <w:t>=</w:t>
            </w:r>
          </w:p>
        </w:tc>
        <w:tc>
          <w:tcPr>
            <w:tcW w:w="732" w:type="dxa"/>
            <w:tcBorders>
              <w:tl2br w:val="nil"/>
              <w:tr2bl w:val="nil"/>
            </w:tcBorders>
            <w:vAlign w:val="center"/>
          </w:tcPr>
          <w:p>
            <w:pPr>
              <w:widowControl/>
              <w:adjustRightInd w:val="0"/>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100</w:t>
            </w:r>
          </w:p>
        </w:tc>
        <w:tc>
          <w:tcPr>
            <w:tcW w:w="708" w:type="dxa"/>
            <w:tcBorders>
              <w:tl2br w:val="nil"/>
              <w:tr2bl w:val="nil"/>
            </w:tcBorders>
            <w:vAlign w:val="center"/>
          </w:tcPr>
          <w:p>
            <w:pPr>
              <w:widowControl/>
              <w:adjustRightInd w:val="0"/>
              <w:snapToGrid w:val="0"/>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p>
        </w:tc>
        <w:tc>
          <w:tcPr>
            <w:tcW w:w="1560" w:type="dxa"/>
            <w:tcBorders>
              <w:tl2br w:val="nil"/>
              <w:tr2bl w:val="nil"/>
            </w:tcBorders>
            <w:vAlign w:val="center"/>
          </w:tcPr>
          <w:p>
            <w:pPr>
              <w:widowControl/>
              <w:adjustRightInd w:val="0"/>
              <w:snapToGrid w:val="0"/>
              <w:ind w:firstLine="630" w:firstLineChars="300"/>
              <w:jc w:val="left"/>
              <w:rPr>
                <w:rFonts w:ascii="Times New Roman" w:hAnsi="Times New Roman" w:eastAsia="仿宋_GB2312" w:cs="Times New Roman"/>
                <w:szCs w:val="21"/>
              </w:rPr>
            </w:pPr>
            <w:r>
              <w:rPr>
                <w:rFonts w:hint="eastAsia" w:ascii="Times New Roman" w:hAnsi="Times New Roman" w:eastAsia="仿宋_GB2312" w:cs="Times New Roman"/>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448" w:type="dxa"/>
            <w:vMerge w:val="continue"/>
            <w:tcBorders>
              <w:tl2br w:val="nil"/>
              <w:tr2bl w:val="nil"/>
            </w:tcBorders>
            <w:vAlign w:val="center"/>
          </w:tcPr>
          <w:p/>
        </w:tc>
        <w:tc>
          <w:tcPr>
            <w:tcW w:w="1134" w:type="dxa"/>
            <w:tcBorders>
              <w:tl2br w:val="nil"/>
              <w:tr2bl w:val="nil"/>
            </w:tcBorders>
            <w:vAlign w:val="center"/>
          </w:tcPr>
          <w:p>
            <w:pPr>
              <w:pStyle w:val="22"/>
              <w:ind w:left="0" w:leftChars="0" w:firstLine="0" w:firstLineChars="0"/>
              <w:rPr>
                <w:rFonts w:eastAsia="仿宋_GB2312"/>
                <w:sz w:val="21"/>
                <w:szCs w:val="21"/>
              </w:rPr>
            </w:pPr>
            <w:r>
              <w:rPr>
                <w:rFonts w:eastAsia="仿宋_GB2312"/>
                <w:sz w:val="21"/>
                <w:szCs w:val="21"/>
              </w:rPr>
              <w:t>质量</w:t>
            </w:r>
          </w:p>
        </w:tc>
        <w:tc>
          <w:tcPr>
            <w:tcW w:w="1134"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人员考评合格率</w:t>
            </w:r>
          </w:p>
        </w:tc>
        <w:tc>
          <w:tcPr>
            <w:tcW w:w="2410"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完成考核得10分，未完成按比例扣分</w:t>
            </w:r>
          </w:p>
        </w:tc>
        <w:tc>
          <w:tcPr>
            <w:tcW w:w="2835"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考评合格人员占全部考评人员比率</w:t>
            </w:r>
          </w:p>
        </w:tc>
        <w:tc>
          <w:tcPr>
            <w:tcW w:w="851" w:type="dxa"/>
            <w:tcBorders>
              <w:tl2br w:val="nil"/>
              <w:tr2bl w:val="nil"/>
            </w:tcBorders>
            <w:vAlign w:val="center"/>
          </w:tcPr>
          <w:p>
            <w:pPr>
              <w:pStyle w:val="22"/>
              <w:rPr>
                <w:rFonts w:eastAsia="仿宋_GB2312"/>
                <w:sz w:val="21"/>
                <w:szCs w:val="21"/>
              </w:rPr>
            </w:pPr>
            <w:r>
              <w:rPr>
                <w:rFonts w:hint="eastAsia" w:eastAsia="仿宋_GB2312"/>
                <w:sz w:val="21"/>
                <w:szCs w:val="21"/>
              </w:rPr>
              <w:t>≥</w:t>
            </w:r>
          </w:p>
        </w:tc>
        <w:tc>
          <w:tcPr>
            <w:tcW w:w="732"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95</w:t>
            </w:r>
          </w:p>
        </w:tc>
        <w:tc>
          <w:tcPr>
            <w:tcW w:w="708" w:type="dxa"/>
            <w:tcBorders>
              <w:tl2br w:val="nil"/>
              <w:tr2bl w:val="nil"/>
            </w:tcBorders>
            <w:vAlign w:val="center"/>
          </w:tcPr>
          <w:p>
            <w:pPr>
              <w:pStyle w:val="22"/>
              <w:ind w:firstLine="0"/>
              <w:jc w:val="center"/>
              <w:rPr>
                <w:rFonts w:eastAsia="仿宋_GB2312"/>
                <w:sz w:val="21"/>
                <w:szCs w:val="21"/>
              </w:rPr>
            </w:pPr>
            <w:r>
              <w:rPr>
                <w:rFonts w:hint="eastAsia" w:eastAsia="仿宋_GB2312"/>
                <w:sz w:val="21"/>
                <w:szCs w:val="21"/>
              </w:rPr>
              <w:t>%</w:t>
            </w:r>
          </w:p>
        </w:tc>
        <w:tc>
          <w:tcPr>
            <w:tcW w:w="1560" w:type="dxa"/>
            <w:tcBorders>
              <w:tl2br w:val="nil"/>
              <w:tr2bl w:val="nil"/>
            </w:tcBorders>
            <w:vAlign w:val="center"/>
          </w:tcPr>
          <w:p>
            <w:pPr>
              <w:pStyle w:val="22"/>
              <w:rPr>
                <w:rFonts w:eastAsia="仿宋_GB2312"/>
                <w:sz w:val="21"/>
                <w:szCs w:val="21"/>
              </w:rPr>
            </w:pPr>
            <w:r>
              <w:rPr>
                <w:rFonts w:hint="eastAsia" w:eastAsia="仿宋_GB2312"/>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448" w:type="dxa"/>
            <w:vMerge w:val="continue"/>
            <w:tcBorders>
              <w:tl2br w:val="nil"/>
              <w:tr2bl w:val="nil"/>
            </w:tcBorders>
            <w:vAlign w:val="center"/>
          </w:tcPr>
          <w:p/>
        </w:tc>
        <w:tc>
          <w:tcPr>
            <w:tcW w:w="1134" w:type="dxa"/>
            <w:tcBorders>
              <w:tl2br w:val="nil"/>
              <w:tr2bl w:val="nil"/>
            </w:tcBorders>
            <w:vAlign w:val="center"/>
          </w:tcPr>
          <w:p>
            <w:pPr>
              <w:pStyle w:val="22"/>
              <w:ind w:left="0" w:leftChars="0" w:firstLine="0" w:firstLineChars="0"/>
              <w:rPr>
                <w:rFonts w:eastAsia="仿宋_GB2312"/>
                <w:sz w:val="21"/>
                <w:szCs w:val="21"/>
              </w:rPr>
            </w:pPr>
            <w:r>
              <w:rPr>
                <w:rFonts w:eastAsia="仿宋_GB2312"/>
                <w:sz w:val="21"/>
                <w:szCs w:val="21"/>
              </w:rPr>
              <w:t>时效</w:t>
            </w:r>
          </w:p>
        </w:tc>
        <w:tc>
          <w:tcPr>
            <w:tcW w:w="1134"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审批、服务事项按时办结率</w:t>
            </w:r>
          </w:p>
        </w:tc>
        <w:tc>
          <w:tcPr>
            <w:tcW w:w="2410"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完成考核得20分，未完成按比例扣分</w:t>
            </w:r>
          </w:p>
        </w:tc>
        <w:tc>
          <w:tcPr>
            <w:tcW w:w="2835"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简化审批流程，精简审批要件，压缩审批时限，提高审批效率</w:t>
            </w:r>
          </w:p>
        </w:tc>
        <w:tc>
          <w:tcPr>
            <w:tcW w:w="851" w:type="dxa"/>
            <w:tcBorders>
              <w:tl2br w:val="nil"/>
              <w:tr2bl w:val="nil"/>
            </w:tcBorders>
            <w:vAlign w:val="center"/>
          </w:tcPr>
          <w:p>
            <w:pPr>
              <w:pStyle w:val="22"/>
              <w:rPr>
                <w:rFonts w:eastAsia="仿宋_GB2312"/>
                <w:sz w:val="21"/>
                <w:szCs w:val="21"/>
              </w:rPr>
            </w:pPr>
            <w:r>
              <w:rPr>
                <w:rFonts w:hint="eastAsia" w:eastAsia="仿宋_GB2312"/>
                <w:sz w:val="21"/>
                <w:szCs w:val="21"/>
              </w:rPr>
              <w:t>≥</w:t>
            </w:r>
          </w:p>
        </w:tc>
        <w:tc>
          <w:tcPr>
            <w:tcW w:w="732"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95</w:t>
            </w:r>
          </w:p>
        </w:tc>
        <w:tc>
          <w:tcPr>
            <w:tcW w:w="708" w:type="dxa"/>
            <w:tcBorders>
              <w:tl2br w:val="nil"/>
              <w:tr2bl w:val="nil"/>
            </w:tcBorders>
            <w:vAlign w:val="center"/>
          </w:tcPr>
          <w:p>
            <w:pPr>
              <w:pStyle w:val="22"/>
              <w:ind w:firstLine="0"/>
              <w:jc w:val="center"/>
              <w:rPr>
                <w:rFonts w:eastAsia="仿宋_GB2312"/>
                <w:sz w:val="21"/>
                <w:szCs w:val="21"/>
              </w:rPr>
            </w:pPr>
            <w:r>
              <w:rPr>
                <w:rFonts w:hint="eastAsia" w:eastAsia="仿宋_GB2312"/>
                <w:sz w:val="21"/>
                <w:szCs w:val="21"/>
              </w:rPr>
              <w:t>%</w:t>
            </w:r>
          </w:p>
        </w:tc>
        <w:tc>
          <w:tcPr>
            <w:tcW w:w="1560" w:type="dxa"/>
            <w:tcBorders>
              <w:tl2br w:val="nil"/>
              <w:tr2bl w:val="nil"/>
            </w:tcBorders>
            <w:vAlign w:val="center"/>
          </w:tcPr>
          <w:p>
            <w:pPr>
              <w:pStyle w:val="22"/>
              <w:rPr>
                <w:rFonts w:eastAsia="仿宋_GB2312"/>
                <w:sz w:val="21"/>
                <w:szCs w:val="21"/>
              </w:rPr>
            </w:pPr>
            <w:r>
              <w:rPr>
                <w:rFonts w:hint="eastAsia" w:eastAsia="仿宋_GB2312"/>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448" w:type="dxa"/>
            <w:vMerge w:val="continue"/>
            <w:tcBorders>
              <w:tl2br w:val="nil"/>
              <w:tr2bl w:val="nil"/>
            </w:tcBorders>
            <w:vAlign w:val="center"/>
          </w:tcPr>
          <w:p/>
        </w:tc>
        <w:tc>
          <w:tcPr>
            <w:tcW w:w="1134" w:type="dxa"/>
            <w:tcBorders>
              <w:tl2br w:val="nil"/>
              <w:tr2bl w:val="nil"/>
            </w:tcBorders>
            <w:vAlign w:val="center"/>
          </w:tcPr>
          <w:p>
            <w:pPr>
              <w:pStyle w:val="22"/>
              <w:ind w:left="0" w:leftChars="0" w:firstLine="0" w:firstLineChars="0"/>
              <w:rPr>
                <w:rFonts w:eastAsia="仿宋_GB2312"/>
                <w:sz w:val="21"/>
                <w:szCs w:val="21"/>
              </w:rPr>
            </w:pPr>
            <w:r>
              <w:rPr>
                <w:rFonts w:eastAsia="仿宋_GB2312"/>
                <w:sz w:val="21"/>
                <w:szCs w:val="21"/>
              </w:rPr>
              <w:t>成本</w:t>
            </w:r>
          </w:p>
        </w:tc>
        <w:tc>
          <w:tcPr>
            <w:tcW w:w="1134"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工资福利、社会保障等发放标准</w:t>
            </w:r>
          </w:p>
        </w:tc>
        <w:tc>
          <w:tcPr>
            <w:tcW w:w="2410"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完成考核得10分，未完成按比例扣分</w:t>
            </w:r>
          </w:p>
        </w:tc>
        <w:tc>
          <w:tcPr>
            <w:tcW w:w="2835"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工资、福利社会保障等发放标准</w:t>
            </w:r>
          </w:p>
        </w:tc>
        <w:tc>
          <w:tcPr>
            <w:tcW w:w="851" w:type="dxa"/>
            <w:tcBorders>
              <w:tl2br w:val="nil"/>
              <w:tr2bl w:val="nil"/>
            </w:tcBorders>
            <w:vAlign w:val="center"/>
          </w:tcPr>
          <w:p>
            <w:pPr>
              <w:pStyle w:val="22"/>
              <w:rPr>
                <w:rFonts w:eastAsia="仿宋_GB2312"/>
                <w:sz w:val="21"/>
                <w:szCs w:val="21"/>
              </w:rPr>
            </w:pPr>
            <w:r>
              <w:rPr>
                <w:rFonts w:hint="eastAsia" w:eastAsia="仿宋_GB2312"/>
                <w:sz w:val="21"/>
                <w:szCs w:val="21"/>
              </w:rPr>
              <w:t>文字描述</w:t>
            </w:r>
          </w:p>
        </w:tc>
        <w:tc>
          <w:tcPr>
            <w:tcW w:w="732"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按标准执行</w:t>
            </w:r>
          </w:p>
        </w:tc>
        <w:tc>
          <w:tcPr>
            <w:tcW w:w="708" w:type="dxa"/>
            <w:tcBorders>
              <w:tl2br w:val="nil"/>
              <w:tr2bl w:val="nil"/>
            </w:tcBorders>
            <w:vAlign w:val="center"/>
          </w:tcPr>
          <w:p>
            <w:pPr>
              <w:pStyle w:val="22"/>
              <w:jc w:val="center"/>
              <w:rPr>
                <w:rFonts w:eastAsia="仿宋_GB2312"/>
                <w:sz w:val="21"/>
                <w:szCs w:val="21"/>
              </w:rPr>
            </w:pPr>
          </w:p>
        </w:tc>
        <w:tc>
          <w:tcPr>
            <w:tcW w:w="1560" w:type="dxa"/>
            <w:tcBorders>
              <w:tl2br w:val="nil"/>
              <w:tr2bl w:val="nil"/>
            </w:tcBorders>
            <w:vAlign w:val="center"/>
          </w:tcPr>
          <w:p>
            <w:pPr>
              <w:pStyle w:val="22"/>
              <w:rPr>
                <w:rFonts w:eastAsia="仿宋_GB2312"/>
                <w:sz w:val="21"/>
                <w:szCs w:val="21"/>
              </w:rPr>
            </w:pPr>
            <w:r>
              <w:rPr>
                <w:rFonts w:hint="eastAsia" w:eastAsia="仿宋_GB2312"/>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44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1134" w:type="dxa"/>
            <w:tcBorders>
              <w:tl2br w:val="nil"/>
              <w:tr2bl w:val="nil"/>
            </w:tcBorders>
            <w:vAlign w:val="center"/>
          </w:tcPr>
          <w:p>
            <w:pPr>
              <w:pStyle w:val="22"/>
              <w:ind w:left="0" w:leftChars="0" w:firstLine="0" w:firstLineChars="0"/>
              <w:rPr>
                <w:rFonts w:eastAsia="仿宋_GB2312"/>
                <w:sz w:val="21"/>
                <w:szCs w:val="21"/>
              </w:rPr>
            </w:pPr>
            <w:r>
              <w:rPr>
                <w:rFonts w:eastAsia="仿宋_GB2312"/>
                <w:sz w:val="21"/>
                <w:szCs w:val="21"/>
              </w:rPr>
              <w:t>社会</w:t>
            </w:r>
          </w:p>
          <w:p>
            <w:pPr>
              <w:pStyle w:val="22"/>
              <w:ind w:left="0" w:leftChars="0" w:firstLine="0" w:firstLineChars="0"/>
              <w:rPr>
                <w:rFonts w:eastAsia="仿宋_GB2312"/>
                <w:sz w:val="21"/>
                <w:szCs w:val="21"/>
              </w:rPr>
            </w:pPr>
            <w:r>
              <w:rPr>
                <w:rFonts w:eastAsia="仿宋_GB2312"/>
                <w:sz w:val="21"/>
                <w:szCs w:val="21"/>
              </w:rPr>
              <w:t>效益</w:t>
            </w:r>
          </w:p>
        </w:tc>
        <w:tc>
          <w:tcPr>
            <w:tcW w:w="1134"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社会稳定水平</w:t>
            </w:r>
          </w:p>
        </w:tc>
        <w:tc>
          <w:tcPr>
            <w:tcW w:w="2410"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完成考核得10分，未完成按比例扣分</w:t>
            </w:r>
          </w:p>
        </w:tc>
        <w:tc>
          <w:tcPr>
            <w:tcW w:w="2835"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通过完成审批业务促进社会水平逐步提升</w:t>
            </w:r>
          </w:p>
        </w:tc>
        <w:tc>
          <w:tcPr>
            <w:tcW w:w="851" w:type="dxa"/>
            <w:tcBorders>
              <w:tl2br w:val="nil"/>
              <w:tr2bl w:val="nil"/>
            </w:tcBorders>
            <w:vAlign w:val="center"/>
          </w:tcPr>
          <w:p>
            <w:pPr>
              <w:pStyle w:val="22"/>
              <w:rPr>
                <w:rFonts w:eastAsia="仿宋_GB2312"/>
                <w:sz w:val="21"/>
                <w:szCs w:val="21"/>
              </w:rPr>
            </w:pPr>
            <w:r>
              <w:rPr>
                <w:rFonts w:hint="eastAsia" w:eastAsia="仿宋_GB2312"/>
                <w:sz w:val="21"/>
                <w:szCs w:val="21"/>
              </w:rPr>
              <w:t>文字描述</w:t>
            </w:r>
          </w:p>
        </w:tc>
        <w:tc>
          <w:tcPr>
            <w:tcW w:w="732" w:type="dxa"/>
            <w:tcBorders>
              <w:tl2br w:val="nil"/>
              <w:tr2bl w:val="nil"/>
            </w:tcBorders>
            <w:vAlign w:val="center"/>
          </w:tcPr>
          <w:p>
            <w:pPr>
              <w:pStyle w:val="22"/>
              <w:rPr>
                <w:rFonts w:eastAsia="仿宋_GB2312"/>
                <w:sz w:val="21"/>
                <w:szCs w:val="21"/>
              </w:rPr>
            </w:pPr>
            <w:r>
              <w:rPr>
                <w:rFonts w:hint="eastAsia" w:eastAsia="仿宋_GB2312"/>
                <w:sz w:val="21"/>
                <w:szCs w:val="21"/>
              </w:rPr>
              <w:t>有所提高</w:t>
            </w:r>
          </w:p>
        </w:tc>
        <w:tc>
          <w:tcPr>
            <w:tcW w:w="708" w:type="dxa"/>
            <w:tcBorders>
              <w:tl2br w:val="nil"/>
              <w:tr2bl w:val="nil"/>
            </w:tcBorders>
            <w:vAlign w:val="center"/>
          </w:tcPr>
          <w:p>
            <w:pPr>
              <w:pStyle w:val="22"/>
              <w:rPr>
                <w:rFonts w:eastAsia="仿宋_GB2312"/>
                <w:sz w:val="21"/>
                <w:szCs w:val="21"/>
              </w:rPr>
            </w:pPr>
          </w:p>
        </w:tc>
        <w:tc>
          <w:tcPr>
            <w:tcW w:w="1560" w:type="dxa"/>
            <w:tcBorders>
              <w:tl2br w:val="nil"/>
              <w:tr2bl w:val="nil"/>
            </w:tcBorders>
            <w:vAlign w:val="center"/>
          </w:tcPr>
          <w:p>
            <w:pPr>
              <w:pStyle w:val="22"/>
              <w:rPr>
                <w:rFonts w:eastAsia="仿宋_GB2312"/>
                <w:sz w:val="21"/>
                <w:szCs w:val="21"/>
              </w:rPr>
            </w:pPr>
            <w:r>
              <w:rPr>
                <w:rFonts w:hint="eastAsia" w:eastAsia="仿宋_GB2312"/>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448" w:type="dxa"/>
            <w:vMerge w:val="continue"/>
            <w:tcBorders>
              <w:tl2br w:val="nil"/>
              <w:tr2bl w:val="nil"/>
            </w:tcBorders>
            <w:vAlign w:val="center"/>
          </w:tcPr>
          <w:p/>
        </w:tc>
        <w:tc>
          <w:tcPr>
            <w:tcW w:w="1134" w:type="dxa"/>
            <w:tcBorders>
              <w:tl2br w:val="nil"/>
              <w:tr2bl w:val="nil"/>
            </w:tcBorders>
            <w:vAlign w:val="center"/>
          </w:tcPr>
          <w:p>
            <w:pPr>
              <w:pStyle w:val="22"/>
              <w:ind w:left="0" w:leftChars="0" w:firstLine="0" w:firstLineChars="0"/>
              <w:rPr>
                <w:rFonts w:eastAsia="仿宋_GB2312"/>
                <w:sz w:val="21"/>
                <w:szCs w:val="21"/>
              </w:rPr>
            </w:pPr>
            <w:r>
              <w:rPr>
                <w:rFonts w:hint="eastAsia" w:eastAsia="仿宋_GB2312"/>
                <w:sz w:val="21"/>
                <w:szCs w:val="21"/>
              </w:rPr>
              <w:t>经济</w:t>
            </w:r>
          </w:p>
          <w:p>
            <w:pPr>
              <w:pStyle w:val="22"/>
              <w:ind w:left="0" w:leftChars="0" w:firstLine="0" w:firstLineChars="0"/>
              <w:rPr>
                <w:rFonts w:eastAsia="仿宋_GB2312"/>
                <w:sz w:val="21"/>
                <w:szCs w:val="21"/>
              </w:rPr>
            </w:pPr>
            <w:r>
              <w:rPr>
                <w:rFonts w:hint="eastAsia" w:eastAsia="仿宋_GB2312"/>
                <w:sz w:val="21"/>
                <w:szCs w:val="21"/>
              </w:rPr>
              <w:t>效益</w:t>
            </w:r>
          </w:p>
        </w:tc>
        <w:tc>
          <w:tcPr>
            <w:tcW w:w="1134"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促进经济增长</w:t>
            </w:r>
          </w:p>
        </w:tc>
        <w:tc>
          <w:tcPr>
            <w:tcW w:w="2410"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完成考核得10分，未完成按比例扣分</w:t>
            </w:r>
          </w:p>
        </w:tc>
        <w:tc>
          <w:tcPr>
            <w:tcW w:w="2835" w:type="dxa"/>
            <w:tcBorders>
              <w:tl2br w:val="nil"/>
              <w:tr2bl w:val="nil"/>
            </w:tcBorders>
            <w:vAlign w:val="center"/>
          </w:tcPr>
          <w:p>
            <w:pPr>
              <w:pStyle w:val="22"/>
              <w:ind w:firstLine="0"/>
              <w:rPr>
                <w:rFonts w:eastAsia="仿宋_GB2312"/>
                <w:sz w:val="21"/>
                <w:szCs w:val="21"/>
              </w:rPr>
            </w:pPr>
            <w:r>
              <w:rPr>
                <w:rFonts w:hint="eastAsia" w:eastAsia="仿宋_GB2312"/>
                <w:sz w:val="21"/>
                <w:szCs w:val="21"/>
              </w:rPr>
              <w:t>促进经济增长水平</w:t>
            </w:r>
          </w:p>
        </w:tc>
        <w:tc>
          <w:tcPr>
            <w:tcW w:w="851" w:type="dxa"/>
            <w:tcBorders>
              <w:tl2br w:val="nil"/>
              <w:tr2bl w:val="nil"/>
            </w:tcBorders>
            <w:vAlign w:val="center"/>
          </w:tcPr>
          <w:p>
            <w:pPr>
              <w:pStyle w:val="22"/>
              <w:rPr>
                <w:rFonts w:eastAsia="仿宋_GB2312"/>
                <w:sz w:val="21"/>
                <w:szCs w:val="21"/>
              </w:rPr>
            </w:pPr>
            <w:r>
              <w:rPr>
                <w:rFonts w:hint="eastAsia" w:eastAsia="仿宋_GB2312"/>
                <w:sz w:val="21"/>
                <w:szCs w:val="21"/>
              </w:rPr>
              <w:t>文字描述</w:t>
            </w:r>
          </w:p>
        </w:tc>
        <w:tc>
          <w:tcPr>
            <w:tcW w:w="732" w:type="dxa"/>
            <w:tcBorders>
              <w:tl2br w:val="nil"/>
              <w:tr2bl w:val="nil"/>
            </w:tcBorders>
            <w:vAlign w:val="center"/>
          </w:tcPr>
          <w:p>
            <w:pPr>
              <w:pStyle w:val="22"/>
              <w:rPr>
                <w:rFonts w:eastAsia="仿宋_GB2312"/>
                <w:sz w:val="21"/>
                <w:szCs w:val="21"/>
              </w:rPr>
            </w:pPr>
            <w:r>
              <w:rPr>
                <w:rFonts w:hint="eastAsia" w:eastAsia="仿宋_GB2312"/>
                <w:sz w:val="21"/>
                <w:szCs w:val="21"/>
              </w:rPr>
              <w:t>逐步提高</w:t>
            </w:r>
          </w:p>
        </w:tc>
        <w:tc>
          <w:tcPr>
            <w:tcW w:w="708" w:type="dxa"/>
            <w:tcBorders>
              <w:tl2br w:val="nil"/>
              <w:tr2bl w:val="nil"/>
            </w:tcBorders>
            <w:vAlign w:val="center"/>
          </w:tcPr>
          <w:p>
            <w:pPr>
              <w:pStyle w:val="22"/>
              <w:rPr>
                <w:rFonts w:eastAsia="仿宋_GB2312"/>
                <w:sz w:val="21"/>
                <w:szCs w:val="21"/>
              </w:rPr>
            </w:pPr>
          </w:p>
        </w:tc>
        <w:tc>
          <w:tcPr>
            <w:tcW w:w="1560" w:type="dxa"/>
            <w:tcBorders>
              <w:tl2br w:val="nil"/>
              <w:tr2bl w:val="nil"/>
            </w:tcBorders>
            <w:vAlign w:val="center"/>
          </w:tcPr>
          <w:p>
            <w:pPr>
              <w:pStyle w:val="22"/>
              <w:rPr>
                <w:rFonts w:eastAsia="仿宋_GB2312"/>
                <w:sz w:val="21"/>
                <w:szCs w:val="21"/>
              </w:rPr>
            </w:pPr>
            <w:r>
              <w:rPr>
                <w:rFonts w:hint="eastAsia" w:eastAsia="仿宋_GB2312"/>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448" w:type="dxa"/>
            <w:vMerge w:val="continue"/>
            <w:tcBorders>
              <w:tl2br w:val="nil"/>
              <w:tr2bl w:val="nil"/>
            </w:tcBorders>
            <w:vAlign w:val="center"/>
          </w:tcPr>
          <w:p/>
        </w:tc>
        <w:tc>
          <w:tcPr>
            <w:tcW w:w="1134" w:type="dxa"/>
            <w:tcBorders>
              <w:tl2br w:val="nil"/>
              <w:tr2bl w:val="nil"/>
            </w:tcBorders>
            <w:vAlign w:val="center"/>
          </w:tcPr>
          <w:p>
            <w:pPr>
              <w:pStyle w:val="22"/>
              <w:ind w:left="0" w:leftChars="0" w:firstLine="0" w:firstLineChars="0"/>
              <w:rPr>
                <w:rFonts w:eastAsia="仿宋_GB2312"/>
                <w:sz w:val="21"/>
                <w:szCs w:val="21"/>
              </w:rPr>
            </w:pPr>
            <w:r>
              <w:rPr>
                <w:rFonts w:hint="eastAsia" w:eastAsia="仿宋_GB2312"/>
                <w:sz w:val="21"/>
                <w:szCs w:val="21"/>
              </w:rPr>
              <w:t>可持续影响</w:t>
            </w:r>
          </w:p>
        </w:tc>
        <w:tc>
          <w:tcPr>
            <w:tcW w:w="1134" w:type="dxa"/>
            <w:tcBorders>
              <w:tl2br w:val="nil"/>
              <w:tr2bl w:val="nil"/>
            </w:tcBorders>
            <w:noWrap/>
            <w:vAlign w:val="center"/>
          </w:tcPr>
          <w:p>
            <w:pPr>
              <w:pStyle w:val="22"/>
              <w:ind w:firstLine="0"/>
              <w:rPr>
                <w:rFonts w:eastAsia="仿宋_GB2312"/>
                <w:sz w:val="21"/>
                <w:szCs w:val="21"/>
              </w:rPr>
            </w:pPr>
            <w:r>
              <w:rPr>
                <w:rFonts w:hint="eastAsia" w:eastAsia="仿宋_GB2312"/>
                <w:sz w:val="21"/>
                <w:szCs w:val="21"/>
              </w:rPr>
              <w:t>可持续影响力</w:t>
            </w:r>
          </w:p>
        </w:tc>
        <w:tc>
          <w:tcPr>
            <w:tcW w:w="2410" w:type="dxa"/>
            <w:tcBorders>
              <w:tl2br w:val="nil"/>
              <w:tr2bl w:val="nil"/>
            </w:tcBorders>
            <w:noWrap/>
            <w:vAlign w:val="center"/>
          </w:tcPr>
          <w:p>
            <w:pPr>
              <w:pStyle w:val="22"/>
              <w:ind w:firstLine="0"/>
              <w:rPr>
                <w:rFonts w:eastAsia="仿宋_GB2312"/>
                <w:sz w:val="21"/>
                <w:szCs w:val="21"/>
              </w:rPr>
            </w:pPr>
            <w:r>
              <w:rPr>
                <w:rFonts w:hint="eastAsia" w:eastAsia="仿宋_GB2312"/>
                <w:sz w:val="21"/>
                <w:szCs w:val="21"/>
              </w:rPr>
              <w:t>完成考核得10分，未完成按比例扣分</w:t>
            </w:r>
          </w:p>
        </w:tc>
        <w:tc>
          <w:tcPr>
            <w:tcW w:w="2835" w:type="dxa"/>
            <w:tcBorders>
              <w:tl2br w:val="nil"/>
              <w:tr2bl w:val="nil"/>
            </w:tcBorders>
            <w:noWrap/>
            <w:vAlign w:val="center"/>
          </w:tcPr>
          <w:p>
            <w:pPr>
              <w:pStyle w:val="22"/>
              <w:ind w:firstLine="0"/>
              <w:rPr>
                <w:rFonts w:eastAsia="仿宋_GB2312"/>
                <w:sz w:val="21"/>
                <w:szCs w:val="21"/>
              </w:rPr>
            </w:pPr>
            <w:r>
              <w:rPr>
                <w:rFonts w:hint="eastAsia" w:eastAsia="仿宋_GB2312"/>
                <w:sz w:val="21"/>
                <w:szCs w:val="21"/>
              </w:rPr>
              <w:t>能够长期较好满足所服务对象</w:t>
            </w:r>
          </w:p>
        </w:tc>
        <w:tc>
          <w:tcPr>
            <w:tcW w:w="851" w:type="dxa"/>
            <w:tcBorders>
              <w:tl2br w:val="nil"/>
              <w:tr2bl w:val="nil"/>
            </w:tcBorders>
            <w:vAlign w:val="center"/>
          </w:tcPr>
          <w:p>
            <w:pPr>
              <w:pStyle w:val="22"/>
              <w:rPr>
                <w:rFonts w:eastAsia="仿宋_GB2312"/>
                <w:sz w:val="21"/>
                <w:szCs w:val="21"/>
              </w:rPr>
            </w:pPr>
            <w:r>
              <w:rPr>
                <w:rFonts w:hint="eastAsia" w:eastAsia="仿宋_GB2312"/>
                <w:sz w:val="21"/>
                <w:szCs w:val="21"/>
              </w:rPr>
              <w:t>文字描述</w:t>
            </w:r>
          </w:p>
        </w:tc>
        <w:tc>
          <w:tcPr>
            <w:tcW w:w="732" w:type="dxa"/>
            <w:tcBorders>
              <w:tl2br w:val="nil"/>
              <w:tr2bl w:val="nil"/>
            </w:tcBorders>
            <w:vAlign w:val="center"/>
          </w:tcPr>
          <w:p>
            <w:pPr>
              <w:pStyle w:val="22"/>
              <w:rPr>
                <w:rFonts w:eastAsia="仿宋_GB2312"/>
                <w:sz w:val="21"/>
                <w:szCs w:val="21"/>
              </w:rPr>
            </w:pPr>
            <w:r>
              <w:rPr>
                <w:rFonts w:hint="eastAsia" w:eastAsia="仿宋_GB2312"/>
                <w:sz w:val="21"/>
                <w:szCs w:val="21"/>
              </w:rPr>
              <w:t>有所提高</w:t>
            </w:r>
          </w:p>
        </w:tc>
        <w:tc>
          <w:tcPr>
            <w:tcW w:w="708" w:type="dxa"/>
            <w:tcBorders>
              <w:tl2br w:val="nil"/>
              <w:tr2bl w:val="nil"/>
            </w:tcBorders>
            <w:vAlign w:val="center"/>
          </w:tcPr>
          <w:p>
            <w:pPr>
              <w:pStyle w:val="22"/>
              <w:rPr>
                <w:rFonts w:eastAsia="仿宋_GB2312"/>
                <w:sz w:val="21"/>
                <w:szCs w:val="21"/>
              </w:rPr>
            </w:pPr>
          </w:p>
        </w:tc>
        <w:tc>
          <w:tcPr>
            <w:tcW w:w="1560" w:type="dxa"/>
            <w:tcBorders>
              <w:tl2br w:val="nil"/>
              <w:tr2bl w:val="nil"/>
            </w:tcBorders>
            <w:vAlign w:val="center"/>
          </w:tcPr>
          <w:p>
            <w:pPr>
              <w:pStyle w:val="22"/>
              <w:rPr>
                <w:rFonts w:eastAsia="仿宋_GB2312"/>
                <w:sz w:val="21"/>
                <w:szCs w:val="21"/>
              </w:rPr>
            </w:pPr>
            <w:r>
              <w:rPr>
                <w:rFonts w:hint="eastAsia" w:eastAsia="仿宋_GB2312"/>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448" w:type="dxa"/>
            <w:vMerge w:val="continue"/>
            <w:tcBorders>
              <w:tl2br w:val="nil"/>
              <w:tr2bl w:val="nil"/>
            </w:tcBorders>
            <w:vAlign w:val="center"/>
          </w:tcPr>
          <w:p/>
        </w:tc>
        <w:tc>
          <w:tcPr>
            <w:tcW w:w="1134" w:type="dxa"/>
            <w:tcBorders>
              <w:tl2br w:val="nil"/>
              <w:tr2bl w:val="nil"/>
            </w:tcBorders>
            <w:vAlign w:val="center"/>
          </w:tcPr>
          <w:p>
            <w:pPr>
              <w:pStyle w:val="22"/>
              <w:ind w:left="0" w:leftChars="0" w:firstLine="0" w:firstLineChars="0"/>
              <w:rPr>
                <w:rFonts w:eastAsia="仿宋_GB2312"/>
                <w:sz w:val="21"/>
                <w:szCs w:val="21"/>
              </w:rPr>
            </w:pPr>
            <w:r>
              <w:rPr>
                <w:rFonts w:hint="eastAsia" w:eastAsia="仿宋_GB2312"/>
                <w:sz w:val="21"/>
                <w:szCs w:val="21"/>
              </w:rPr>
              <w:t>满意度</w:t>
            </w:r>
          </w:p>
        </w:tc>
        <w:tc>
          <w:tcPr>
            <w:tcW w:w="1134" w:type="dxa"/>
            <w:tcBorders>
              <w:tl2br w:val="nil"/>
              <w:tr2bl w:val="nil"/>
            </w:tcBorders>
            <w:noWrap/>
            <w:vAlign w:val="center"/>
          </w:tcPr>
          <w:p>
            <w:pPr>
              <w:pStyle w:val="22"/>
              <w:ind w:firstLine="0"/>
              <w:rPr>
                <w:rFonts w:eastAsia="仿宋_GB2312"/>
                <w:sz w:val="21"/>
                <w:szCs w:val="21"/>
              </w:rPr>
            </w:pPr>
            <w:r>
              <w:rPr>
                <w:rFonts w:hint="eastAsia" w:eastAsia="仿宋_GB2312"/>
                <w:sz w:val="21"/>
                <w:szCs w:val="21"/>
              </w:rPr>
              <w:t>科学设置行政审批局功能区满意度</w:t>
            </w:r>
          </w:p>
        </w:tc>
        <w:tc>
          <w:tcPr>
            <w:tcW w:w="2410" w:type="dxa"/>
            <w:tcBorders>
              <w:tl2br w:val="nil"/>
              <w:tr2bl w:val="nil"/>
            </w:tcBorders>
            <w:noWrap/>
            <w:vAlign w:val="center"/>
          </w:tcPr>
          <w:p>
            <w:pPr>
              <w:pStyle w:val="22"/>
              <w:ind w:firstLine="0"/>
              <w:rPr>
                <w:rFonts w:eastAsia="仿宋_GB2312"/>
                <w:sz w:val="21"/>
                <w:szCs w:val="21"/>
              </w:rPr>
            </w:pPr>
            <w:r>
              <w:rPr>
                <w:rFonts w:hint="eastAsia" w:eastAsia="仿宋_GB2312"/>
                <w:sz w:val="21"/>
                <w:szCs w:val="21"/>
              </w:rPr>
              <w:t>完成考核得10分，未完成按比例扣分</w:t>
            </w:r>
          </w:p>
        </w:tc>
        <w:tc>
          <w:tcPr>
            <w:tcW w:w="2835" w:type="dxa"/>
            <w:tcBorders>
              <w:tl2br w:val="nil"/>
              <w:tr2bl w:val="nil"/>
            </w:tcBorders>
            <w:noWrap/>
            <w:vAlign w:val="center"/>
          </w:tcPr>
          <w:p>
            <w:pPr>
              <w:pStyle w:val="22"/>
              <w:ind w:firstLine="0"/>
              <w:rPr>
                <w:rFonts w:eastAsia="仿宋_GB2312"/>
                <w:sz w:val="21"/>
                <w:szCs w:val="21"/>
              </w:rPr>
            </w:pPr>
            <w:r>
              <w:rPr>
                <w:rFonts w:hint="eastAsia" w:eastAsia="仿宋_GB2312"/>
                <w:sz w:val="21"/>
                <w:szCs w:val="21"/>
              </w:rPr>
              <w:t>各功能区划分合理性，实用性及窗口工作人员满意度</w:t>
            </w:r>
          </w:p>
        </w:tc>
        <w:tc>
          <w:tcPr>
            <w:tcW w:w="851" w:type="dxa"/>
            <w:tcBorders>
              <w:tl2br w:val="nil"/>
              <w:tr2bl w:val="nil"/>
            </w:tcBorders>
            <w:vAlign w:val="center"/>
          </w:tcPr>
          <w:p>
            <w:pPr>
              <w:pStyle w:val="22"/>
              <w:rPr>
                <w:rFonts w:eastAsia="仿宋_GB2312"/>
                <w:sz w:val="21"/>
                <w:szCs w:val="21"/>
              </w:rPr>
            </w:pPr>
            <w:r>
              <w:rPr>
                <w:rFonts w:hint="eastAsia" w:eastAsia="仿宋_GB2312"/>
                <w:sz w:val="21"/>
                <w:szCs w:val="21"/>
              </w:rPr>
              <w:t>≥</w:t>
            </w:r>
          </w:p>
        </w:tc>
        <w:tc>
          <w:tcPr>
            <w:tcW w:w="732" w:type="dxa"/>
            <w:tcBorders>
              <w:tl2br w:val="nil"/>
              <w:tr2bl w:val="nil"/>
            </w:tcBorders>
            <w:vAlign w:val="center"/>
          </w:tcPr>
          <w:p>
            <w:pPr>
              <w:pStyle w:val="22"/>
              <w:rPr>
                <w:rFonts w:eastAsia="仿宋_GB2312"/>
                <w:sz w:val="21"/>
                <w:szCs w:val="21"/>
              </w:rPr>
            </w:pPr>
            <w:r>
              <w:rPr>
                <w:rFonts w:hint="eastAsia" w:eastAsia="仿宋_GB2312"/>
                <w:sz w:val="21"/>
                <w:szCs w:val="21"/>
              </w:rPr>
              <w:t>95</w:t>
            </w:r>
          </w:p>
        </w:tc>
        <w:tc>
          <w:tcPr>
            <w:tcW w:w="708" w:type="dxa"/>
            <w:tcBorders>
              <w:tl2br w:val="nil"/>
              <w:tr2bl w:val="nil"/>
            </w:tcBorders>
            <w:vAlign w:val="center"/>
          </w:tcPr>
          <w:p>
            <w:pPr>
              <w:pStyle w:val="22"/>
              <w:rPr>
                <w:rFonts w:eastAsia="仿宋_GB2312"/>
                <w:sz w:val="21"/>
                <w:szCs w:val="21"/>
              </w:rPr>
            </w:pPr>
            <w:r>
              <w:rPr>
                <w:rFonts w:hint="eastAsia" w:eastAsia="仿宋_GB2312"/>
                <w:sz w:val="21"/>
                <w:szCs w:val="21"/>
              </w:rPr>
              <w:t>%</w:t>
            </w:r>
          </w:p>
        </w:tc>
        <w:tc>
          <w:tcPr>
            <w:tcW w:w="1560" w:type="dxa"/>
            <w:tcBorders>
              <w:tl2br w:val="nil"/>
              <w:tr2bl w:val="nil"/>
            </w:tcBorders>
            <w:vAlign w:val="center"/>
          </w:tcPr>
          <w:p>
            <w:pPr>
              <w:pStyle w:val="22"/>
              <w:rPr>
                <w:rFonts w:eastAsia="仿宋_GB2312"/>
                <w:sz w:val="21"/>
                <w:szCs w:val="21"/>
              </w:rPr>
            </w:pPr>
            <w:r>
              <w:rPr>
                <w:rFonts w:hint="eastAsia" w:eastAsia="仿宋_GB2312"/>
                <w:sz w:val="21"/>
                <w:szCs w:val="21"/>
              </w:rPr>
              <w:t>问询</w:t>
            </w:r>
          </w:p>
        </w:tc>
      </w:tr>
    </w:tbl>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政务中心运行经费</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1、保障水电费的按时缴纳；2、保障食堂的正常运行；3、保障政务中心院内各单位的正常运转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保障缴纳水电费月数</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保障缴纳水电费的月数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12月</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政务中心正常运转率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政务中心正常运转天数与全年天数的比率</w:t>
            </w:r>
          </w:p>
        </w:tc>
        <w:tc>
          <w:tcPr>
            <w:tcW w:w="1843" w:type="dxa"/>
            <w:shd w:val="clear" w:color="auto" w:fill="auto"/>
            <w:vAlign w:val="center"/>
          </w:tcPr>
          <w:p>
            <w:pPr>
              <w:spacing w:line="300" w:lineRule="exact"/>
              <w:jc w:val="left"/>
              <w:rPr>
                <w:rFonts w:ascii="Times New Roman" w:hAnsi="Times New Roman" w:eastAsia="方正书宋_GBK" w:cs="Times New Roman"/>
              </w:rPr>
            </w:pPr>
            <w:r>
              <w:rPr>
                <w:rFonts w:hint="eastAsia" w:ascii="方正书宋_GBK" w:eastAsia="方正书宋_GBK"/>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水电费缴纳及时性</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水电费缴纳及时性</w:t>
            </w:r>
          </w:p>
        </w:tc>
        <w:tc>
          <w:tcPr>
            <w:tcW w:w="1843" w:type="dxa"/>
            <w:shd w:val="clear" w:color="auto" w:fill="auto"/>
            <w:vAlign w:val="center"/>
          </w:tcPr>
          <w:p>
            <w:pPr>
              <w:spacing w:line="300" w:lineRule="exact"/>
              <w:jc w:val="left"/>
              <w:rPr>
                <w:rFonts w:ascii="Times New Roman" w:hAnsi="Times New Roman" w:eastAsia="方正书宋_GBK" w:cs="Times New Roman"/>
              </w:rPr>
            </w:pPr>
            <w:r>
              <w:rPr>
                <w:rFonts w:hint="eastAsia" w:ascii="方正书宋_GBK" w:eastAsia="方正书宋_GBK"/>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保障各单位正常运行</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保障政务中心各单位正常运行率</w:t>
            </w:r>
          </w:p>
        </w:tc>
        <w:tc>
          <w:tcPr>
            <w:tcW w:w="1843" w:type="dxa"/>
            <w:shd w:val="clear" w:color="auto" w:fill="auto"/>
            <w:vAlign w:val="center"/>
          </w:tcPr>
          <w:p>
            <w:pPr>
              <w:spacing w:line="300" w:lineRule="exact"/>
              <w:jc w:val="left"/>
              <w:rPr>
                <w:rFonts w:ascii="Times New Roman" w:hAnsi="Times New Roman" w:eastAsia="方正书宋_GBK" w:cs="Times New Roman"/>
              </w:rPr>
            </w:pPr>
            <w:r>
              <w:rPr>
                <w:rFonts w:hint="eastAsia" w:ascii="方正书宋_GBK" w:eastAsia="方正书宋_GBK"/>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1843" w:type="dxa"/>
            <w:shd w:val="clear" w:color="auto" w:fill="auto"/>
            <w:vAlign w:val="center"/>
          </w:tcPr>
          <w:p>
            <w:pPr>
              <w:spacing w:line="300" w:lineRule="exact"/>
              <w:jc w:val="left"/>
              <w:rPr>
                <w:rFonts w:ascii="Times New Roman" w:hAnsi="Times New Roman" w:eastAsia="方正书宋_GBK" w:cs="Times New Roman"/>
              </w:rPr>
            </w:pPr>
            <w:r>
              <w:rPr>
                <w:rFonts w:hint="eastAsia" w:ascii="方正书宋_GBK" w:eastAsia="方正书宋_GBK"/>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工作要求</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国防动员指挥培训基地物业服务经费</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1、为院内各单位营造良好的工作环境；2、加强对公共秩序、车辆、环境等管理工作；3、保障院内各单位正常运转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配备物业服务人员数量</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配备物业服务人员数量不少于</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21人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后勤保障率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后勤保障率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法定时效</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按照合同规定时间</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符合法定时效</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有所降低</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去年同期发生额对比</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有所降低</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社会稳定水平</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通过完善后勤保障使社会水平逐步提高</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有所提高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经济效益指标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促进经济增长水平</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促进经济增长水平</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有所提高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生态效益指标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美化环境</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美化环境能力</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有所提高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可持续影响力</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能够长期较好满足所服务对象</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有所提高</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各服务单位满意度</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ascii="Arial" w:hAnsi="Arial" w:eastAsia="仿宋_GB2312"/>
              </w:rPr>
              <w:t>≥</w:t>
            </w: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满意度调查</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bookmarkEnd w:id="1"/>
      <w:bookmarkStart w:id="2" w:name="_Toc64920910"/>
    </w:p>
    <w:p>
      <w:pPr>
        <w:jc w:val="center"/>
        <w:outlineLvl w:val="1"/>
        <w:rPr>
          <w:rFonts w:ascii="方正小标宋_GBK" w:eastAsia="方正小标宋_GBK" w:cs="Times New Roman"/>
          <w:sz w:val="32"/>
        </w:rPr>
      </w:pPr>
      <w:r>
        <w:rPr>
          <w:rFonts w:hint="eastAsia" w:ascii="方正小标宋_GBK" w:eastAsia="方正小标宋_GBK" w:cs="Times New Roman"/>
          <w:sz w:val="32"/>
        </w:rPr>
        <w:t>部门政府采购预算</w:t>
      </w:r>
      <w:bookmarkEnd w:id="2"/>
    </w:p>
    <w:p>
      <w:pPr>
        <w:jc w:val="center"/>
        <w:outlineLvl w:val="1"/>
        <w:rPr>
          <w:rFonts w:ascii="方正小标宋_GBK" w:eastAsia="方正小标宋_GBK" w:cs="Times New Roman"/>
          <w:sz w:val="32"/>
        </w:rPr>
      </w:pPr>
      <w:r>
        <w:rPr>
          <w:rFonts w:hint="eastAsia"/>
        </w:rPr>
        <w:t>[</w:t>
      </w:r>
      <w:r>
        <w:t>161001]廊坊市</w:t>
      </w:r>
      <w:r>
        <w:rPr>
          <w:rFonts w:hint="eastAsia"/>
        </w:rPr>
        <w:t>广阳区行政审批局</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87"/>
        <w:gridCol w:w="1043"/>
        <w:gridCol w:w="1043"/>
        <w:gridCol w:w="652"/>
        <w:gridCol w:w="782"/>
        <w:gridCol w:w="782"/>
        <w:gridCol w:w="887"/>
        <w:gridCol w:w="887"/>
        <w:gridCol w:w="887"/>
        <w:gridCol w:w="887"/>
        <w:gridCol w:w="887"/>
        <w:gridCol w:w="888"/>
        <w:gridCol w:w="888"/>
        <w:gridCol w:w="888"/>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9"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2" w:type="pct"/>
            <w:gridSpan w:val="8"/>
            <w:vAlign w:val="center"/>
          </w:tcPr>
          <w:p>
            <w:pPr>
              <w:pStyle w:val="12"/>
            </w:pPr>
            <w:r>
              <w:t>政府采购金额（当年部门预算安排资金）</w:t>
            </w:r>
          </w:p>
        </w:tc>
        <w:tc>
          <w:tcPr>
            <w:tcW w:w="313"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1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3" w:type="pct"/>
            <w:vAlign w:val="center"/>
          </w:tcPr>
          <w:p>
            <w:pPr>
              <w:pStyle w:val="17"/>
              <w:rPr>
                <w:lang w:eastAsia="zh-CN"/>
              </w:rPr>
            </w:pPr>
            <w:r>
              <w:rPr>
                <w:rFonts w:hint="eastAsia"/>
                <w:lang w:eastAsia="zh-CN"/>
              </w:rPr>
              <w:t>0</w:t>
            </w: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4"/>
            </w:pPr>
          </w:p>
        </w:tc>
        <w:tc>
          <w:tcPr>
            <w:tcW w:w="313" w:type="pct"/>
            <w:vAlign w:val="center"/>
          </w:tcPr>
          <w:p>
            <w:pPr>
              <w:pStyle w:val="13"/>
            </w:pPr>
          </w:p>
        </w:tc>
        <w:tc>
          <w:tcPr>
            <w:tcW w:w="368" w:type="pct"/>
            <w:vAlign w:val="center"/>
          </w:tcPr>
          <w:p>
            <w:pPr>
              <w:pStyle w:val="14"/>
            </w:pPr>
          </w:p>
        </w:tc>
        <w:tc>
          <w:tcPr>
            <w:tcW w:w="368" w:type="pct"/>
            <w:vAlign w:val="center"/>
          </w:tcPr>
          <w:p>
            <w:pPr>
              <w:pStyle w:val="14"/>
            </w:pPr>
          </w:p>
        </w:tc>
        <w:tc>
          <w:tcPr>
            <w:tcW w:w="230" w:type="pct"/>
            <w:vAlign w:val="center"/>
          </w:tcPr>
          <w:p>
            <w:pPr>
              <w:pStyle w:val="15"/>
            </w:pPr>
          </w:p>
        </w:tc>
        <w:tc>
          <w:tcPr>
            <w:tcW w:w="276" w:type="pct"/>
            <w:vAlign w:val="center"/>
          </w:tcPr>
          <w:p>
            <w:pPr>
              <w:pStyle w:val="13"/>
            </w:pPr>
          </w:p>
        </w:tc>
        <w:tc>
          <w:tcPr>
            <w:tcW w:w="276"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广阳区行政审批局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75.4</w:t>
      </w:r>
      <w:r>
        <w:rPr>
          <w:rFonts w:ascii="Times New Roman" w:hAnsi="Times New Roman" w:eastAsia="仿宋_GB2312" w:cs="Times New Roman"/>
          <w:sz w:val="32"/>
          <w:szCs w:val="32"/>
        </w:rPr>
        <w:t>4万元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t>廊坊市</w:t>
            </w:r>
            <w:r>
              <w:rPr>
                <w:rFonts w:hint="eastAsia"/>
              </w:rPr>
              <w:t xml:space="preserve">广阳区行政审批局 </w:t>
            </w:r>
          </w:p>
        </w:tc>
        <w:tc>
          <w:tcPr>
            <w:tcW w:w="5103" w:type="dxa"/>
            <w:tcBorders>
              <w:top w:val="nil"/>
              <w:left w:val="nil"/>
              <w:bottom w:val="nil"/>
              <w:right w:val="nil"/>
            </w:tcBorders>
            <w:shd w:val="clear" w:color="auto" w:fill="auto"/>
            <w:noWrap/>
            <w:vAlign w:val="center"/>
          </w:tcPr>
          <w:p>
            <w:pPr>
              <w:widowControl/>
              <w:spacing w:line="584" w:lineRule="exact"/>
              <w:ind w:firstLine="1980" w:firstLineChars="9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75.4</w:t>
            </w:r>
            <w:r>
              <w:rPr>
                <w:rFonts w:ascii="Times New Roman" w:hAnsi="Times New Roman" w:eastAsia="仿宋_GB2312" w:cs="Times New Roman"/>
                <w:sz w:val="22"/>
              </w:rPr>
              <w:t>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19.62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ind w:firstLine="1540" w:firstLineChars="700"/>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55.8</w:t>
            </w:r>
            <w:r>
              <w:rPr>
                <w:rFonts w:ascii="Times New Roman" w:hAnsi="Times New Roman" w:eastAsia="仿宋_GB2312" w:cs="Times New Roman"/>
                <w:sz w:val="22"/>
              </w:rPr>
              <w:t>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474AC"/>
    <w:rsid w:val="000B12B1"/>
    <w:rsid w:val="000F6018"/>
    <w:rsid w:val="00135FDF"/>
    <w:rsid w:val="0025632D"/>
    <w:rsid w:val="003059E0"/>
    <w:rsid w:val="004838AF"/>
    <w:rsid w:val="004A54AA"/>
    <w:rsid w:val="0055767B"/>
    <w:rsid w:val="00574DC3"/>
    <w:rsid w:val="005E5154"/>
    <w:rsid w:val="0061553F"/>
    <w:rsid w:val="006F2AA5"/>
    <w:rsid w:val="007116F0"/>
    <w:rsid w:val="008E5E3B"/>
    <w:rsid w:val="00903DD0"/>
    <w:rsid w:val="00944233"/>
    <w:rsid w:val="00B40732"/>
    <w:rsid w:val="00B64374"/>
    <w:rsid w:val="00B74CF0"/>
    <w:rsid w:val="00B80935"/>
    <w:rsid w:val="00C30F38"/>
    <w:rsid w:val="00D347CC"/>
    <w:rsid w:val="00DC72B4"/>
    <w:rsid w:val="00E56EE0"/>
    <w:rsid w:val="00EA35B1"/>
    <w:rsid w:val="00EF6EAC"/>
    <w:rsid w:val="00F8795D"/>
    <w:rsid w:val="00F963BF"/>
    <w:rsid w:val="0668634F"/>
    <w:rsid w:val="0CEC1180"/>
    <w:rsid w:val="11790FA9"/>
    <w:rsid w:val="29E4176D"/>
    <w:rsid w:val="2F6C3141"/>
    <w:rsid w:val="36E071ED"/>
    <w:rsid w:val="43457F00"/>
    <w:rsid w:val="54264B2F"/>
    <w:rsid w:val="55683036"/>
    <w:rsid w:val="646346A2"/>
    <w:rsid w:val="663A29CD"/>
    <w:rsid w:val="6AE461D0"/>
    <w:rsid w:val="72BB6F62"/>
    <w:rsid w:val="73693C55"/>
    <w:rsid w:val="76617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Normal]"/>
    <w:qFormat/>
    <w:uiPriority w:val="0"/>
    <w:rPr>
      <w:rFonts w:ascii="宋体" w:hAnsi="宋体" w:eastAsia="宋体" w:cs="Times New Roman"/>
      <w:sz w:val="24"/>
      <w:lang w:val="en-US" w:eastAsia="en-US" w:bidi="ar-SA"/>
    </w:rPr>
  </w:style>
  <w:style w:type="paragraph" w:customStyle="1" w:styleId="20">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842</Words>
  <Characters>4805</Characters>
  <Lines>40</Lines>
  <Paragraphs>11</Paragraphs>
  <TotalTime>200</TotalTime>
  <ScaleCrop>false</ScaleCrop>
  <LinksUpToDate>false</LinksUpToDate>
  <CharactersWithSpaces>5636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Administrator</cp:lastModifiedBy>
  <cp:lastPrinted>2018-01-30T06:12:00Z</cp:lastPrinted>
  <dcterms:modified xsi:type="dcterms:W3CDTF">2024-01-11T05:55:11Z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782FE84D800B4B7F990A3F9A5E43D02C</vt:lpwstr>
  </property>
</Properties>
</file>