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中国人民政治协商会议</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eastAsia="zh-CN"/>
        </w:rPr>
        <w:t>委员会</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lang w:eastAsia="zh-CN"/>
        </w:rPr>
        <w:t>中国人民政治协商会议廊坊市广阳区委员会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根据《中国人民政治协商会议廊坊市广阳区委员会职能配置、内设机构和人员编制规定》， 中国人民政治协商会议廊坊市广阳区委员会的主要职责是：</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（一）按照中国人民政治协商会议章程进行工作。</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（二）主要职能是政治协商和民主监督，组织参加本会的各党派、团体和各族各界人士参政议政。</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（三）宣传和贯彻执行国家的宪法法律和各项方针、政策，推动社会力量积极参加物质文明和社会主义精神文明建设，协助国家机关打击经济领域和其他领域内破坏社会主义的犯罪活动。</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四）密切联系各族各界人士，反映他们及其所联系的群众意见和要求，对国家机关和机关工作人员的工作提出建议和批评，协助国家机关进行机构改革和体制改革，改进工作提高工作效率，克服官僚主义，加强廉政建设。</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（五）调整和处理统一战线各方面的关系和人民政协内部合作的重要事项。</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（六）通过各种形式，积极传播先进思想，开展爱祖国、爱人民、爱劳动、爱科学、爱社会主义的公德及革命的理想、道德和纪律的宣传教育工作。</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坚持发展科学、繁荣文化的“百花齐放、百鸟齐鸣”的方针，密切联系国家机关和其他有关组织，在政治、法律、经济、教育、科学、技术、文化艺术、医药卫生、体育等方面开展调整研究等活动，广开言路，广开才路，充分发挥委员的专长和作用。</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（八）组织委员视察、参观和调查，了解情况，就各项事业和群众生活的重要问题进行研究，通过建议案、提案和其他形式向党委、政府和其他有关组织提出建议和批评。</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（九）推动委员在自愿的基础上学习马克思列宁主义、毛泽东思想和邓小平理论，学习时事政治、学习和交流业务和科学技术知识，增强为祖国服务的才能。</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（十）宣传和参与贯彻执行国家关于统一祖国的方针政策，积极开展同台湾同胞和各界人士的联系，促进祖国统一大业的实现。</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（十一）宣传和协助贯彻执行国家的知识分子政策，以利于充分发挥知识分子在社会主义现代化建设中的作用。</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二）宣传和协助贯彻执行国家的民族政策，反映少数民族的意见和要求，为发展少数民族地区的经济、文化，维护少数民族的合法权利和利益，改善和发展社会主义的民族关系，增进各族人民的大团结和维护祖国统一贡献力量。</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（十三）宣传和协助贯彻执行国家的宗教政策，团结宗教界爱国人士和宗教信仰者为祖国的建设和统一贡献力量。</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（十四）宣传和协助贯彻执行国家的侨务政策。加强同国外侨胞的联系和团结，鼓励他们为祖国的建设事业和统一祖国的大业作出贡献。</w:t>
      </w:r>
    </w:p>
    <w:p>
      <w:pPr>
        <w:spacing w:line="584" w:lineRule="exact"/>
        <w:ind w:firstLine="640" w:firstLineChars="200"/>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（十五）根据统一战线组织的特点进行关于地方近代、现代史料的征集研究和出版工作。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10"/>
        <w:tblW w:w="1044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320"/>
        <w:gridCol w:w="1214"/>
        <w:gridCol w:w="1280"/>
        <w:gridCol w:w="26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32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21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80"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63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320" w:type="dxa"/>
            <w:vMerge w:val="continue"/>
            <w:shd w:val="clear" w:color="auto" w:fill="auto"/>
            <w:vAlign w:val="center"/>
          </w:tcPr>
          <w:p/>
        </w:tc>
        <w:tc>
          <w:tcPr>
            <w:tcW w:w="1214" w:type="dxa"/>
            <w:vMerge w:val="continue"/>
            <w:shd w:val="clear" w:color="auto" w:fill="auto"/>
            <w:vAlign w:val="center"/>
          </w:tcPr>
          <w:p/>
        </w:tc>
        <w:tc>
          <w:tcPr>
            <w:tcW w:w="1280" w:type="dxa"/>
            <w:vMerge w:val="continue"/>
            <w:shd w:val="clear" w:color="auto" w:fill="auto"/>
            <w:vAlign w:val="center"/>
          </w:tcPr>
          <w:p/>
        </w:tc>
        <w:tc>
          <w:tcPr>
            <w:tcW w:w="2633"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5320" w:type="dxa"/>
            <w:shd w:val="clear" w:color="auto" w:fill="auto"/>
            <w:vAlign w:val="top"/>
          </w:tcPr>
          <w:p>
            <w:pPr>
              <w:spacing w:line="584" w:lineRule="exact"/>
              <w:jc w:val="center"/>
              <w:rPr>
                <w:rFonts w:ascii="仿宋" w:hAnsi="Calibri" w:eastAsia="仿宋" w:cs="ArialUnicodeMS"/>
                <w:kern w:val="0"/>
                <w:sz w:val="24"/>
                <w:szCs w:val="22"/>
                <w:lang w:val="en-US" w:eastAsia="zh-CN" w:bidi="ar-SA"/>
              </w:rPr>
            </w:pPr>
            <w:r>
              <w:rPr>
                <w:rFonts w:hint="eastAsia" w:ascii="Times New Roman" w:hAnsi="Times New Roman" w:eastAsia="仿宋_GB2312" w:cs="Times New Roman"/>
                <w:b/>
              </w:rPr>
              <w:t>中国人民政治协商会议廊坊市广阳区委员会</w:t>
            </w:r>
          </w:p>
        </w:tc>
        <w:tc>
          <w:tcPr>
            <w:tcW w:w="1214"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行政</w:t>
            </w:r>
          </w:p>
        </w:tc>
        <w:tc>
          <w:tcPr>
            <w:tcW w:w="1280"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正处级</w:t>
            </w:r>
          </w:p>
        </w:tc>
        <w:tc>
          <w:tcPr>
            <w:tcW w:w="2633" w:type="dxa"/>
            <w:shd w:val="clear" w:color="auto" w:fill="auto"/>
            <w:vAlign w:val="center"/>
          </w:tcPr>
          <w:p>
            <w:pPr>
              <w:spacing w:line="584" w:lineRule="exact"/>
              <w:jc w:val="center"/>
              <w:rPr>
                <w:rFonts w:ascii="Times New Roman" w:hAnsi="Times New Roman" w:eastAsia="仿宋_GB2312" w:cs="Times New Roman"/>
                <w:b/>
                <w:kern w:val="2"/>
                <w:sz w:val="21"/>
                <w:szCs w:val="22"/>
                <w:lang w:val="en-US" w:eastAsia="zh-CN" w:bidi="ar-SA"/>
              </w:rPr>
            </w:pPr>
            <w:r>
              <w:rPr>
                <w:rFonts w:ascii="Times New Roman" w:hAnsi="Times New Roman" w:eastAsia="仿宋_GB2312" w:cs="Times New Roman"/>
                <w:b/>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部门预算的编制实行综合预算制度，即全部收入和支出都反映在预算中。中国人民政治协商会议廊坊市广阳区委员会机关的收支包含在部门预算中。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1036.06</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1036.06</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广阳区政协</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1036.06</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916.06</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784.97</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131.09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120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1036.06</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lang w:val="en-US" w:eastAsia="zh-CN"/>
        </w:rPr>
        <w:t>118.85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lang w:val="en-US" w:eastAsia="zh-CN"/>
        </w:rPr>
        <w:t>110.85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eastAsia="zh-CN"/>
        </w:rPr>
        <w:t>人员工资</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万元，主要为项目</w:t>
      </w:r>
      <w:r>
        <w:rPr>
          <w:rFonts w:hint="eastAsia" w:ascii="Times New Roman" w:hAnsi="Times New Roman" w:eastAsia="仿宋_GB2312" w:cs="Times New Roman"/>
          <w:sz w:val="32"/>
          <w:szCs w:val="32"/>
          <w:lang w:eastAsia="zh-CN"/>
        </w:rPr>
        <w:t>委员之家经费和</w:t>
      </w:r>
      <w:r>
        <w:rPr>
          <w:rFonts w:ascii="Times New Roman" w:hAnsi="Times New Roman" w:eastAsia="仿宋_GB2312" w:cs="Times New Roman"/>
          <w:sz w:val="32"/>
          <w:szCs w:val="32"/>
        </w:rPr>
        <w:t>视察调研活动经费支出。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131.09</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eastAsia="zh-CN"/>
        </w:rPr>
        <w:t>政协</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37.26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8.76</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8.76</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28.5</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highlight w:val="none"/>
        </w:rPr>
        <w:t>持平</w:t>
      </w:r>
      <w:r>
        <w:rPr>
          <w:rFonts w:ascii="Times New Roman" w:hAnsi="Times New Roman" w:eastAsia="仿宋_GB2312" w:cs="Times New Roman"/>
          <w:color w:val="auto"/>
          <w:sz w:val="32"/>
          <w:szCs w:val="32"/>
        </w:rPr>
        <w:t>，无增减变化</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84" w:lineRule="exact"/>
        <w:ind w:left="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21"/>
        <w:keepNext w:val="0"/>
        <w:keepLines w:val="0"/>
        <w:pageBreakBefore w:val="0"/>
        <w:widowControl w:val="0"/>
        <w:kinsoku/>
        <w:wordWrap/>
        <w:overflowPunct/>
        <w:topLinePunct w:val="0"/>
        <w:bidi w:val="0"/>
        <w:snapToGrid/>
        <w:spacing w:line="584" w:lineRule="exact"/>
        <w:textAlignment w:val="auto"/>
        <w:rPr>
          <w:rFonts w:ascii="Times New Roman" w:hAnsi="Times New Roman" w:eastAsia="仿宋_GB2312" w:cs="Times New Roman"/>
          <w:kern w:val="2"/>
          <w:sz w:val="32"/>
          <w:szCs w:val="32"/>
          <w:lang w:val="en-US" w:eastAsia="zh-CN" w:bidi="ar-SA"/>
        </w:rPr>
      </w:pPr>
      <w:r>
        <w:rPr>
          <w:rFonts w:ascii="Times New Roman" w:hAnsi="Times New Roman" w:eastAsia="仿宋_GB2312" w:cs="Times New Roman"/>
          <w:kern w:val="2"/>
          <w:sz w:val="32"/>
          <w:szCs w:val="32"/>
          <w:lang w:val="en-US" w:eastAsia="zh-CN" w:bidi="ar-SA"/>
        </w:rPr>
        <w:t>以习近平新时代中国特色社会主义思想为指导，全面学习贯彻党的十九大和十九届二中、三中、四中、五中全会及中央和省、市、区委政协工作会议精神，深入贯彻落实</w:t>
      </w:r>
      <w:bookmarkStart w:id="3" w:name="_GoBack"/>
      <w:bookmarkEnd w:id="3"/>
      <w:r>
        <w:rPr>
          <w:rFonts w:hint="eastAsia" w:eastAsia="仿宋_GB2312" w:cs="Times New Roman"/>
          <w:kern w:val="2"/>
          <w:sz w:val="32"/>
          <w:szCs w:val="32"/>
          <w:lang w:val="en-US" w:eastAsia="zh-CN" w:bidi="ar-SA"/>
        </w:rPr>
        <w:t>习近平总书记关于加强和改进人民政协工作的重要思想</w:t>
      </w:r>
      <w:r>
        <w:rPr>
          <w:rFonts w:ascii="Times New Roman" w:hAnsi="Times New Roman" w:eastAsia="仿宋_GB2312" w:cs="Times New Roman"/>
          <w:kern w:val="2"/>
          <w:sz w:val="32"/>
          <w:szCs w:val="32"/>
          <w:lang w:val="en-US" w:eastAsia="zh-CN" w:bidi="ar-SA"/>
        </w:rPr>
        <w:t>，聚焦新方位新使命，抓好机关干部教育、委员专题培训，政协理论研究等工作，改进学习方法，提高学习效果，提升理论学习的吸引力和感染力；突出工作主轴主线，把握履职中心环节，围绕区委五届八次全会确定的“全域主城区”发展理念和“一核两区五带”发展战略，主动在新时代全局中定位，聚焦全区中心任务，科学制定年度协商计划，报区委审议后狠抓落实；丰富协商形式，完善以全体会议为龙头、以专题议政性</w:t>
      </w:r>
      <w:r>
        <w:rPr>
          <w:rFonts w:hint="eastAsia" w:eastAsia="仿宋_GB2312" w:cs="Times New Roman"/>
          <w:kern w:val="2"/>
          <w:sz w:val="32"/>
          <w:szCs w:val="32"/>
          <w:lang w:val="en-US" w:eastAsia="zh-CN" w:bidi="ar-SA"/>
        </w:rPr>
        <w:t>常委会会议</w:t>
      </w:r>
      <w:r>
        <w:rPr>
          <w:rFonts w:ascii="Times New Roman" w:hAnsi="Times New Roman" w:eastAsia="仿宋_GB2312" w:cs="Times New Roman"/>
          <w:kern w:val="2"/>
          <w:sz w:val="32"/>
          <w:szCs w:val="32"/>
          <w:lang w:val="en-US" w:eastAsia="zh-CN" w:bidi="ar-SA"/>
        </w:rPr>
        <w:t>和专题协商会、协商座谈会等为重点的协商议政格局，更加灵活、更为经常地开展专题协商、对口协商、界别协商、提案办理协商。积极探索网络议政、远程协商等新形式；彰显政协责任担当，加强政协常委会建设，深化委员能力建设，充分发挥区政协党组在政协工作中的领导核心作用，切实担负起把党中央决策部署和省、市、区委要求落实下去，把各方面智慧和力量凝聚起来的政治责任，为决胜全面建成小康社会，加快建设新时代经济强区、美丽广阳做出应有贡献。</w:t>
      </w:r>
    </w:p>
    <w:p>
      <w:pPr>
        <w:keepNext w:val="0"/>
        <w:keepLines w:val="0"/>
        <w:pageBreakBefore w:val="0"/>
        <w:widowControl w:val="0"/>
        <w:kinsoku/>
        <w:wordWrap/>
        <w:overflowPunct/>
        <w:topLinePunct w:val="0"/>
        <w:bidi w:val="0"/>
        <w:snapToGrid/>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1"/>
        <w:keepNext w:val="0"/>
        <w:keepLines w:val="0"/>
        <w:pageBreakBefore w:val="0"/>
        <w:widowControl w:val="0"/>
        <w:kinsoku/>
        <w:wordWrap/>
        <w:overflowPunct/>
        <w:topLinePunct w:val="0"/>
        <w:bidi w:val="0"/>
        <w:snapToGrid/>
        <w:spacing w:line="584" w:lineRule="exact"/>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w:t>
      </w:r>
      <w:r>
        <w:rPr>
          <w:rFonts w:ascii="Times New Roman" w:hAnsi="Times New Roman" w:eastAsia="仿宋_GB2312" w:cs="Times New Roman"/>
          <w:kern w:val="2"/>
          <w:sz w:val="32"/>
          <w:szCs w:val="32"/>
          <w:lang w:val="en-US" w:eastAsia="zh-CN" w:bidi="ar-SA"/>
        </w:rPr>
        <w:t>、组织召开政协会议活动</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 完善各项会议制度，规范会议程序，提高会议质量，提高政治协商水平。</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绩效指标：组织召开六届二次全体会议、政协</w:t>
      </w:r>
      <w:r>
        <w:rPr>
          <w:rFonts w:hint="eastAsia" w:eastAsia="仿宋_GB2312" w:cs="Times New Roman"/>
          <w:kern w:val="2"/>
          <w:sz w:val="32"/>
          <w:szCs w:val="32"/>
          <w:lang w:val="en-US" w:eastAsia="zh-CN" w:bidi="ar-SA"/>
        </w:rPr>
        <w:t>常委会会议</w:t>
      </w:r>
      <w:r>
        <w:rPr>
          <w:rFonts w:hint="eastAsia" w:ascii="Times New Roman" w:hAnsi="Times New Roman" w:eastAsia="仿宋_GB2312" w:cs="Times New Roman"/>
          <w:kern w:val="2"/>
          <w:sz w:val="32"/>
          <w:szCs w:val="32"/>
          <w:lang w:val="en-US" w:eastAsia="zh-CN" w:bidi="ar-SA"/>
        </w:rPr>
        <w:t>、委员座谈会等活动。</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2、组织开展民主协商和考察学习活动</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绩效目标：充分发挥人民政协专门协商机构的作用，明确职责任务，完善制度机制，规范协商内容，丰富协商形式，提高协商议政质量。加强与兄弟县区联谊活动，增进友谊，加强借鉴和学习。</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w:t>
      </w:r>
      <w:r>
        <w:rPr>
          <w:rFonts w:hint="eastAsia" w:eastAsia="仿宋_GB2312" w:cs="Times New Roman"/>
          <w:kern w:val="2"/>
          <w:sz w:val="32"/>
          <w:szCs w:val="32"/>
          <w:lang w:val="en-US" w:eastAsia="zh-CN" w:bidi="ar-SA"/>
        </w:rPr>
        <w:t>①</w:t>
      </w:r>
      <w:r>
        <w:rPr>
          <w:rFonts w:hint="eastAsia" w:ascii="Times New Roman" w:hAnsi="Times New Roman" w:eastAsia="仿宋_GB2312" w:cs="Times New Roman"/>
          <w:kern w:val="2"/>
          <w:sz w:val="32"/>
          <w:szCs w:val="32"/>
          <w:lang w:val="en-US" w:eastAsia="zh-CN" w:bidi="ar-SA"/>
        </w:rPr>
        <w:t>按照政协党组协商计划组织召开专题协商活动。</w:t>
      </w:r>
      <w:r>
        <w:rPr>
          <w:rFonts w:hint="eastAsia" w:eastAsia="仿宋_GB2312" w:cs="Times New Roman"/>
          <w:kern w:val="2"/>
          <w:sz w:val="32"/>
          <w:szCs w:val="32"/>
          <w:lang w:val="en-US" w:eastAsia="zh-CN" w:bidi="ar-SA"/>
        </w:rPr>
        <w:t>②</w:t>
      </w:r>
      <w:r>
        <w:rPr>
          <w:rFonts w:hint="eastAsia" w:ascii="Times New Roman" w:hAnsi="Times New Roman" w:eastAsia="仿宋_GB2312" w:cs="Times New Roman"/>
          <w:kern w:val="2"/>
          <w:sz w:val="32"/>
          <w:szCs w:val="32"/>
          <w:lang w:val="en-US" w:eastAsia="zh-CN" w:bidi="ar-SA"/>
        </w:rPr>
        <w:t>组织区政协领导到先进县区进行考察学习经验。</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3、组织开展民主监督工作和提案办理</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紧扣区委区政府决策部署和政策措施的贯彻落实开展民主监督，协助党委政府更好地解决问题、推动工作。完善提案审查、立案、办理、反馈和协商机制，做到提案程序更加规范，制度更加完善，委员提案质量和办理效果不断提高，政协委员履职作用更有成效。</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w:t>
      </w:r>
      <w:r>
        <w:rPr>
          <w:rFonts w:hint="eastAsia" w:eastAsia="仿宋_GB2312" w:cs="Times New Roman"/>
          <w:kern w:val="2"/>
          <w:sz w:val="32"/>
          <w:szCs w:val="32"/>
          <w:lang w:val="en-US" w:eastAsia="zh-CN" w:bidi="ar-SA"/>
        </w:rPr>
        <w:t>①</w:t>
      </w:r>
      <w:r>
        <w:rPr>
          <w:rFonts w:hint="eastAsia" w:ascii="Times New Roman" w:hAnsi="Times New Roman" w:eastAsia="仿宋_GB2312" w:cs="Times New Roman"/>
          <w:kern w:val="2"/>
          <w:sz w:val="32"/>
          <w:szCs w:val="32"/>
          <w:lang w:val="en-US" w:eastAsia="zh-CN" w:bidi="ar-SA"/>
        </w:rPr>
        <w:t>按照政协党组监督计划，组织委员开展民主监督活动。</w:t>
      </w:r>
      <w:r>
        <w:rPr>
          <w:rFonts w:hint="eastAsia" w:eastAsia="仿宋_GB2312" w:cs="Times New Roman"/>
          <w:kern w:val="2"/>
          <w:sz w:val="32"/>
          <w:szCs w:val="32"/>
          <w:lang w:val="en-US" w:eastAsia="zh-CN" w:bidi="ar-SA"/>
        </w:rPr>
        <w:t>②</w:t>
      </w:r>
      <w:r>
        <w:rPr>
          <w:rFonts w:hint="eastAsia" w:ascii="Times New Roman" w:hAnsi="Times New Roman" w:eastAsia="仿宋_GB2312" w:cs="Times New Roman"/>
          <w:kern w:val="2"/>
          <w:sz w:val="32"/>
          <w:szCs w:val="32"/>
          <w:lang w:val="en-US" w:eastAsia="zh-CN" w:bidi="ar-SA"/>
        </w:rPr>
        <w:t xml:space="preserve">通过提案对口协商会、界别协商会和督办会等形式，提案交办率和办结率达到100%。 </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4、组织开展专题调研活动、做好社情民意信息反映工作</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围绕全区大局和政协工作，深入开展调查研究，打牢协商议政和咨政建言的基础。通过调研就区委和区政府关注的问题，提出客观、有价值、有分量、有影响的意见建议，促进党委决策民主化和科学化。通过界别群众渠道密切联系群众，反映社情民意，努力做到协商关系、化解矛盾、理顺情绪，增进社会的和谐稳定。</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w:t>
      </w:r>
      <w:r>
        <w:rPr>
          <w:rFonts w:hint="eastAsia" w:eastAsia="仿宋_GB2312" w:cs="Times New Roman"/>
          <w:kern w:val="2"/>
          <w:sz w:val="32"/>
          <w:szCs w:val="32"/>
          <w:lang w:val="en-US" w:eastAsia="zh-CN" w:bidi="ar-SA"/>
        </w:rPr>
        <w:t>①</w:t>
      </w:r>
      <w:r>
        <w:rPr>
          <w:rFonts w:hint="eastAsia" w:ascii="Times New Roman" w:hAnsi="Times New Roman" w:eastAsia="仿宋_GB2312" w:cs="Times New Roman"/>
          <w:kern w:val="2"/>
          <w:sz w:val="32"/>
          <w:szCs w:val="32"/>
          <w:lang w:val="en-US" w:eastAsia="zh-CN" w:bidi="ar-SA"/>
        </w:rPr>
        <w:t>按照政协党组调研计划，组织委员开展重点课题和专项课题调研。</w:t>
      </w:r>
      <w:r>
        <w:rPr>
          <w:rFonts w:hint="eastAsia" w:eastAsia="仿宋_GB2312" w:cs="Times New Roman"/>
          <w:kern w:val="2"/>
          <w:sz w:val="32"/>
          <w:szCs w:val="32"/>
          <w:lang w:val="en-US" w:eastAsia="zh-CN" w:bidi="ar-SA"/>
        </w:rPr>
        <w:t>②</w:t>
      </w:r>
      <w:r>
        <w:rPr>
          <w:rFonts w:hint="eastAsia" w:ascii="Times New Roman" w:hAnsi="Times New Roman" w:eastAsia="仿宋_GB2312" w:cs="Times New Roman"/>
          <w:kern w:val="2"/>
          <w:sz w:val="32"/>
          <w:szCs w:val="32"/>
          <w:lang w:val="en-US" w:eastAsia="zh-CN" w:bidi="ar-SA"/>
        </w:rPr>
        <w:t>组织对社情民意信息进行整理，筛选重要社情民意向区委和区政府进行反映。</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5、组织开展文史资料征集工作</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绩效目标：加强文史资料征集和编撰，丰富文史资料内容。</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绩效指标：积极配合完成省市政协下发的文史资料征集工作。</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6、组织区政协委员开展履职活动</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绩效目标：组织委员参加考察、学习活动、邀请委员列席政协</w:t>
      </w:r>
      <w:r>
        <w:rPr>
          <w:rFonts w:hint="eastAsia" w:eastAsia="仿宋_GB2312" w:cs="Times New Roman"/>
          <w:kern w:val="2"/>
          <w:sz w:val="32"/>
          <w:szCs w:val="32"/>
          <w:lang w:val="en-US" w:eastAsia="zh-CN" w:bidi="ar-SA"/>
        </w:rPr>
        <w:t>常委会会议</w:t>
      </w:r>
      <w:r>
        <w:rPr>
          <w:rFonts w:hint="eastAsia" w:ascii="Times New Roman" w:hAnsi="Times New Roman" w:eastAsia="仿宋_GB2312" w:cs="Times New Roman"/>
          <w:kern w:val="2"/>
          <w:sz w:val="32"/>
          <w:szCs w:val="32"/>
          <w:lang w:val="en-US" w:eastAsia="zh-CN" w:bidi="ar-SA"/>
        </w:rPr>
        <w:t>，为委员知情明政创造条件引导委员做到懂政治、会协商、善议政，政协委员履职作用更有成效。</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w:t>
      </w:r>
      <w:r>
        <w:rPr>
          <w:rFonts w:hint="eastAsia" w:eastAsia="仿宋_GB2312" w:cs="Times New Roman"/>
          <w:kern w:val="2"/>
          <w:sz w:val="32"/>
          <w:szCs w:val="32"/>
          <w:lang w:val="en-US" w:eastAsia="zh-CN" w:bidi="ar-SA"/>
        </w:rPr>
        <w:t>①</w:t>
      </w:r>
      <w:r>
        <w:rPr>
          <w:rFonts w:hint="eastAsia" w:ascii="Times New Roman" w:hAnsi="Times New Roman" w:eastAsia="仿宋_GB2312" w:cs="Times New Roman"/>
          <w:kern w:val="2"/>
          <w:sz w:val="32"/>
          <w:szCs w:val="32"/>
          <w:lang w:val="en-US" w:eastAsia="zh-CN" w:bidi="ar-SA"/>
        </w:rPr>
        <w:t>围绕全区重点工作和群众关注的问题分批次组织区政协委员开展考察和学习活动。</w:t>
      </w:r>
      <w:r>
        <w:rPr>
          <w:rFonts w:hint="eastAsia" w:eastAsia="仿宋_GB2312" w:cs="Times New Roman"/>
          <w:kern w:val="2"/>
          <w:sz w:val="32"/>
          <w:szCs w:val="32"/>
          <w:lang w:val="en-US" w:eastAsia="zh-CN" w:bidi="ar-SA"/>
        </w:rPr>
        <w:t>②</w:t>
      </w:r>
      <w:r>
        <w:rPr>
          <w:rFonts w:hint="eastAsia" w:ascii="Times New Roman" w:hAnsi="Times New Roman" w:eastAsia="仿宋_GB2312" w:cs="Times New Roman"/>
          <w:kern w:val="2"/>
          <w:sz w:val="32"/>
          <w:szCs w:val="32"/>
          <w:lang w:val="en-US" w:eastAsia="zh-CN" w:bidi="ar-SA"/>
        </w:rPr>
        <w:t>分批次邀请区政协委员列席区政协常委会。</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7、抓好机关建设，做好服务保障工作</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绩效目标：加强政协机关自身建设，理论研究、干部管理、信息和宣传工作，政协自身建设质量更加扎实，理论研究成果丰硕，宣传报道工作成效明显，后勤服务保障更加有力，信息化能力更加提升。</w:t>
      </w:r>
    </w:p>
    <w:p>
      <w:pPr>
        <w:pStyle w:val="21"/>
        <w:keepNext w:val="0"/>
        <w:keepLines w:val="0"/>
        <w:pageBreakBefore w:val="0"/>
        <w:widowControl w:val="0"/>
        <w:kinsoku/>
        <w:wordWrap/>
        <w:overflowPunct/>
        <w:topLinePunct w:val="0"/>
        <w:bidi w:val="0"/>
        <w:snapToGrid/>
        <w:spacing w:line="584" w:lineRule="exact"/>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绩效指标：</w:t>
      </w:r>
      <w:r>
        <w:rPr>
          <w:rFonts w:hint="eastAsia" w:eastAsia="仿宋_GB2312" w:cs="Times New Roman"/>
          <w:kern w:val="2"/>
          <w:sz w:val="32"/>
          <w:szCs w:val="32"/>
          <w:lang w:val="en-US" w:eastAsia="zh-CN" w:bidi="ar-SA"/>
        </w:rPr>
        <w:t>①</w:t>
      </w:r>
      <w:r>
        <w:rPr>
          <w:rFonts w:hint="eastAsia" w:ascii="Times New Roman" w:hAnsi="Times New Roman" w:eastAsia="仿宋_GB2312" w:cs="Times New Roman"/>
          <w:kern w:val="2"/>
          <w:sz w:val="32"/>
          <w:szCs w:val="32"/>
          <w:lang w:val="en-US" w:eastAsia="zh-CN" w:bidi="ar-SA"/>
        </w:rPr>
        <w:t>分批组织机关干部培训。</w:t>
      </w:r>
      <w:r>
        <w:rPr>
          <w:rFonts w:hint="eastAsia" w:eastAsia="仿宋_GB2312" w:cs="Times New Roman"/>
          <w:kern w:val="2"/>
          <w:sz w:val="32"/>
          <w:szCs w:val="32"/>
          <w:lang w:val="en-US" w:eastAsia="zh-CN" w:bidi="ar-SA"/>
        </w:rPr>
        <w:t>②</w:t>
      </w:r>
      <w:r>
        <w:rPr>
          <w:rFonts w:hint="eastAsia" w:ascii="Times New Roman" w:hAnsi="Times New Roman" w:eastAsia="仿宋_GB2312" w:cs="Times New Roman"/>
          <w:kern w:val="2"/>
          <w:sz w:val="32"/>
          <w:szCs w:val="32"/>
          <w:lang w:val="en-US" w:eastAsia="zh-CN" w:bidi="ar-SA"/>
        </w:rPr>
        <w:t>组织开展政协理论研究会。</w:t>
      </w:r>
      <w:r>
        <w:rPr>
          <w:rFonts w:hint="eastAsia" w:eastAsia="仿宋_GB2312" w:cs="Times New Roman"/>
          <w:kern w:val="2"/>
          <w:sz w:val="32"/>
          <w:szCs w:val="32"/>
          <w:lang w:val="en-US" w:eastAsia="zh-CN" w:bidi="ar-SA"/>
        </w:rPr>
        <w:t>③</w:t>
      </w:r>
      <w:r>
        <w:rPr>
          <w:rFonts w:hint="eastAsia" w:ascii="Times New Roman" w:hAnsi="Times New Roman" w:eastAsia="仿宋_GB2312" w:cs="Times New Roman"/>
          <w:kern w:val="2"/>
          <w:sz w:val="32"/>
          <w:szCs w:val="32"/>
          <w:lang w:val="en-US" w:eastAsia="zh-CN" w:bidi="ar-SA"/>
        </w:rPr>
        <w:t>组织开展区政协宣传报道工作。</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3" w:firstLineChars="200"/>
        <w:jc w:val="left"/>
        <w:textAlignment w:val="auto"/>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keepNext w:val="0"/>
        <w:keepLines w:val="0"/>
        <w:pageBreakBefore w:val="0"/>
        <w:widowControl w:val="0"/>
        <w:kinsoku/>
        <w:wordWrap/>
        <w:overflowPunct/>
        <w:topLinePunct w:val="0"/>
        <w:autoSpaceDE/>
        <w:autoSpaceDN/>
        <w:bidi w:val="0"/>
        <w:adjustRightInd/>
        <w:snapToGrid/>
        <w:spacing w:line="584" w:lineRule="exact"/>
        <w:ind w:firstLine="561" w:firstLineChars="0"/>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sz w:val="32"/>
          <w:szCs w:val="32"/>
          <w:lang w:eastAsia="zh-CN"/>
        </w:rPr>
        <w:t xml:space="preserve"> </w:t>
      </w:r>
      <w:r>
        <w:rPr>
          <w:rFonts w:hint="eastAsia" w:ascii="Times New Roman" w:hAnsi="Times New Roman" w:eastAsia="仿宋_GB2312" w:cs="Times New Roman"/>
          <w:kern w:val="2"/>
          <w:sz w:val="32"/>
          <w:szCs w:val="32"/>
          <w:lang w:val="en-US" w:eastAsia="zh-CN" w:bidi="ar-SA"/>
        </w:rPr>
        <w:t>1、精心谋划，精准发力。协商活动由区政协办公室和有关专委会负责组织开展。各有关部门要根据选题，认真研究制定具体工作方案，明确时间、地点、协商参与单位、出席人员、成果运用及报送方式等，责任到人，落实到位，切实提高协商活动的质量和水平。</w:t>
      </w:r>
    </w:p>
    <w:p>
      <w:pPr>
        <w:pStyle w:val="21"/>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突出重点，搞好调研。协商活动要建立在充分调研的基础上，每次协商都要抓住关键问题，深入细致地开展调查研究。要以调研的深入促进协商的深度，围绕年度调研课题，坚持高标准，深挖掘，努力形成高质量、有深度的调研报告。</w:t>
      </w:r>
    </w:p>
    <w:p>
      <w:pPr>
        <w:pStyle w:val="21"/>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加强协作，形成合力。积极争取党委、政府有关部门支持与配合，加强与政协参加单位、区直有关部门、大专院校和科研院所的沟通协调，促进各方密切协作。区政协办公室和各专委会之间要加强协作配合，形成协商工作合力。</w:t>
      </w:r>
    </w:p>
    <w:p>
      <w:pPr>
        <w:pStyle w:val="21"/>
        <w:keepNext w:val="0"/>
        <w:keepLines w:val="0"/>
        <w:pageBreakBefore w:val="0"/>
        <w:widowControl w:val="0"/>
        <w:kinsoku/>
        <w:wordWrap/>
        <w:overflowPunct/>
        <w:topLinePunct w:val="0"/>
        <w:autoSpaceDE/>
        <w:autoSpaceDN/>
        <w:bidi w:val="0"/>
        <w:adjustRightInd/>
        <w:snapToGrid/>
        <w:spacing w:line="584" w:lineRule="exact"/>
        <w:ind w:firstLine="561"/>
        <w:textAlignment w:val="auto"/>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注重成效，抓好落实。搞好政协协商与党政部门的工作衔接，综合运用建议案、情况报告、调研报告、重点提案、社情民意信息等形式，向区委、区政府及有关部门报送重要意见和建议。加强跟踪调研和视察，推动协商成果转化为党委、政府决策。</w:t>
      </w:r>
    </w:p>
    <w:p>
      <w:pPr>
        <w:autoSpaceDE w:val="0"/>
        <w:autoSpaceDN w:val="0"/>
        <w:adjustRightInd w:val="0"/>
        <w:spacing w:line="584" w:lineRule="exact"/>
        <w:ind w:firstLine="643" w:firstLineChars="200"/>
        <w:jc w:val="left"/>
        <w:rPr>
          <w:rFonts w:hint="eastAsia" w:ascii="楷体_GB2312" w:eastAsia="楷体_GB2312" w:cs="Times New Roman"/>
          <w:b/>
          <w:sz w:val="32"/>
          <w:szCs w:val="32"/>
        </w:rPr>
      </w:pPr>
    </w:p>
    <w:p>
      <w:pPr>
        <w:pStyle w:val="2"/>
        <w:rPr>
          <w:rFonts w:hint="eastAsia" w:ascii="楷体_GB2312" w:eastAsia="楷体_GB2312" w:cs="Times New Roman"/>
          <w:b/>
          <w:sz w:val="32"/>
          <w:szCs w:val="32"/>
        </w:rPr>
      </w:pPr>
    </w:p>
    <w:p>
      <w:pPr>
        <w:pStyle w:val="2"/>
        <w:rPr>
          <w:rFonts w:hint="eastAsia" w:ascii="楷体_GB2312" w:eastAsia="楷体_GB2312" w:cs="Times New Roman"/>
          <w:b/>
          <w:sz w:val="32"/>
          <w:szCs w:val="32"/>
        </w:rPr>
      </w:pPr>
    </w:p>
    <w:p>
      <w:pPr>
        <w:pStyle w:val="2"/>
        <w:rPr>
          <w:rFonts w:hint="eastAsia" w:ascii="楷体_GB2312" w:eastAsia="楷体_GB2312" w:cs="Times New Roman"/>
          <w:b/>
          <w:sz w:val="32"/>
          <w:szCs w:val="32"/>
        </w:rPr>
      </w:pPr>
    </w:p>
    <w:p>
      <w:pPr>
        <w:pStyle w:val="2"/>
        <w:rPr>
          <w:rFonts w:hint="eastAsia" w:ascii="楷体_GB2312" w:eastAsia="楷体_GB2312" w:cs="Times New Roman"/>
          <w:b/>
          <w:sz w:val="32"/>
          <w:szCs w:val="32"/>
        </w:rPr>
      </w:pPr>
    </w:p>
    <w:p>
      <w:pPr>
        <w:pStyle w:val="2"/>
        <w:rPr>
          <w:rFonts w:hint="eastAsia" w:ascii="楷体_GB2312" w:eastAsia="楷体_GB2312" w:cs="Times New Roman"/>
          <w:b/>
          <w:sz w:val="32"/>
          <w:szCs w:val="32"/>
        </w:rPr>
      </w:pPr>
    </w:p>
    <w:p>
      <w:pPr>
        <w:autoSpaceDE w:val="0"/>
        <w:autoSpaceDN w:val="0"/>
        <w:adjustRightInd w:val="0"/>
        <w:spacing w:line="584"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880"/>
        <w:gridCol w:w="880"/>
        <w:gridCol w:w="1860"/>
        <w:gridCol w:w="3460"/>
        <w:gridCol w:w="3020"/>
        <w:gridCol w:w="1011"/>
        <w:gridCol w:w="717"/>
        <w:gridCol w:w="1092"/>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8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8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18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34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302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2820"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060"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880" w:type="dxa"/>
            <w:vMerge w:val="continue"/>
            <w:tcBorders>
              <w:tl2br w:val="nil"/>
              <w:tr2bl w:val="nil"/>
            </w:tcBorders>
            <w:vAlign w:val="center"/>
          </w:tcPr>
          <w:p/>
        </w:tc>
        <w:tc>
          <w:tcPr>
            <w:tcW w:w="880" w:type="dxa"/>
            <w:vMerge w:val="continue"/>
            <w:tcBorders>
              <w:tl2br w:val="nil"/>
              <w:tr2bl w:val="nil"/>
            </w:tcBorders>
            <w:vAlign w:val="center"/>
          </w:tcPr>
          <w:p/>
        </w:tc>
        <w:tc>
          <w:tcPr>
            <w:tcW w:w="1860" w:type="dxa"/>
            <w:vMerge w:val="continue"/>
            <w:tcBorders>
              <w:tl2br w:val="nil"/>
              <w:tr2bl w:val="nil"/>
            </w:tcBorders>
            <w:vAlign w:val="center"/>
          </w:tcPr>
          <w:p/>
        </w:tc>
        <w:tc>
          <w:tcPr>
            <w:tcW w:w="3460" w:type="dxa"/>
            <w:vMerge w:val="continue"/>
            <w:tcBorders>
              <w:tl2br w:val="nil"/>
              <w:tr2bl w:val="nil"/>
            </w:tcBorders>
            <w:vAlign w:val="center"/>
          </w:tcPr>
          <w:p/>
        </w:tc>
        <w:tc>
          <w:tcPr>
            <w:tcW w:w="3020" w:type="dxa"/>
            <w:vMerge w:val="continue"/>
            <w:tcBorders>
              <w:tl2br w:val="nil"/>
              <w:tr2bl w:val="nil"/>
            </w:tcBorders>
            <w:vAlign w:val="center"/>
          </w:tcPr>
          <w:p/>
        </w:tc>
        <w:tc>
          <w:tcPr>
            <w:tcW w:w="1011"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717"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1092"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060"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80" w:type="dxa"/>
            <w:vMerge w:val="restart"/>
            <w:tcBorders>
              <w:tl2br w:val="nil"/>
              <w:tr2bl w:val="nil"/>
            </w:tcBorders>
            <w:vAlign w:val="center"/>
          </w:tcPr>
          <w:p>
            <w:pPr>
              <w:widowControl/>
              <w:adjustRightInd w:val="0"/>
              <w:snapToGrid w:val="0"/>
              <w:jc w:val="left"/>
              <w:rPr>
                <w:rFonts w:ascii="方正书宋_GBK" w:eastAsia="方正书宋_GBK"/>
              </w:rPr>
            </w:pPr>
            <w:r>
              <w:rPr>
                <w:rFonts w:ascii="方正书宋_GBK" w:eastAsia="方正书宋_GBK"/>
              </w:rPr>
              <w:t>部门产出</w:t>
            </w:r>
          </w:p>
        </w:tc>
        <w:tc>
          <w:tcPr>
            <w:tcW w:w="88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各类办公物品及设备采购数量、维修维护数量</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实际采购数量达到指标得5分，未完成按比例扣分</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采购能够满足实际办公需求的物品及设备数量</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文字描述</w:t>
            </w:r>
          </w:p>
        </w:tc>
        <w:tc>
          <w:tcPr>
            <w:tcW w:w="717" w:type="dxa"/>
            <w:tcBorders>
              <w:tl2br w:val="nil"/>
              <w:tr2bl w:val="nil"/>
            </w:tcBorders>
            <w:vAlign w:val="center"/>
          </w:tcPr>
          <w:p>
            <w:pPr>
              <w:jc w:val="center"/>
              <w:rPr>
                <w:rFonts w:hint="eastAsia" w:ascii="仿宋_GB2312" w:hAnsi="仿宋_GB2312" w:eastAsia="仿宋_GB2312" w:cs="仿宋_GB2312"/>
                <w:sz w:val="21"/>
                <w:szCs w:val="21"/>
              </w:rPr>
            </w:pP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实际需求数</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2022工作计划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80" w:type="dxa"/>
            <w:vMerge w:val="continue"/>
            <w:tcBorders>
              <w:tl2br w:val="nil"/>
              <w:tr2bl w:val="nil"/>
            </w:tcBorders>
            <w:vAlign w:val="center"/>
          </w:tcPr>
          <w:p>
            <w:pPr>
              <w:widowControl/>
              <w:adjustRightInd w:val="0"/>
              <w:snapToGrid w:val="0"/>
              <w:jc w:val="left"/>
              <w:rPr>
                <w:rFonts w:ascii="方正书宋_GBK" w:eastAsia="方正书宋_GBK"/>
              </w:rPr>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活动参加人数</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完成目标得10分，未完成按比例扣分0</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组织参会人数</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180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80" w:type="dxa"/>
            <w:vMerge w:val="continue"/>
            <w:tcBorders>
              <w:tl2br w:val="nil"/>
              <w:tr2bl w:val="nil"/>
            </w:tcBorders>
            <w:vAlign w:val="center"/>
          </w:tcPr>
          <w:p>
            <w:pPr>
              <w:widowControl/>
              <w:adjustRightInd w:val="0"/>
              <w:snapToGrid w:val="0"/>
              <w:jc w:val="left"/>
              <w:rPr>
                <w:rFonts w:ascii="方正书宋_GBK" w:eastAsia="方正书宋_GBK"/>
              </w:rPr>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参加学习培训委员人数</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参加人数达指标以上得10分，未达到按比例扣分</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参加学习培训委员人数</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350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人次</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2022工作计划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880" w:type="dxa"/>
            <w:vMerge w:val="continue"/>
            <w:tcBorders>
              <w:tl2br w:val="nil"/>
              <w:tr2bl w:val="nil"/>
            </w:tcBorders>
            <w:vAlign w:val="center"/>
          </w:tcPr>
          <w:p>
            <w:pPr>
              <w:widowControl/>
              <w:adjustRightInd w:val="0"/>
              <w:snapToGrid w:val="0"/>
              <w:jc w:val="left"/>
              <w:rPr>
                <w:rFonts w:ascii="方正书宋_GBK" w:eastAsia="方正书宋_GBK"/>
              </w:rPr>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建设委员之家数量</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达到目标得5分，未达目标按比例扣分</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建设委员之家数量</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个</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continue"/>
            <w:tcBorders>
              <w:tl2br w:val="nil"/>
              <w:tr2bl w:val="nil"/>
            </w:tcBorders>
            <w:vAlign w:val="center"/>
          </w:tcPr>
          <w:p>
            <w:pPr>
              <w:jc w:val="left"/>
            </w:pPr>
          </w:p>
        </w:tc>
        <w:tc>
          <w:tcPr>
            <w:tcW w:w="88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采购及维修维护验收合格率</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购买设备、物品、服务通过验收</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验收合格得5分，不符合按比例扣分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100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continue"/>
            <w:tcBorders>
              <w:tl2br w:val="nil"/>
              <w:tr2bl w:val="nil"/>
            </w:tcBorders>
            <w:vAlign w:val="center"/>
          </w:tcPr>
          <w:p>
            <w:pPr>
              <w:jc w:val="left"/>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参加学习培训委员思想认识</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提高思想认识、增强群众能力、提高合作共事能力</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达指标以上得5分，未达到按比例扣分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continue"/>
            <w:tcBorders>
              <w:tl2br w:val="nil"/>
              <w:tr2bl w:val="nil"/>
            </w:tcBorders>
            <w:vAlign w:val="center"/>
          </w:tcPr>
          <w:p>
            <w:pPr>
              <w:jc w:val="left"/>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对事业和群众生活的关注问题</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通过调研能对各项事业和群众生活的重要问题进行研究</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达到指标得5分，未达到按比例扣分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视察调研方案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continue"/>
            <w:tcBorders>
              <w:tl2br w:val="nil"/>
              <w:tr2bl w:val="nil"/>
            </w:tcBorders>
            <w:vAlign w:val="center"/>
          </w:tcPr>
          <w:p>
            <w:pPr>
              <w:jc w:val="left"/>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资料保管率</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妥善保管资料占应保管相关资料的比例</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达到指标得5分，未达到按比例扣分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视察调研方案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80" w:type="dxa"/>
            <w:vMerge w:val="continue"/>
            <w:tcBorders>
              <w:tl2br w:val="nil"/>
              <w:tr2bl w:val="nil"/>
            </w:tcBorders>
            <w:vAlign w:val="center"/>
          </w:tcPr>
          <w:p>
            <w:pPr>
              <w:jc w:val="left"/>
            </w:pPr>
          </w:p>
        </w:tc>
        <w:tc>
          <w:tcPr>
            <w:tcW w:w="88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会议活动完成情况</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按工作计划安排是否按时完成会议组织任务</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完成目标得5分，未完成按比例扣分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365</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天</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2022工作计划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80" w:type="dxa"/>
            <w:vMerge w:val="continue"/>
            <w:tcBorders>
              <w:tl2br w:val="nil"/>
              <w:tr2bl w:val="nil"/>
            </w:tcBorders>
            <w:vAlign w:val="center"/>
          </w:tcPr>
          <w:p>
            <w:pPr>
              <w:jc w:val="left"/>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采购、服务执行进度</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各采购、服务事项执行进度符合年度计划及合同约定</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严格按照进度计划推进得5分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文字描述</w:t>
            </w:r>
          </w:p>
        </w:tc>
        <w:tc>
          <w:tcPr>
            <w:tcW w:w="717" w:type="dxa"/>
            <w:tcBorders>
              <w:tl2br w:val="nil"/>
              <w:tr2bl w:val="nil"/>
            </w:tcBorders>
            <w:vAlign w:val="center"/>
          </w:tcPr>
          <w:p>
            <w:pPr>
              <w:jc w:val="center"/>
              <w:rPr>
                <w:rFonts w:hint="eastAsia" w:ascii="仿宋_GB2312" w:hAnsi="仿宋_GB2312" w:eastAsia="仿宋_GB2312" w:cs="仿宋_GB2312"/>
                <w:sz w:val="21"/>
                <w:szCs w:val="21"/>
              </w:rPr>
            </w:pP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采购服务执行赶进度</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2022工作计划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880" w:type="dxa"/>
            <w:vMerge w:val="continue"/>
            <w:tcBorders>
              <w:tl2br w:val="nil"/>
              <w:tr2bl w:val="nil"/>
            </w:tcBorders>
            <w:vAlign w:val="center"/>
          </w:tcPr>
          <w:p>
            <w:pPr>
              <w:jc w:val="left"/>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活动完成情况</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按区政协计划安排是否按时完成视察、调研组织任务</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达到指标得5分，未达到按比例扣分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14</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次</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continue"/>
            <w:tcBorders>
              <w:tl2br w:val="nil"/>
              <w:tr2bl w:val="nil"/>
            </w:tcBorders>
            <w:vAlign w:val="center"/>
          </w:tcPr>
          <w:p>
            <w:pPr>
              <w:jc w:val="left"/>
            </w:pPr>
          </w:p>
        </w:tc>
        <w:tc>
          <w:tcPr>
            <w:tcW w:w="88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培训费标准</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培训费支付标准（二类）</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达指标以上得5分，未达到按比例扣分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450</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元/人/天</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区级机关培训管理办法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tcBorders>
              <w:tl2br w:val="nil"/>
              <w:tr2bl w:val="nil"/>
            </w:tcBorders>
            <w:vAlign w:val="center"/>
          </w:tcPr>
          <w:p>
            <w:pPr>
              <w:jc w:val="left"/>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降低成本节约率</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较前一年压减支出率</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达到指标得5分，未达到按比例扣分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restart"/>
            <w:tcBorders>
              <w:tl2br w:val="nil"/>
              <w:tr2bl w:val="nil"/>
            </w:tcBorders>
            <w:vAlign w:val="center"/>
          </w:tcPr>
          <w:p>
            <w:pPr>
              <w:adjustRightInd w:val="0"/>
              <w:snapToGrid w:val="0"/>
              <w:jc w:val="left"/>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80"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推动工作开展</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会议中委员就社会发展所提意见建议比例提升，为委员政治协商、民主监督、参政议政做好保障</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完成目标得10分，未完成按比例扣分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880" w:type="dxa"/>
            <w:vMerge w:val="continue"/>
            <w:tcBorders>
              <w:tl2br w:val="nil"/>
              <w:tr2bl w:val="nil"/>
            </w:tcBorders>
            <w:vAlign w:val="center"/>
          </w:tcPr>
          <w:p>
            <w:pPr>
              <w:adjustRightInd w:val="0"/>
              <w:snapToGrid w:val="0"/>
              <w:jc w:val="left"/>
              <w:rPr>
                <w:rFonts w:ascii="方正书宋_GBK" w:eastAsia="方正书宋_GBK"/>
              </w:rPr>
            </w:pPr>
          </w:p>
        </w:tc>
        <w:tc>
          <w:tcPr>
            <w:tcW w:w="880" w:type="dxa"/>
            <w:vMerge w:val="continue"/>
            <w:tcBorders>
              <w:tl2br w:val="nil"/>
              <w:tr2bl w:val="nil"/>
            </w:tcBorders>
            <w:vAlign w:val="center"/>
          </w:tcPr>
          <w:p>
            <w:pPr>
              <w:widowControl/>
              <w:adjustRightInd w:val="0"/>
              <w:snapToGrid w:val="0"/>
              <w:jc w:val="center"/>
              <w:rPr>
                <w:rFonts w:ascii="方正书宋_GBK" w:eastAsia="方正书宋_GBK"/>
              </w:rPr>
            </w:pPr>
          </w:p>
        </w:tc>
        <w:tc>
          <w:tcPr>
            <w:tcW w:w="18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任务完成率</w:t>
            </w:r>
          </w:p>
        </w:tc>
        <w:tc>
          <w:tcPr>
            <w:tcW w:w="34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达到机关正常运转，改善办公环境，提高办公效率的作用，委员就社会发展所提意见建议比例提升</w:t>
            </w:r>
          </w:p>
        </w:tc>
        <w:tc>
          <w:tcPr>
            <w:tcW w:w="302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达到目标得10分，未完成按比例扣分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880" w:type="dxa"/>
            <w:vMerge w:val="continue"/>
            <w:tcBorders>
              <w:tl2br w:val="nil"/>
              <w:tr2bl w:val="nil"/>
            </w:tcBorders>
            <w:vAlign w:val="center"/>
          </w:tcPr>
          <w:p>
            <w:pPr>
              <w:jc w:val="left"/>
            </w:pPr>
          </w:p>
        </w:tc>
        <w:tc>
          <w:tcPr>
            <w:tcW w:w="880"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1860" w:type="dxa"/>
            <w:tcBorders>
              <w:tl2br w:val="nil"/>
              <w:tr2bl w:val="nil"/>
            </w:tcBorders>
            <w:noWrap/>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服务对象满意度</w:t>
            </w:r>
          </w:p>
        </w:tc>
        <w:tc>
          <w:tcPr>
            <w:tcW w:w="3460" w:type="dxa"/>
            <w:tcBorders>
              <w:tl2br w:val="nil"/>
              <w:tr2bl w:val="nil"/>
            </w:tcBorders>
            <w:noWrap/>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机关人员、政协委员满意率</w:t>
            </w:r>
          </w:p>
        </w:tc>
        <w:tc>
          <w:tcPr>
            <w:tcW w:w="3020" w:type="dxa"/>
            <w:tcBorders>
              <w:tl2br w:val="nil"/>
              <w:tr2bl w:val="nil"/>
            </w:tcBorders>
            <w:noWrap/>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工作人员满意度≥95%得5分，未达到按比例扣分</w:t>
            </w:r>
          </w:p>
        </w:tc>
        <w:tc>
          <w:tcPr>
            <w:tcW w:w="1011"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717"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95</w:t>
            </w:r>
          </w:p>
        </w:tc>
        <w:tc>
          <w:tcPr>
            <w:tcW w:w="1092" w:type="dxa"/>
            <w:tcBorders>
              <w:tl2br w:val="nil"/>
              <w:tr2bl w:val="nil"/>
            </w:tcBorders>
            <w:vAlign w:val="center"/>
          </w:tcPr>
          <w:p>
            <w:pPr>
              <w:keepNext w:val="0"/>
              <w:keepLines w:val="0"/>
              <w:widowControl/>
              <w:suppressLineNumbers w:val="0"/>
              <w:jc w:val="center"/>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w:t>
            </w:r>
          </w:p>
        </w:tc>
        <w:tc>
          <w:tcPr>
            <w:tcW w:w="1060" w:type="dxa"/>
            <w:tcBorders>
              <w:tl2br w:val="nil"/>
              <w:tr2bl w:val="nil"/>
            </w:tcBorders>
            <w:vAlign w:val="center"/>
          </w:tcPr>
          <w:p>
            <w:pPr>
              <w:keepNext w:val="0"/>
              <w:keepLines w:val="0"/>
              <w:widowControl/>
              <w:suppressLineNumbers w:val="0"/>
              <w:jc w:val="left"/>
              <w:textAlignment w:val="top"/>
              <w:rPr>
                <w:rFonts w:hint="eastAsia" w:ascii="仿宋_GB2312" w:hAnsi="仿宋_GB2312" w:eastAsia="仿宋_GB2312" w:cs="仿宋_GB2312"/>
                <w:sz w:val="21"/>
                <w:szCs w:val="21"/>
              </w:rPr>
            </w:pPr>
            <w:r>
              <w:rPr>
                <w:rFonts w:hint="eastAsia" w:ascii="仿宋_GB2312" w:hAnsi="仿宋_GB2312" w:eastAsia="仿宋_GB2312" w:cs="仿宋_GB2312"/>
                <w:i w:val="0"/>
                <w:iCs w:val="0"/>
                <w:color w:val="000000"/>
                <w:kern w:val="0"/>
                <w:sz w:val="21"/>
                <w:szCs w:val="21"/>
                <w:u w:val="none"/>
                <w:lang w:val="en-US" w:eastAsia="zh-CN" w:bidi="ar"/>
              </w:rPr>
              <w:t>统计测评</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pStyle w:val="2"/>
        <w:rPr>
          <w:rFonts w:hint="eastAsia"/>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1.政务管理经费绩效目标表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60"/>
        <w:gridCol w:w="2231"/>
        <w:gridCol w:w="2988"/>
        <w:gridCol w:w="4512"/>
        <w:gridCol w:w="1520"/>
        <w:gridCol w:w="18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0" w:type="auto"/>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0" w:type="auto"/>
            <w:gridSpan w:val="5"/>
            <w:shd w:val="clear" w:color="auto" w:fill="auto"/>
            <w:vAlign w:val="center"/>
          </w:tcPr>
          <w:p>
            <w:pPr>
              <w:spacing w:line="300" w:lineRule="exact"/>
              <w:rPr>
                <w:rFonts w:ascii="Times New Roman" w:hAnsi="Times New Roman" w:eastAsia="仿宋_GB2312" w:cs="Times New Roman"/>
                <w:b/>
              </w:rPr>
            </w:pPr>
            <w:r>
              <w:rPr>
                <w:rFonts w:hint="eastAsia" w:ascii="仿宋_GB2312" w:hAnsi="仿宋_GB2312" w:eastAsia="仿宋_GB2312" w:cs="仿宋_GB2312"/>
              </w:rPr>
              <w:t>经费到达后专款专用，用于机关印刷耗材、报刊、设备维护、维修等支出。达到机关正常运转，改善办公环境，提高办公效率的作用。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0" w:type="auto"/>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3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98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451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5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185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3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98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各类办公物品及设备采购数量、维修维护数量</w:t>
            </w:r>
          </w:p>
        </w:tc>
        <w:tc>
          <w:tcPr>
            <w:tcW w:w="451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采购能够满足实际办公需求的物品及设备数量</w:t>
            </w:r>
          </w:p>
        </w:tc>
        <w:tc>
          <w:tcPr>
            <w:tcW w:w="15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185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shd w:val="clear" w:color="auto" w:fill="auto"/>
            <w:vAlign w:val="center"/>
          </w:tcPr>
          <w:p/>
        </w:tc>
        <w:tc>
          <w:tcPr>
            <w:tcW w:w="223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98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采购及维修维护验收合格率</w:t>
            </w:r>
          </w:p>
        </w:tc>
        <w:tc>
          <w:tcPr>
            <w:tcW w:w="451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购买设备、物品、服务通过验收</w:t>
            </w:r>
          </w:p>
        </w:tc>
        <w:tc>
          <w:tcPr>
            <w:tcW w:w="15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w:t>
            </w:r>
          </w:p>
        </w:tc>
        <w:tc>
          <w:tcPr>
            <w:tcW w:w="185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shd w:val="clear" w:color="auto" w:fill="auto"/>
            <w:vAlign w:val="center"/>
          </w:tcPr>
          <w:p/>
        </w:tc>
        <w:tc>
          <w:tcPr>
            <w:tcW w:w="223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298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采购、服务执行进度　</w:t>
            </w:r>
          </w:p>
        </w:tc>
        <w:tc>
          <w:tcPr>
            <w:tcW w:w="451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各采购、服务事项执行进度符合年度计划及合同约定</w:t>
            </w:r>
          </w:p>
        </w:tc>
        <w:tc>
          <w:tcPr>
            <w:tcW w:w="15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100采购、服务执行进度</w:t>
            </w:r>
          </w:p>
        </w:tc>
        <w:tc>
          <w:tcPr>
            <w:tcW w:w="185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shd w:val="clear" w:color="auto" w:fill="auto"/>
            <w:vAlign w:val="center"/>
          </w:tcPr>
          <w:p/>
        </w:tc>
        <w:tc>
          <w:tcPr>
            <w:tcW w:w="223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298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预算控制数</w:t>
            </w:r>
          </w:p>
        </w:tc>
        <w:tc>
          <w:tcPr>
            <w:tcW w:w="451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年度日常办公保障费用控制在预算范围内</w:t>
            </w:r>
          </w:p>
        </w:tc>
        <w:tc>
          <w:tcPr>
            <w:tcW w:w="15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≤30万元</w:t>
            </w:r>
          </w:p>
        </w:tc>
        <w:tc>
          <w:tcPr>
            <w:tcW w:w="185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3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98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任务完成率</w:t>
            </w:r>
          </w:p>
        </w:tc>
        <w:tc>
          <w:tcPr>
            <w:tcW w:w="451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达到机关正常运转，改善办公环境，提高办公效率的作用</w:t>
            </w:r>
          </w:p>
        </w:tc>
        <w:tc>
          <w:tcPr>
            <w:tcW w:w="15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185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0" w:type="auto"/>
            <w:vMerge w:val="continue"/>
            <w:shd w:val="clear" w:color="auto" w:fill="auto"/>
            <w:vAlign w:val="center"/>
          </w:tcPr>
          <w:p/>
        </w:tc>
        <w:tc>
          <w:tcPr>
            <w:tcW w:w="223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98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451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机关人员、政协委员满意率</w:t>
            </w:r>
          </w:p>
        </w:tc>
        <w:tc>
          <w:tcPr>
            <w:tcW w:w="15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185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2.第六届委员会第二次会议经费绩效目标表</w:t>
      </w:r>
    </w:p>
    <w:p>
      <w:pPr>
        <w:spacing w:line="14" w:lineRule="exact"/>
        <w:ind w:firstLine="420" w:firstLineChars="200"/>
        <w:jc w:val="center"/>
        <w:rPr>
          <w:rFonts w:ascii="Times New Roman" w:hAnsi="Times New Roman" w:eastAsia="仿宋_GB2312" w:cs="Times New Roman"/>
        </w:rPr>
      </w:pP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977"/>
        <w:gridCol w:w="2206"/>
        <w:gridCol w:w="2197"/>
        <w:gridCol w:w="5008"/>
        <w:gridCol w:w="1784"/>
        <w:gridCol w:w="20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3197" w:type="dxa"/>
            <w:gridSpan w:val="5"/>
            <w:shd w:val="clear" w:color="auto" w:fill="auto"/>
            <w:vAlign w:val="center"/>
          </w:tcPr>
          <w:p>
            <w:pPr>
              <w:pStyle w:val="16"/>
              <w:rPr>
                <w:rFonts w:ascii="方正书宋_GBK" w:hAnsi="方正书宋_GBK" w:eastAsia="方正书宋_GBK" w:cs="方正书宋_GBK"/>
                <w:kern w:val="0"/>
                <w:sz w:val="21"/>
                <w:szCs w:val="24"/>
                <w:lang w:val="en-US" w:eastAsia="uk-UA" w:bidi="ar-SA"/>
              </w:rPr>
            </w:pPr>
            <w:r>
              <w:rPr>
                <w:rFonts w:hint="eastAsia" w:ascii="仿宋_GB2312" w:hAnsi="仿宋_GB2312" w:eastAsia="仿宋_GB2312" w:cs="仿宋_GB2312"/>
              </w:rPr>
              <w:t>满足组织召开广阳区政协全会及常委会、主席会所需经费开支，做到专款专用，为委员政治协商、民主监督、参政议政做好保障，为区委、政府提出建设性意见、为广阳发展经济建设献计献策。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7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0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2197"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500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784"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0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77"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19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会议活动参加人数</w:t>
            </w:r>
          </w:p>
        </w:tc>
        <w:tc>
          <w:tcPr>
            <w:tcW w:w="500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组织参会人数</w:t>
            </w:r>
          </w:p>
        </w:tc>
        <w:tc>
          <w:tcPr>
            <w:tcW w:w="1784"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≥180人</w:t>
            </w:r>
          </w:p>
        </w:tc>
        <w:tc>
          <w:tcPr>
            <w:tcW w:w="200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77" w:type="dxa"/>
            <w:vMerge w:val="continue"/>
            <w:shd w:val="clear" w:color="auto" w:fill="auto"/>
            <w:vAlign w:val="center"/>
          </w:tcPr>
          <w:p/>
        </w:tc>
        <w:tc>
          <w:tcPr>
            <w:tcW w:w="2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19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会议资料保管率</w:t>
            </w:r>
          </w:p>
        </w:tc>
        <w:tc>
          <w:tcPr>
            <w:tcW w:w="500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妥善保管会议资料占应保管相关资料的比例</w:t>
            </w:r>
          </w:p>
        </w:tc>
        <w:tc>
          <w:tcPr>
            <w:tcW w:w="1784"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00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会议方案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77" w:type="dxa"/>
            <w:vMerge w:val="continue"/>
            <w:shd w:val="clear" w:color="auto" w:fill="auto"/>
            <w:vAlign w:val="center"/>
          </w:tcPr>
          <w:p/>
        </w:tc>
        <w:tc>
          <w:tcPr>
            <w:tcW w:w="2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219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会议活动完成情况</w:t>
            </w:r>
          </w:p>
        </w:tc>
        <w:tc>
          <w:tcPr>
            <w:tcW w:w="500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按工作计划安排是否按时完成会议组织任务</w:t>
            </w:r>
          </w:p>
        </w:tc>
        <w:tc>
          <w:tcPr>
            <w:tcW w:w="1784"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365天</w:t>
            </w:r>
          </w:p>
        </w:tc>
        <w:tc>
          <w:tcPr>
            <w:tcW w:w="200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77" w:type="dxa"/>
            <w:vMerge w:val="continue"/>
            <w:shd w:val="clear" w:color="auto" w:fill="auto"/>
            <w:vAlign w:val="center"/>
          </w:tcPr>
          <w:p/>
        </w:tc>
        <w:tc>
          <w:tcPr>
            <w:tcW w:w="2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219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控制成本压缩开支</w:t>
            </w:r>
          </w:p>
        </w:tc>
        <w:tc>
          <w:tcPr>
            <w:tcW w:w="500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节约金额占计划采购资金额的比率</w:t>
            </w:r>
          </w:p>
        </w:tc>
        <w:tc>
          <w:tcPr>
            <w:tcW w:w="1784"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00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计划标准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19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推动工作开展</w:t>
            </w:r>
          </w:p>
        </w:tc>
        <w:tc>
          <w:tcPr>
            <w:tcW w:w="500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会议中委员就社会发展所提意见建议比例提升，为委员政治协商、民主监督、参政议政做好保障</w:t>
            </w:r>
          </w:p>
        </w:tc>
        <w:tc>
          <w:tcPr>
            <w:tcW w:w="1784"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00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77"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197"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政协委员满意度</w:t>
            </w:r>
          </w:p>
        </w:tc>
        <w:tc>
          <w:tcPr>
            <w:tcW w:w="5008"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参会委员满意人数占全部委员的比例</w:t>
            </w:r>
          </w:p>
        </w:tc>
        <w:tc>
          <w:tcPr>
            <w:tcW w:w="1784"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2002"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3</w:t>
      </w:r>
      <w:r>
        <w:rPr>
          <w:rFonts w:ascii="Times New Roman" w:hAnsi="Times New Roman" w:eastAsia="仿宋_GB2312" w:cs="Times New Roman"/>
          <w:sz w:val="28"/>
        </w:rPr>
        <w:t>.视察调研活动经费绩效目标表</w:t>
      </w:r>
    </w:p>
    <w:p>
      <w:pPr>
        <w:spacing w:line="14" w:lineRule="exact"/>
        <w:ind w:firstLine="420" w:firstLineChars="200"/>
        <w:jc w:val="center"/>
        <w:rPr>
          <w:rFonts w:ascii="Times New Roman" w:hAnsi="Times New Roman" w:eastAsia="仿宋_GB2312" w:cs="Times New Roman"/>
        </w:rPr>
      </w:pP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380"/>
        <w:gridCol w:w="3000"/>
        <w:gridCol w:w="5560"/>
        <w:gridCol w:w="1166"/>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3261" w:type="dxa"/>
            <w:gridSpan w:val="5"/>
            <w:shd w:val="clear" w:color="auto" w:fill="auto"/>
            <w:vAlign w:val="center"/>
          </w:tcPr>
          <w:p>
            <w:pPr>
              <w:pStyle w:val="16"/>
              <w:keepNext w:val="0"/>
              <w:keepLines w:val="0"/>
              <w:pageBreakBefore w:val="0"/>
              <w:widowControl/>
              <w:kinsoku/>
              <w:wordWrap/>
              <w:overflowPunct/>
              <w:topLinePunct w:val="0"/>
              <w:autoSpaceDE/>
              <w:autoSpaceDN/>
              <w:bidi w:val="0"/>
              <w:adjustRightInd/>
              <w:snapToGrid/>
              <w:spacing w:line="360" w:lineRule="exact"/>
              <w:textAlignment w:val="auto"/>
              <w:rPr>
                <w:rFonts w:ascii="方正书宋_GBK" w:hAnsi="方正书宋_GBK" w:eastAsia="方正书宋_GBK" w:cs="方正书宋_GBK"/>
                <w:kern w:val="0"/>
                <w:sz w:val="21"/>
                <w:szCs w:val="24"/>
                <w:lang w:val="en-US" w:eastAsia="uk-UA" w:bidi="ar-SA"/>
              </w:rPr>
            </w:pPr>
            <w:r>
              <w:rPr>
                <w:rFonts w:hint="eastAsia" w:ascii="仿宋_GB2312" w:hAnsi="仿宋_GB2312" w:eastAsia="仿宋_GB2312" w:cs="仿宋_GB2312"/>
              </w:rPr>
              <w:t>满足组织委员视察、调研所需经费开支，通过组织委员视察、参观和调查，在政治、法律、经济、教育、科学技术、文化艺术、医药卫生、体育等方面开展调查研究等活动，了解情况，就各项事业和群众生活的重要问题进行研究，广开言路，广开才路，充分发挥委员的专长和作用，通过建议案、提案和其他形式向区委政府和其他有关组织提出高质量建议和批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38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300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556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166"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组织参加视察、调研委员人数</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参加视察、调研委员人数　</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≥14人次</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对事业和群众生活的关注问题</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通过调研能对各项事业和群众生活的重要问题进行研究</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视察、调研方案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活动完成情况</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按区政协计划安排是否按时完成视察、调研组织任务</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≥14次</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资料保管率</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妥善保管资料占应保管相关资料的比例</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视察、调研方案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降低成本节约率</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较前一年压减支出率</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推动工作开展</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通过视察、调研委员就社会发展所提意见建议比例提升；对民生问题和群众问题提供更多建议</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3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30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政协委员满意度</w:t>
            </w:r>
          </w:p>
        </w:tc>
        <w:tc>
          <w:tcPr>
            <w:tcW w:w="55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委员满意人数占参加委员的比例</w:t>
            </w:r>
          </w:p>
        </w:tc>
        <w:tc>
          <w:tcPr>
            <w:tcW w:w="116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4</w:t>
      </w:r>
      <w:r>
        <w:rPr>
          <w:rFonts w:ascii="Times New Roman" w:hAnsi="Times New Roman" w:eastAsia="仿宋_GB2312" w:cs="Times New Roman"/>
          <w:sz w:val="28"/>
        </w:rPr>
        <w:t>.委员之家经费绩效目标表</w:t>
      </w:r>
    </w:p>
    <w:p>
      <w:pPr>
        <w:spacing w:line="14" w:lineRule="exact"/>
        <w:ind w:firstLine="420" w:firstLineChars="200"/>
        <w:jc w:val="center"/>
        <w:rPr>
          <w:rFonts w:ascii="Times New Roman" w:hAnsi="Times New Roman" w:eastAsia="仿宋_GB2312" w:cs="Times New Roman"/>
        </w:rPr>
      </w:pP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1640"/>
        <w:gridCol w:w="2760"/>
        <w:gridCol w:w="5500"/>
        <w:gridCol w:w="1206"/>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3261" w:type="dxa"/>
            <w:gridSpan w:val="5"/>
            <w:shd w:val="clear" w:color="auto" w:fill="auto"/>
            <w:vAlign w:val="center"/>
          </w:tcPr>
          <w:p>
            <w:pPr>
              <w:pStyle w:val="16"/>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通过建设“委员之家”，充分发挥委员在本职岗位的带头作用、在政协工作中的主体作用和在界别群众中的代表作用；面向基层，积极推进政协协商民主向基层延伸，树立新时代政协委员履职为民新形象；立足政协界别和委员专业优势，形成特色，多出成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0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164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76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550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206"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建设委员之家数量</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建设委员之家数量</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≥9个</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活动完成情况</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按区政协计划安排是否按时完成委员之家活动次数</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≥5次</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资料保管率</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妥善保管资料占应保管相关资料的比例</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委员之家管理办法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活动完成情况</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活动是否推动了工作开展，是否提出了优质的建议</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活动完成情况</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按区政协计划安排是否按时完成委员之家活动次数</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≥5次</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vMerge w:val="continue"/>
            <w:shd w:val="clear" w:color="auto" w:fill="auto"/>
            <w:vAlign w:val="center"/>
          </w:tcP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降低成本节约率</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压减支出率</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推动工作开展提升委员形象</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通过委员之家建设和活动，推动工作开展提升委员形象所提意见建议比例提升</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01"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164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76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政协委员满意度</w:t>
            </w:r>
          </w:p>
        </w:tc>
        <w:tc>
          <w:tcPr>
            <w:tcW w:w="550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委员满意人数占全体委员的比例</w:t>
            </w:r>
          </w:p>
        </w:tc>
        <w:tc>
          <w:tcPr>
            <w:tcW w:w="1206"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2155"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lang w:val="en-US" w:eastAsia="zh-CN"/>
        </w:rPr>
        <w:t>5</w:t>
      </w:r>
      <w:r>
        <w:rPr>
          <w:rFonts w:ascii="Times New Roman" w:hAnsi="Times New Roman" w:eastAsia="仿宋_GB2312" w:cs="Times New Roman"/>
          <w:sz w:val="28"/>
        </w:rPr>
        <w:t>.学习培训经费绩效目标表</w:t>
      </w:r>
    </w:p>
    <w:p>
      <w:pPr>
        <w:spacing w:line="14" w:lineRule="exact"/>
        <w:ind w:firstLine="420" w:firstLineChars="200"/>
        <w:jc w:val="center"/>
        <w:rPr>
          <w:rFonts w:ascii="Times New Roman" w:hAnsi="Times New Roman" w:eastAsia="仿宋_GB2312" w:cs="Times New Roman"/>
        </w:rPr>
      </w:pPr>
    </w:p>
    <w:tbl>
      <w:tblPr>
        <w:tblStyle w:val="10"/>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1620"/>
        <w:gridCol w:w="2420"/>
        <w:gridCol w:w="4980"/>
        <w:gridCol w:w="1680"/>
        <w:gridCol w:w="25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8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3281" w:type="dxa"/>
            <w:gridSpan w:val="5"/>
            <w:shd w:val="clear" w:color="auto" w:fill="auto"/>
            <w:vAlign w:val="center"/>
          </w:tcPr>
          <w:p>
            <w:pPr>
              <w:pStyle w:val="16"/>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满足组织委员及机关干部培训所需经费开支，做到专款专用，为政协委员提高政治协商、民主监督、参政议政能力做好保障。增强委员政治把握能力、调查研究能力、联系群众能力、合作共事能力。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78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16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242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49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680"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581"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数量指标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参加学习培训委员人数</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参加学习培训委员人数</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≥350人次</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政协2022年工作计划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vMerge w:val="continue"/>
            <w:shd w:val="clear" w:color="auto" w:fill="auto"/>
            <w:vAlign w:val="center"/>
          </w:tcPr>
          <w:p>
            <w:pPr>
              <w:rPr>
                <w:rFonts w:hint="eastAsia" w:ascii="仿宋_GB2312" w:hAnsi="仿宋_GB2312" w:eastAsia="仿宋_GB2312" w:cs="仿宋_GB2312"/>
              </w:rPr>
            </w:pP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参加学习培训委员思想认识</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提高思想认识、增强群众能力、提高合作共事能力</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vMerge w:val="continue"/>
            <w:shd w:val="clear" w:color="auto" w:fill="auto"/>
            <w:vAlign w:val="center"/>
          </w:tcPr>
          <w:p>
            <w:pPr>
              <w:rPr>
                <w:rFonts w:hint="eastAsia" w:ascii="仿宋_GB2312" w:hAnsi="仿宋_GB2312" w:eastAsia="仿宋_GB2312" w:cs="仿宋_GB2312"/>
              </w:rPr>
            </w:pP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时效指标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培训活动完成情况</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按区政协计划安排是否按时完成培训组织任务</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≥2次</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政协工作安排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vMerge w:val="continue"/>
            <w:shd w:val="clear" w:color="auto" w:fill="auto"/>
            <w:vAlign w:val="center"/>
          </w:tcPr>
          <w:p>
            <w:pPr>
              <w:rPr>
                <w:rFonts w:hint="eastAsia" w:ascii="仿宋_GB2312" w:hAnsi="仿宋_GB2312" w:eastAsia="仿宋_GB2312" w:cs="仿宋_GB2312"/>
              </w:rPr>
            </w:pP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质量指标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培训资料保管率</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妥善保管培训资料占应保管相关资料的比例</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≥90%</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vMerge w:val="continue"/>
            <w:shd w:val="clear" w:color="auto" w:fill="auto"/>
            <w:vAlign w:val="center"/>
          </w:tcPr>
          <w:p>
            <w:pPr>
              <w:rPr>
                <w:rFonts w:hint="eastAsia" w:ascii="仿宋_GB2312" w:hAnsi="仿宋_GB2312" w:eastAsia="仿宋_GB2312" w:cs="仿宋_GB2312"/>
              </w:rPr>
            </w:pP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成本指标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培训费标准</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培训费支付标准（二类）</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≤450元/人/天</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区级机关培训费管理办法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推动工作开展</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会议中委员就社会发展所提意见建议比例提升</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≥5%</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统计分析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781"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16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242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政协委员满意度</w:t>
            </w:r>
          </w:p>
        </w:tc>
        <w:tc>
          <w:tcPr>
            <w:tcW w:w="49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参训委员满意人数占全部委员的比例</w:t>
            </w:r>
          </w:p>
        </w:tc>
        <w:tc>
          <w:tcPr>
            <w:tcW w:w="1680"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≥95%</w:t>
            </w:r>
          </w:p>
        </w:tc>
        <w:tc>
          <w:tcPr>
            <w:tcW w:w="2581" w:type="dxa"/>
            <w:shd w:val="clear" w:color="auto" w:fill="auto"/>
            <w:vAlign w:val="center"/>
          </w:tcPr>
          <w:p>
            <w:pPr>
              <w:pStyle w:val="16"/>
              <w:rPr>
                <w:rFonts w:hint="eastAsia" w:ascii="仿宋_GB2312" w:hAnsi="仿宋_GB2312" w:eastAsia="仿宋_GB2312" w:cs="仿宋_GB2312"/>
              </w:rPr>
            </w:pPr>
            <w:r>
              <w:rPr>
                <w:rFonts w:hint="eastAsia" w:ascii="仿宋_GB2312" w:hAnsi="仿宋_GB2312" w:eastAsia="仿宋_GB2312" w:cs="仿宋_GB2312"/>
              </w:rPr>
              <w:t>统计测评</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outlineLvl w:val="1"/>
        <w:rPr>
          <w:rFonts w:ascii="方正小标宋_GBK" w:eastAsia="方正小标宋_GBK" w:cs="Times New Roman"/>
          <w:sz w:val="32"/>
        </w:rPr>
      </w:pPr>
      <w:r>
        <w:rPr>
          <w:rFonts w:hint="eastAsia" w:ascii="方正小标宋_GBK" w:eastAsia="方正小标宋_GBK" w:cs="Times New Roman"/>
          <w:sz w:val="24"/>
          <w:lang w:eastAsia="zh-CN"/>
        </w:rPr>
        <w:t>[131]中国人民政治协商会议廊坊市广阳区委员会</w:t>
      </w:r>
      <w:r>
        <w:t xml:space="preserve">                    </w:t>
      </w:r>
      <w:r>
        <w:rPr>
          <w:rFonts w:hint="eastAsia"/>
          <w:lang w:val="en-US" w:eastAsia="zh-CN"/>
        </w:rPr>
        <w:t xml:space="preserve">                              </w:t>
      </w:r>
      <w:r>
        <w:t xml:space="preserve">                     单位：万元</w:t>
      </w:r>
    </w:p>
    <w:tbl>
      <w:tblPr>
        <w:tblStyle w:val="10"/>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061"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2" w:type="dxa"/>
            <w:gridSpan w:val="8"/>
            <w:vAlign w:val="center"/>
          </w:tcPr>
          <w:p>
            <w:pPr>
              <w:pStyle w:val="14"/>
            </w:pPr>
            <w:r>
              <w:t>政府采购金额（当年部门预算安排资金）</w:t>
            </w:r>
          </w:p>
        </w:tc>
        <w:tc>
          <w:tcPr>
            <w:tcW w:w="964" w:type="dxa"/>
            <w:vMerge w:val="restart"/>
            <w:vAlign w:val="center"/>
          </w:tcPr>
          <w:p>
            <w:pPr>
              <w:pStyle w:val="14"/>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097"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8"/>
            </w:pPr>
            <w:r>
              <w:t>合  计</w:t>
            </w:r>
          </w:p>
        </w:tc>
        <w:tc>
          <w:tcPr>
            <w:tcW w:w="964" w:type="dxa"/>
            <w:vAlign w:val="center"/>
          </w:tcPr>
          <w:p>
            <w:pPr>
              <w:pStyle w:val="19"/>
              <w:rPr>
                <w:rFonts w:hint="eastAsia" w:eastAsia="方正书宋_GBK"/>
                <w:lang w:val="en-US" w:eastAsia="zh-CN"/>
              </w:rPr>
            </w:pPr>
            <w:r>
              <w:rPr>
                <w:rFonts w:hint="eastAsia"/>
                <w:lang w:val="en-US" w:eastAsia="zh-CN"/>
              </w:rPr>
              <w:t>0</w:t>
            </w: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8"/>
            </w:pPr>
          </w:p>
        </w:tc>
        <w:tc>
          <w:tcPr>
            <w:tcW w:w="964" w:type="dxa"/>
            <w:vAlign w:val="center"/>
          </w:tcPr>
          <w:p>
            <w:pPr>
              <w:pStyle w:val="19"/>
            </w:pPr>
          </w:p>
        </w:tc>
        <w:tc>
          <w:tcPr>
            <w:tcW w:w="1134" w:type="dxa"/>
            <w:vAlign w:val="center"/>
          </w:tcPr>
          <w:p>
            <w:pPr>
              <w:pStyle w:val="20"/>
            </w:pPr>
          </w:p>
        </w:tc>
        <w:tc>
          <w:tcPr>
            <w:tcW w:w="1134" w:type="dxa"/>
            <w:vAlign w:val="center"/>
          </w:tcPr>
          <w:p>
            <w:pPr>
              <w:pStyle w:val="20"/>
            </w:pPr>
          </w:p>
        </w:tc>
        <w:tc>
          <w:tcPr>
            <w:tcW w:w="709" w:type="dxa"/>
            <w:vAlign w:val="center"/>
          </w:tcPr>
          <w:p>
            <w:pPr>
              <w:pStyle w:val="18"/>
            </w:pPr>
          </w:p>
        </w:tc>
        <w:tc>
          <w:tcPr>
            <w:tcW w:w="850" w:type="dxa"/>
            <w:vAlign w:val="center"/>
          </w:tcPr>
          <w:p>
            <w:pPr>
              <w:pStyle w:val="19"/>
            </w:pPr>
          </w:p>
        </w:tc>
        <w:tc>
          <w:tcPr>
            <w:tcW w:w="850"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c>
          <w:tcPr>
            <w:tcW w:w="964" w:type="dxa"/>
            <w:vAlign w:val="center"/>
          </w:tcPr>
          <w:p>
            <w:pPr>
              <w:pStyle w:val="19"/>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广阳区政协</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lang w:val="en-US" w:eastAsia="zh-CN"/>
        </w:rPr>
        <w:t>33.395474</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10"/>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方正小标宋_GBK" w:eastAsia="方正小标宋_GBK" w:cs="Times New Roman"/>
                <w:sz w:val="24"/>
                <w:lang w:eastAsia="zh-CN"/>
              </w:rPr>
              <w:t>[131]中国人民政治协商会议廊坊市广阳区委员会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33.395474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eastAsia" w:ascii="Times New Roman" w:hAnsi="Times New Roman" w:eastAsia="仿宋_GB2312" w:cs="Times New Roman"/>
                <w:kern w:val="2"/>
                <w:sz w:val="22"/>
                <w:szCs w:val="22"/>
                <w:lang w:val="en-US" w:eastAsia="zh-CN" w:bidi="ar-SA"/>
              </w:rPr>
            </w:pPr>
            <w:r>
              <w:rPr>
                <w:rFonts w:hint="eastAsia" w:ascii="Times New Roman" w:hAnsi="Times New Roman" w:eastAsia="仿宋_GB2312" w:cs="Times New Roman"/>
                <w:sz w:val="22"/>
                <w:lang w:val="en-US" w:eastAsia="zh-CN"/>
              </w:rPr>
              <w:t>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kern w:val="2"/>
                <w:sz w:val="22"/>
                <w:szCs w:val="22"/>
                <w:lang w:val="en-US" w:eastAsia="zh-CN" w:bidi="ar-SA"/>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487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lang w:val="en-US" w:eastAsia="zh-CN"/>
              </w:rPr>
              <w:t>33.395474</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UnicodeMS">
    <w:altName w:val="Arial"/>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5632D"/>
    <w:rsid w:val="003059E0"/>
    <w:rsid w:val="004A54AA"/>
    <w:rsid w:val="00615EA1"/>
    <w:rsid w:val="00944233"/>
    <w:rsid w:val="00B40732"/>
    <w:rsid w:val="00B80935"/>
    <w:rsid w:val="00D347CC"/>
    <w:rsid w:val="00DC72B4"/>
    <w:rsid w:val="020B56D6"/>
    <w:rsid w:val="02DB0A87"/>
    <w:rsid w:val="05CE01B1"/>
    <w:rsid w:val="05ED39AA"/>
    <w:rsid w:val="074A5645"/>
    <w:rsid w:val="0B640F3B"/>
    <w:rsid w:val="0CEC1180"/>
    <w:rsid w:val="0E0362E7"/>
    <w:rsid w:val="0FB95941"/>
    <w:rsid w:val="0FDA5C70"/>
    <w:rsid w:val="16970417"/>
    <w:rsid w:val="19256FC2"/>
    <w:rsid w:val="1B567832"/>
    <w:rsid w:val="1BA14AA9"/>
    <w:rsid w:val="1C7253F5"/>
    <w:rsid w:val="1C7A0AAF"/>
    <w:rsid w:val="1E03052D"/>
    <w:rsid w:val="1E0C29DD"/>
    <w:rsid w:val="24AB78B3"/>
    <w:rsid w:val="24B90C54"/>
    <w:rsid w:val="25D649BC"/>
    <w:rsid w:val="287E7677"/>
    <w:rsid w:val="29595FA2"/>
    <w:rsid w:val="29E20B18"/>
    <w:rsid w:val="2B5E6CDF"/>
    <w:rsid w:val="2BED18FD"/>
    <w:rsid w:val="32A157F9"/>
    <w:rsid w:val="32CE4D68"/>
    <w:rsid w:val="3391237E"/>
    <w:rsid w:val="42C4000A"/>
    <w:rsid w:val="463362C8"/>
    <w:rsid w:val="492975C3"/>
    <w:rsid w:val="4AC42881"/>
    <w:rsid w:val="4CF05CFE"/>
    <w:rsid w:val="4FF66F3C"/>
    <w:rsid w:val="53AD6A80"/>
    <w:rsid w:val="547E1E04"/>
    <w:rsid w:val="55DA794E"/>
    <w:rsid w:val="58F71764"/>
    <w:rsid w:val="59106ECC"/>
    <w:rsid w:val="5FFC5006"/>
    <w:rsid w:val="62AE2C60"/>
    <w:rsid w:val="64CC79A1"/>
    <w:rsid w:val="681A79B2"/>
    <w:rsid w:val="6EC10D02"/>
    <w:rsid w:val="73693C55"/>
    <w:rsid w:val="7371287E"/>
    <w:rsid w:val="763F2CEC"/>
    <w:rsid w:val="77DC2E91"/>
    <w:rsid w:val="7A122D59"/>
    <w:rsid w:val="7A944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1"/>
    <w:basedOn w:val="1"/>
    <w:next w:val="1"/>
    <w:qFormat/>
    <w:uiPriority w:val="0"/>
    <w:rPr>
      <w:rFonts w:ascii="Times New Roman" w:hAnsi="Times New Roman" w:cs="Times New Roman"/>
      <w:szCs w:val="24"/>
    </w:rPr>
  </w:style>
  <w:style w:type="paragraph" w:styleId="8">
    <w:name w:val="footnote text"/>
    <w:basedOn w:val="1"/>
    <w:qFormat/>
    <w:uiPriority w:val="0"/>
    <w:pPr>
      <w:snapToGrid w:val="0"/>
      <w:jc w:val="left"/>
    </w:pPr>
    <w:rPr>
      <w:rFonts w:cs="Times New Roman"/>
      <w:sz w:val="18"/>
      <w:szCs w:val="18"/>
    </w:rPr>
  </w:style>
  <w:style w:type="paragraph" w:styleId="9">
    <w:name w:val="toc 2"/>
    <w:basedOn w:val="1"/>
    <w:next w:val="1"/>
    <w:qFormat/>
    <w:uiPriority w:val="0"/>
    <w:pPr>
      <w:ind w:left="200" w:leftChars="200"/>
    </w:pPr>
    <w:rPr>
      <w:rFonts w:ascii="Times New Roman" w:hAnsi="Times New Roman" w:cs="Times New Roman"/>
      <w:szCs w:val="24"/>
    </w:rPr>
  </w:style>
  <w:style w:type="character" w:styleId="12">
    <w:name w:val="footnote reference"/>
    <w:qFormat/>
    <w:uiPriority w:val="0"/>
    <w:rPr>
      <w:vertAlign w:val="superscript"/>
    </w:rPr>
  </w:style>
  <w:style w:type="paragraph" w:customStyle="1" w:styleId="1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4">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5">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6">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7">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8">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9">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20">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21">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16</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2024-12-26T03:54:37Z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694F41B5A8664C38A84C319880522DFE</vt:lpwstr>
  </property>
</Properties>
</file>