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lang w:eastAsia="zh-CN"/>
        </w:rPr>
        <w:t>广阳区</w:t>
      </w:r>
      <w:r>
        <w:rPr>
          <w:rFonts w:hint="eastAsia" w:ascii="Times New Roman" w:hAnsi="Times New Roman" w:eastAsia="方正小标宋简体" w:cs="Times New Roman"/>
          <w:sz w:val="44"/>
          <w:szCs w:val="44"/>
          <w:lang w:val="en-US" w:eastAsia="zh-CN"/>
        </w:rPr>
        <w:t>新开路街道办事处</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廊坊市广阳区新开路街道办事处</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部门职责：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根据《廊坊市广阳区新开路路街道办事处职能配置、内设机构和人员编制规定》， 廊坊市广阳区新开路街道办事处的主要职责是：</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一、党政综合办公室：</w:t>
      </w:r>
      <w:bookmarkStart w:id="6" w:name="_GoBack"/>
      <w:bookmarkEnd w:id="6"/>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1.负责监督检查和指导所属单位和行政村的档案工作。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2.做好信访工作，畅通信访渠道、处理来信、接待来访。</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3.负责辖区内的统计工作。履行统计职责，广泛引导、动员和组织社会力量积极参与并认真配合做好国家规定的周期性普查工作。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二、党建工作办公室</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1.宣传执行党的路线、方针、政策，宣传和执行党中央、上级党组织和本级党组织的决议，团结、组织党内外的干部和群众，努力完成本单位所担负的任务。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维护和执行党的纪律，监督党员干部和其他任何工作人员严格遵守国家法律法规。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负责乡镇和街道党（工）委自身建设和基层党组织建设，以及其他隶属乡镇和街道党（工）委的党组织建设。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 负责下级党的基层组织选举工作、对下级党组织的成立或撤销作出决定。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 负责非公有制企业和社会组织党建工作、扩大新兴领域党建有效覆盖</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 加强党员队伍建设，对党员进行教育、管理、监督和服务，做好经常性的发展党员工作。加强流动党员管理。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 做好人才服务工作，发现、培养、推荐党员和群众中的优秀人才。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 落实意识形态工作责任制，组织党员群众学习习近平新时代中国特色社会主义思想，培育和践行社会主义核心价值观，加强精神文明建设和文化建设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 落实统一战线工作任务要求，做好民族事务工作。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 领导辖区内人大工作，以及工会、共青团、妇联等工作。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 根据委托授权负责本辖区内的宗教事务管理工作。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 依照法定权限，做好本辖区的征兵、民兵、预备役、国防教育、国民经济动员、人民防空、国防交通、国防设施保护等工作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 负责联系街道辖区内的人民代表大会代表，组织代表开展活动，反映代表和群众的建议、批评和意见，办理常务委员会交办的监督、选举以及其他工作，并向常务委员会报告工作。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三、应急管理办公室</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负责辖区内的食品安全隐患排查、信息报告、协助执法和宣传教育等工作、做好本行政区域内小作坊、小餐饮、小摊点的监督管理工作。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加强本辖区生产经营单位安全生产状况的监督检查、协助上级有关部门依法履行安全生产监督管理职责。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负责本辖区的消防工作、开展消防宣传、防火巡查、隐患查改。指导村（居）民委员会开展群众性的消防工作。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 负责辖区防汛抗洪、抗旱等相关工作。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 负责辖区防灾减灾等相关工作。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 依法做好本辖区的突发事件应对工作，制定本级突发事件应急预案，组织开展应急演练。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 负责辖区应急管理工作，建立健全应急联动机制，严格落实应急管理责任，加强基层综合应急队伍建设和应急保障能力建设。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 负责本辖区内自然灾害救助工作，做好自然灾害风险排查、隐患治理、救助准备、信息报告、先期处置、应急救助、灾后救助和救助款物管理等工作。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四、自然资源和生态环境办公室</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动员和组织社会力量参与土地调查工作。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按照职责分工负责辖区市容、村容和环境卫生、农村生活污水管理责任。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按照职责分工负责本辖区河湖的水资源保护、水域岸线管理、水污染防治、水环境治理等工作，协助上级人民政府及其有关部门做好地下水相关管理和监督工作。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 根据本地区的实际，组织开展大气污染防治工作。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 落实属地监管责任，做好禁止露天焚烧秸秆工作。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6．根据本地区的实际，组织开展扬尘污染防治工作。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 按照职责分工做好“散乱污”企业综合整治工作。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 按照职责分工和相关预案开展突发环境事件应急处置工作，按照有关规定向上级报告。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五、综合行政执法队</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1.根据法律法规和省政府授权，承担综合行政执法工作。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2.协助有关部门查处传销行为。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3.加大信用信息归集应用力度，落实守信联合激励和失信联合惩戒制度、推进信用分级分类监管。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4.制定本辖区社会治安综合治理规划、检查、推动社会治安综合治理措施的落实，协调和督促有关部门开展法制宣传教育工作、调解各类纠纷。</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5.组织群众开展各种形式的治安防范活动和军民、警民联防活动；指导、帮助村（居）民委员会做好社会治安综合治理工作。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6.组织协调辖区社会治安防控体系建设及普法工作，开展基层平安创建活动及各种形式的治安防范活动。加强群防群治组织建设，动员、组织人民群众维护社会治安和社会秩序，做好防范邪教工作。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7.承担民间纠纷调解相关工作。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8.协调有关部门做好未成年人的保护工作。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9.承担企业劳动争议调解相关工作。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10.组织相关单位开展社区矫正工作和对户籍或居住地在本辖区的刑满释放人员做好接收建档和安置帮教工作，做好重点帮教对象的衔接工作。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11.负责社区戒毒、社区康复工作。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六、行政综合服务中心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1.负责指导居民委员会的换届选举工作。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2.指导村（居）民委员会建立健全各项自治制度，并予以备案。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3.按权限负责基层社区社会组织的分类指导和业务指导。</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4.负责加强本辖区健康教育工作及其专业人才培养、建立健康知识和技能核心信息发布制度、普及健康科学知识、向公众提供科学、准确的健康信息。</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5.负责本辖区健康中国建设，健全实施健康中国行动领导推进工作机制，逐项抓好任务落实。</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6.根据法律法规和省政府授权，承担行政审批服务工作。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7.开展就业政策宣传、就业援助等就业服务工作。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8.负责辖区内人口与计划生育工作。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9.组织开展全民健身活动，建立健全全民健身工作协调机制。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10.负责本辖区爱国卫生日常工作。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11.按权限开展社会救助工作。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12.按权限做好残疾人保障工作。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13.负责组织开展预防精神障碍发生、促进精神障碍患者康复等工作。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14.按照职责分工负责做好辖区城乡居民基本养老保险工作。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七、社区建设和物业监督管理办公室</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1.组织实施居家养老服务工作，建设居家养老服务设施，落实政府购买服务、经费补贴等扶持政策措施、组织、指导社会各界参与居家养老和空巢、留守老年人关爱服务。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2.负责指导辖区内业主大会的成立和业主委员会的选举工作。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3.按权限负责社区工作者的日常管理工作。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八、综合文化服务站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1.组织开展本辖区科普活动，宣传科学、文明的生产和生活方式。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2.负责本辖区综合文化站、新时代文明实践中心（所、站）建设和日常管理、实施免费开放。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九、退役军人服务站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负责拥军优属、退役军人服务等工作</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宋体" w:cs="Times New Roman"/>
                <w:b/>
                <w:kern w:val="2"/>
                <w:sz w:val="21"/>
                <w:szCs w:val="22"/>
                <w:lang w:val="en-US" w:eastAsia="zh-CN" w:bidi="ar-SA"/>
              </w:rPr>
            </w:pPr>
            <w:r>
              <w:rPr>
                <w:rFonts w:hint="eastAsia" w:ascii="宋体" w:hAnsi="宋体" w:cs="宋体"/>
                <w:b/>
              </w:rPr>
              <w:t>廊坊市广阳区新开路街道办事出</w:t>
            </w:r>
          </w:p>
        </w:tc>
        <w:tc>
          <w:tcPr>
            <w:tcW w:w="1134" w:type="dxa"/>
            <w:shd w:val="clear" w:color="auto" w:fill="auto"/>
            <w:vAlign w:val="center"/>
          </w:tcPr>
          <w:p>
            <w:pPr>
              <w:spacing w:line="584" w:lineRule="exact"/>
              <w:jc w:val="center"/>
              <w:rPr>
                <w:rFonts w:ascii="Times New Roman" w:hAnsi="Times New Roman" w:eastAsia="宋体" w:cs="Times New Roman"/>
                <w:b/>
                <w:kern w:val="2"/>
                <w:sz w:val="21"/>
                <w:szCs w:val="22"/>
                <w:lang w:val="en-US" w:eastAsia="zh-CN" w:bidi="ar-SA"/>
              </w:rPr>
            </w:pPr>
            <w:r>
              <w:rPr>
                <w:rFonts w:hint="eastAsia" w:ascii="宋体" w:hAnsi="宋体" w:cs="宋体"/>
                <w:b/>
              </w:rPr>
              <w:t>行政</w:t>
            </w:r>
          </w:p>
        </w:tc>
        <w:tc>
          <w:tcPr>
            <w:tcW w:w="1276" w:type="dxa"/>
            <w:shd w:val="clear" w:color="auto" w:fill="auto"/>
            <w:vAlign w:val="center"/>
          </w:tcPr>
          <w:p>
            <w:pPr>
              <w:spacing w:line="584" w:lineRule="exact"/>
              <w:jc w:val="center"/>
              <w:rPr>
                <w:rFonts w:ascii="Times New Roman" w:hAnsi="Times New Roman" w:eastAsia="宋体" w:cs="Times New Roman"/>
                <w:b/>
                <w:kern w:val="2"/>
                <w:sz w:val="21"/>
                <w:szCs w:val="22"/>
                <w:lang w:val="en-US" w:eastAsia="zh-CN" w:bidi="ar-SA"/>
              </w:rPr>
            </w:pPr>
            <w:r>
              <w:rPr>
                <w:rFonts w:hint="eastAsia" w:ascii="宋体" w:hAnsi="宋体" w:cs="宋体"/>
                <w:b/>
              </w:rPr>
              <w:t>正科级</w:t>
            </w:r>
          </w:p>
        </w:tc>
        <w:tc>
          <w:tcPr>
            <w:tcW w:w="2902" w:type="dxa"/>
            <w:shd w:val="clear" w:color="auto" w:fill="auto"/>
            <w:vAlign w:val="center"/>
          </w:tcPr>
          <w:p>
            <w:pPr>
              <w:spacing w:line="584" w:lineRule="exact"/>
              <w:jc w:val="center"/>
              <w:rPr>
                <w:rFonts w:ascii="Times New Roman" w:hAnsi="Times New Roman" w:eastAsia="宋体" w:cs="Times New Roman"/>
                <w:b/>
                <w:kern w:val="2"/>
                <w:sz w:val="21"/>
                <w:szCs w:val="22"/>
                <w:lang w:val="en-US" w:eastAsia="zh-CN" w:bidi="ar-SA"/>
              </w:rPr>
            </w:pPr>
            <w:r>
              <w:rPr>
                <w:rFonts w:hint="eastAsia" w:ascii="宋体" w:hAnsi="宋体" w:cs="宋体"/>
                <w:b/>
              </w:rPr>
              <w:t>财政拨款（行政）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按照预算管理有关规定，目前我区部门预算的编制实行综合预算制度，即全部收入和支出都反映在预算中。廊坊市广阳区新开路机关的收支包含在部门预算中。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lang w:val="en-US" w:eastAsia="zh-CN"/>
        </w:rPr>
        <w:t>2913.85</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2893.85</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新开路街道办事处2022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lang w:val="en-US" w:eastAsia="zh-CN"/>
        </w:rPr>
        <w:t>2913.85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1835.89</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1638.79</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197.1</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lang w:val="en-US" w:eastAsia="zh-CN"/>
        </w:rPr>
        <w:t>1077.96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lang w:val="en-US" w:eastAsia="zh-CN"/>
        </w:rPr>
        <w:t>2913.85</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highlight w:val="none"/>
          <w:shd w:val="clear"/>
          <w:lang w:val="en-US" w:eastAsia="zh-CN"/>
        </w:rPr>
        <w:t>161.52</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highlight w:val="none"/>
          <w:lang w:val="en-US" w:eastAsia="zh-CN"/>
        </w:rPr>
        <w:t>109.7</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val="en-US" w:eastAsia="zh-CN"/>
        </w:rPr>
        <w:t>一般公共服务</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highlight w:val="none"/>
          <w:lang w:val="en-US" w:eastAsia="zh-CN"/>
        </w:rPr>
        <w:t>51.82</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val="en-US" w:eastAsia="zh-CN"/>
        </w:rPr>
        <w:t>公安及卫生健康</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年，我机关运行经费共计安排</w:t>
      </w:r>
      <w:r>
        <w:rPr>
          <w:rFonts w:hint="default" w:ascii="Times New Roman" w:hAnsi="Times New Roman" w:eastAsia="仿宋_GB2312" w:cs="Times New Roman"/>
          <w:sz w:val="32"/>
          <w:szCs w:val="32"/>
          <w:lang w:val="en-US" w:eastAsia="zh-CN"/>
        </w:rPr>
        <w:t>197.1</w:t>
      </w:r>
      <w:r>
        <w:rPr>
          <w:rFonts w:hint="default" w:ascii="Times New Roman" w:hAnsi="Times New Roman" w:eastAsia="仿宋_GB2312" w:cs="Times New Roman"/>
          <w:sz w:val="32"/>
          <w:szCs w:val="32"/>
        </w:rPr>
        <w:t>万元，主要用于新开路街道办事</w:t>
      </w:r>
      <w:r>
        <w:rPr>
          <w:rFonts w:hint="default" w:ascii="Times New Roman" w:hAnsi="Times New Roman" w:eastAsia="仿宋_GB2312" w:cs="Times New Roman"/>
          <w:sz w:val="32"/>
          <w:szCs w:val="32"/>
          <w:lang w:val="en-US" w:eastAsia="zh-CN"/>
        </w:rPr>
        <w:t>处</w:t>
      </w:r>
      <w:r>
        <w:rPr>
          <w:rFonts w:hint="default"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cs="Times New Roman"/>
          <w:sz w:val="32"/>
          <w:szCs w:val="32"/>
        </w:rPr>
      </w:pPr>
      <w:r>
        <w:rPr>
          <w:rFonts w:hint="default" w:ascii="Times New Roman" w:hAnsi="Times New Roman" w:eastAsia="仿宋_GB2312" w:cs="Times New Roman"/>
          <w:sz w:val="32"/>
          <w:szCs w:val="32"/>
        </w:rPr>
        <w:t>2022年，我局财政拨款“三公”经费预算安排</w:t>
      </w:r>
      <w:r>
        <w:rPr>
          <w:rFonts w:hint="default" w:ascii="Times New Roman" w:hAnsi="Times New Roman" w:eastAsia="仿宋_GB2312" w:cs="Times New Roman"/>
          <w:sz w:val="32"/>
          <w:szCs w:val="32"/>
          <w:lang w:val="en-US" w:eastAsia="zh-CN"/>
        </w:rPr>
        <w:t>4.38</w:t>
      </w:r>
      <w:r>
        <w:rPr>
          <w:rFonts w:hint="default" w:ascii="Times New Roman" w:hAnsi="Times New Roman" w:eastAsia="仿宋_GB2312" w:cs="Times New Roman"/>
          <w:sz w:val="32"/>
          <w:szCs w:val="32"/>
        </w:rPr>
        <w:t>万元。其中，因公出国（境）费</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万元；公务用车购置及运维费</w:t>
      </w:r>
      <w:r>
        <w:rPr>
          <w:rFonts w:hint="default" w:ascii="Times New Roman" w:hAnsi="Times New Roman" w:eastAsia="仿宋_GB2312" w:cs="Times New Roman"/>
          <w:sz w:val="32"/>
          <w:szCs w:val="32"/>
          <w:lang w:val="en-US" w:eastAsia="zh-CN"/>
        </w:rPr>
        <w:t>4.38</w:t>
      </w:r>
      <w:r>
        <w:rPr>
          <w:rFonts w:hint="default" w:ascii="Times New Roman" w:hAnsi="Times New Roman" w:eastAsia="仿宋_GB2312" w:cs="Times New Roman"/>
          <w:sz w:val="32"/>
          <w:szCs w:val="32"/>
        </w:rPr>
        <w:t>万元（其中：公务用车购置费为0万元，公务用车运维费0万元)；公务接待费0万元。与202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年相比持平。主要原因是我部门切实落实勤俭节约各项规定，无公务接待费支出。</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keepNext w:val="0"/>
        <w:keepLines w:val="0"/>
        <w:pageBreakBefore w:val="0"/>
        <w:widowControl w:val="0"/>
        <w:kinsoku/>
        <w:wordWrap/>
        <w:overflowPunct/>
        <w:topLinePunct w:val="0"/>
        <w:autoSpaceDE/>
        <w:autoSpaceDN/>
        <w:bidi w:val="0"/>
        <w:adjustRightInd/>
        <w:snapToGrid/>
        <w:spacing w:before="10" w:after="10" w:line="584" w:lineRule="exact"/>
        <w:ind w:firstLine="560"/>
        <w:jc w:val="left"/>
        <w:textAlignment w:val="auto"/>
        <w:outlineLvl w:val="1"/>
        <w:rPr>
          <w:rFonts w:hint="eastAsia" w:ascii="楷体_GB2312" w:hAnsi="楷体_GB2312" w:eastAsia="楷体_GB2312" w:cs="楷体_GB2312"/>
          <w:b/>
          <w:bCs/>
          <w:sz w:val="32"/>
          <w:szCs w:val="32"/>
        </w:rPr>
      </w:pPr>
      <w:bookmarkStart w:id="0" w:name="_Toc_2_2_0000000001"/>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lang w:val="en-US" w:eastAsia="zh-CN"/>
        </w:rPr>
        <w:t>一</w:t>
      </w: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rPr>
        <w:t>总体绩效目标</w:t>
      </w:r>
      <w:bookmarkEnd w:id="0"/>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新时代，新征程。2022年，新开路街道将抓住新机场兴建的宝贵历史机遇，创新思维方式，汇聚兴街富民力量，实现跨越大发展。力争将新开路街道建设成为开放、包容、宜居的生态新区。</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kern w:val="2"/>
          <w:sz w:val="32"/>
          <w:szCs w:val="32"/>
          <w:lang w:val="en-US" w:eastAsia="zh-CN" w:bidi="ar-SA"/>
        </w:rPr>
        <w:t>、加快项目建设，促进经济发展</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是要加大宣传力度，扩大舆论环境，提高区域知名度。二是对在建楼宇项目要突出重点，落实责任，盯目标、盯进度、盯节点、盯成效，统筹推进项目建设，力争项目早建成、早投入、早见效。逐渐形成以和平路为中轴线，各具特色的商务楼群为核心商圈的发展模式。三是要尽快介入，全面掌握楼宇信息，引导开发商进行楼宇功能定位。确立不同楼宇的业态定位，发展产业集群，使楼宇经济朝产业化、特色化、专业化的方向发展。</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、推进污染防治，确保质量达标</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坚持防管结合、标本兼治。加大露天焚烧综合整治力度，倡导低碳文明的祭祀风尚力争不着火、不冒烟；巩固重点领域防控。保持对涉VOCs排放企业、“散乱污”企业和餐饮经营场所的高频度、全天候巡查监控态势，确保不出现反弹现象；进一步完善抑尘措施。强化重污染天气应急期间监管，督导各项应急措施落实到位，有效实现“削峰降速”。</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kern w:val="2"/>
          <w:sz w:val="32"/>
          <w:szCs w:val="32"/>
          <w:lang w:val="en-US" w:eastAsia="zh-CN" w:bidi="ar-SA"/>
        </w:rPr>
        <w:t>、提升服务水平，建设幸福街区</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方面，全面落实就业创业政策，减少辖区失业人员比例；加大对居民养老、城镇居民医疗保险的宣传力度，增强居民参保意识；认真做好低保、低收入家庭救助工作，解决基层最低生活保障家庭的学生救助；另一方面，坚持问题导向、群众观点、法治思维、末端思维，围绕继续抓好全国文明城市创建，进一步加强数字化、信息化、模块化管理体系建设，持续提升社区服务功能，全面建设幸福和谐街道。</w:t>
      </w:r>
    </w:p>
    <w:p>
      <w:pPr>
        <w:keepNext w:val="0"/>
        <w:keepLines w:val="0"/>
        <w:pageBreakBefore w:val="0"/>
        <w:widowControl w:val="0"/>
        <w:kinsoku/>
        <w:wordWrap/>
        <w:overflowPunct/>
        <w:topLinePunct w:val="0"/>
        <w:autoSpaceDE/>
        <w:autoSpaceDN/>
        <w:bidi w:val="0"/>
        <w:adjustRightInd/>
        <w:snapToGrid/>
        <w:spacing w:before="10" w:after="10" w:line="584" w:lineRule="exact"/>
        <w:ind w:firstLine="560"/>
        <w:jc w:val="left"/>
        <w:textAlignment w:val="auto"/>
        <w:outlineLvl w:val="1"/>
        <w:rPr>
          <w:rFonts w:hint="eastAsia" w:ascii="楷体_GB2312" w:hAnsi="楷体_GB2312" w:eastAsia="楷体_GB2312" w:cs="楷体_GB2312"/>
          <w:b/>
          <w:bCs/>
          <w:color w:val="000000"/>
          <w:sz w:val="32"/>
          <w:szCs w:val="32"/>
        </w:rPr>
      </w:pPr>
      <w:bookmarkStart w:id="1" w:name="_Toc_2_2_0000000002"/>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lang w:val="en-US" w:eastAsia="zh-CN"/>
        </w:rPr>
        <w:t>二</w:t>
      </w: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rPr>
        <w:t>分项绩效目标</w:t>
      </w:r>
      <w:bookmarkEnd w:id="1"/>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kern w:val="2"/>
          <w:sz w:val="32"/>
          <w:szCs w:val="32"/>
          <w:lang w:val="en-US" w:eastAsia="zh-CN" w:bidi="ar-SA"/>
        </w:rPr>
        <w:t>、发展楼宇经济</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楼宇经济是街道城市经济发展的主抓手、主阵地，借助广阳腾讯成绩经济招商营商会客大厅设置在我辖区梅花易品大厦的东风，我们将通过设置楼宇信息员、楼宇企业服务中心等载体，着力引进总部企业、规上服务业、创意设计类等企业，不断优化楼宇企业业态结构，力争培育新的税收增长点，全力打造楼宇经济可持续发展新高地。</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、常抓疫情防控</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落实冬季疫情防控工作措施，常态化排查登记中高风险地区返雅人员，做好居家医疗观察和核酸检测。强化商场、酒店、学校、农贸市场、餐馆等重点区域的日常消毒和防控措施落实。</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kern w:val="2"/>
          <w:sz w:val="32"/>
          <w:szCs w:val="32"/>
          <w:lang w:val="en-US" w:eastAsia="zh-CN" w:bidi="ar-SA"/>
        </w:rPr>
        <w:t>、持续打好生态保卫战</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加强网格化日常巡查，守牢生态底线。对重点行业、重点企业进行定期和不定期走访，建立巡查台账，对群众反映的环保问题及时调查处复。</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kern w:val="2"/>
          <w:sz w:val="32"/>
          <w:szCs w:val="32"/>
          <w:lang w:val="en-US" w:eastAsia="zh-CN" w:bidi="ar-SA"/>
        </w:rPr>
        <w:t>、维护社会稳定</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持续深化扫黑除恶专项斗争和人民调解，落实安全生产责任制，加强对企业、老旧小区、餐馆等重点区域消防、食品安全督查整治。加强应急救援处置能力建设,提高防灾减灾救灾能力。</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5</w:t>
      </w:r>
      <w:r>
        <w:rPr>
          <w:rFonts w:hint="default" w:ascii="Times New Roman" w:hAnsi="Times New Roman" w:eastAsia="仿宋_GB2312" w:cs="Times New Roman"/>
          <w:kern w:val="2"/>
          <w:sz w:val="32"/>
          <w:szCs w:val="32"/>
          <w:lang w:val="en-US" w:eastAsia="zh-CN" w:bidi="ar-SA"/>
        </w:rPr>
        <w:t>、提升城市管理水平</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持续开展综合执法，巩固做好文明城市创建工作，重点抓违规占道经营，规范乱停乱放，加大市容环境清理力度，改善背街小巷、卫生死角脏、乱、差等顽固问题。</w:t>
      </w:r>
    </w:p>
    <w:p>
      <w:pPr>
        <w:keepNext w:val="0"/>
        <w:keepLines w:val="0"/>
        <w:pageBreakBefore w:val="0"/>
        <w:widowControl w:val="0"/>
        <w:kinsoku/>
        <w:wordWrap/>
        <w:overflowPunct/>
        <w:topLinePunct w:val="0"/>
        <w:autoSpaceDE/>
        <w:autoSpaceDN/>
        <w:bidi w:val="0"/>
        <w:adjustRightInd/>
        <w:snapToGrid/>
        <w:spacing w:before="10" w:after="10" w:line="584" w:lineRule="exact"/>
        <w:ind w:firstLine="560"/>
        <w:jc w:val="left"/>
        <w:textAlignment w:val="auto"/>
        <w:outlineLvl w:val="1"/>
        <w:rPr>
          <w:rFonts w:hint="eastAsia" w:ascii="楷体_GB2312" w:hAnsi="楷体_GB2312" w:eastAsia="楷体_GB2312" w:cs="楷体_GB2312"/>
          <w:b/>
          <w:bCs/>
          <w:color w:val="000000"/>
          <w:sz w:val="32"/>
          <w:szCs w:val="32"/>
        </w:rPr>
      </w:pPr>
      <w:bookmarkStart w:id="2" w:name="_Toc_2_2_0000000003"/>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lang w:val="en-US" w:eastAsia="zh-CN"/>
        </w:rPr>
        <w:t>三</w:t>
      </w:r>
      <w:r>
        <w:rPr>
          <w:rFonts w:hint="eastAsia" w:ascii="楷体_GB2312" w:hAnsi="楷体_GB2312" w:eastAsia="楷体_GB2312" w:cs="楷体_GB2312"/>
          <w:b/>
          <w:bCs/>
          <w:color w:val="000000"/>
          <w:sz w:val="32"/>
          <w:szCs w:val="32"/>
          <w:lang w:eastAsia="zh-CN"/>
        </w:rPr>
        <w:t>）</w:t>
      </w:r>
      <w:r>
        <w:rPr>
          <w:rFonts w:hint="eastAsia" w:ascii="楷体_GB2312" w:hAnsi="楷体_GB2312" w:eastAsia="楷体_GB2312" w:cs="楷体_GB2312"/>
          <w:b/>
          <w:bCs/>
          <w:color w:val="000000"/>
          <w:sz w:val="32"/>
          <w:szCs w:val="32"/>
        </w:rPr>
        <w:t>工作保障措施</w:t>
      </w:r>
      <w:bookmarkEnd w:id="2"/>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kern w:val="2"/>
          <w:sz w:val="32"/>
          <w:szCs w:val="32"/>
          <w:lang w:val="en-US" w:eastAsia="zh-CN" w:bidi="ar-SA"/>
        </w:rPr>
        <w:t xml:space="preserve"> 基层党建促提质。一是在强化服务意识上下功夫。培养树立街道干部群众第一的理念，以求真务实的精神深入群众之中，体察民情、了解民意，为群众诚心诚意办实事、尽心尽力解难事、坚持不懈做好事。二是在提升综合素质上下功夫。加强街居干部理论知识、前沿科技知识和先进经验的学习，研究新政策，吃透新情况，不断提升自身素质。坚持“学中干，干中学”，深入社区、深入居民，在基层实践中锻炼提高。三是在提升工作效能上下功夫。继续建立健全各项规章制度，加强机关作风建设，充分发挥纪检部门的监督作用，不断增强街居干部的纪律意识、责任意识和大局意识，坚决杜绝纪律</w:t>
      </w:r>
      <w:r>
        <w:rPr>
          <w:rFonts w:hint="eastAsia" w:eastAsia="仿宋_GB2312" w:cs="Times New Roman"/>
          <w:kern w:val="2"/>
          <w:sz w:val="32"/>
          <w:szCs w:val="32"/>
          <w:lang w:val="en-US" w:eastAsia="zh-CN" w:bidi="ar-SA"/>
        </w:rPr>
        <w:t>松弛</w:t>
      </w:r>
      <w:r>
        <w:rPr>
          <w:rFonts w:hint="default" w:ascii="Times New Roman" w:hAnsi="Times New Roman" w:eastAsia="仿宋_GB2312" w:cs="Times New Roman"/>
          <w:kern w:val="2"/>
          <w:sz w:val="32"/>
          <w:szCs w:val="32"/>
          <w:lang w:val="en-US" w:eastAsia="zh-CN" w:bidi="ar-SA"/>
        </w:rPr>
        <w:t>、工作拖延、自由散漫等消极怠工现象，努力提高工作效率。四是在创新服务载体上下功夫。积极推广在职党员进社区、结对帮扶等做法，运用多种形式和手段开展服务；广泛开展以党员为骨干的各类志愿服务；充分调动广大群众自我管理、自我服务的积极性，构建以党组织为核心、全社会共同参与的服务格局。</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 xml:space="preserve"> 项目引建求突破。不断优化招商结构和投资环境，注重引进规模大、质量好的项目，特别是高端现代服务业项目，高科技、高附加值、高税收项目。加大重点项目的推进力度，找准联建户突破口，形成多部门执法合力，实现对土地和资源的有效利用，加快辖区土地的全面盘活，培育辖区经济增长点。</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kern w:val="2"/>
          <w:sz w:val="32"/>
          <w:szCs w:val="32"/>
          <w:lang w:val="en-US" w:eastAsia="zh-CN" w:bidi="ar-SA"/>
        </w:rPr>
        <w:t xml:space="preserve"> 社区创建增亮点。一是深化社区服务功能。紧紧围绕志愿者服务开展工作，进一步创新服务形式，以“特色专业志愿服务团队”建设为侧重点，细化服务方向，提高服务质量，不断开创新开路街道惠民利民新品牌。二是创新社区管理机制体制。鼓励辖区各类组织、单位和个人共驻共建，力争建立起覆盖社区全体成员、服务主体多元、服务功能完善、服务质量和管理模式都达到领先水平的社区服务体系。三是挖掘特色精品社区创建内涵。将17个社区划分为“三个三分之一”，其中三分之一老旧社区加强社区建设，摸索建立社区特色；三分之一已有特色社区加大挖掘力度，出亮点，立标杆；三分之一重点社区强化街道扶持，树品牌，建口碑，争取取得各社区特色各异，百花齐放的良好效果。</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kern w:val="2"/>
          <w:sz w:val="32"/>
          <w:szCs w:val="32"/>
          <w:lang w:val="en-US" w:eastAsia="zh-CN" w:bidi="ar-SA"/>
        </w:rPr>
        <w:t xml:space="preserve"> 和谐共建保稳定。一是强化维稳意识。在原有上访点有效地化解的基础上，将防复发、防新发的任务作为重点，时刻紧绷维护稳定这根弦，将问题想在困难处，想在发生前，将隐患消除在萌芽状态。二是强化安全意识。进一步推动落实企业主体责任，强化重点领域专项整治，健全隐患排查长效管理机制，强化安全生产培训教育，加强和有关部门的协调配合，从源头打击控制非法、违法行为，创造良好平稳的安全生产环境。三是强化大气污染防治。细化大气污染防治网格化管理，明确责任，工作有的放矢。并加强督导，强化机制。同时不断加大宣传教育力度，营造干群齐心协力防治大气污染、改善生态环境的浓厚氛围。</w:t>
      </w: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 w:type="dxa"/>
          <w:bottom w:w="0" w:type="dxa"/>
          <w:right w:w="11" w:type="dxa"/>
        </w:tblCellMar>
      </w:tblPr>
      <w:tblGrid>
        <w:gridCol w:w="548"/>
        <w:gridCol w:w="914"/>
        <w:gridCol w:w="2542"/>
        <w:gridCol w:w="1972"/>
        <w:gridCol w:w="2962"/>
        <w:gridCol w:w="1068"/>
        <w:gridCol w:w="512"/>
        <w:gridCol w:w="912"/>
        <w:gridCol w:w="2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196"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327"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909"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705"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059"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891" w:type="pct"/>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909"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196" w:type="pct"/>
            <w:vMerge w:val="continue"/>
            <w:tcBorders>
              <w:tl2br w:val="nil"/>
              <w:tr2bl w:val="nil"/>
            </w:tcBorders>
            <w:vAlign w:val="center"/>
          </w:tcPr>
          <w:p/>
        </w:tc>
        <w:tc>
          <w:tcPr>
            <w:tcW w:w="327" w:type="pct"/>
            <w:vMerge w:val="continue"/>
            <w:tcBorders>
              <w:tl2br w:val="nil"/>
              <w:tr2bl w:val="nil"/>
            </w:tcBorders>
            <w:vAlign w:val="center"/>
          </w:tcPr>
          <w:p/>
        </w:tc>
        <w:tc>
          <w:tcPr>
            <w:tcW w:w="909" w:type="pct"/>
            <w:vMerge w:val="continue"/>
            <w:tcBorders>
              <w:tl2br w:val="nil"/>
              <w:tr2bl w:val="nil"/>
            </w:tcBorders>
            <w:vAlign w:val="center"/>
          </w:tcPr>
          <w:p/>
        </w:tc>
        <w:tc>
          <w:tcPr>
            <w:tcW w:w="705" w:type="pct"/>
            <w:vMerge w:val="continue"/>
            <w:tcBorders>
              <w:tl2br w:val="nil"/>
              <w:tr2bl w:val="nil"/>
            </w:tcBorders>
            <w:vAlign w:val="center"/>
          </w:tcPr>
          <w:p/>
        </w:tc>
        <w:tc>
          <w:tcPr>
            <w:tcW w:w="1059" w:type="pct"/>
            <w:vMerge w:val="continue"/>
            <w:tcBorders>
              <w:tl2br w:val="nil"/>
              <w:tr2bl w:val="nil"/>
            </w:tcBorders>
            <w:vAlign w:val="center"/>
          </w:tcPr>
          <w:p/>
        </w:tc>
        <w:tc>
          <w:tcPr>
            <w:tcW w:w="382"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183"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326"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909" w:type="pct"/>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96" w:type="pct"/>
            <w:vMerge w:val="restar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部门产出</w:t>
            </w:r>
          </w:p>
        </w:tc>
        <w:tc>
          <w:tcPr>
            <w:tcW w:w="327"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数量</w:t>
            </w:r>
          </w:p>
        </w:tc>
        <w:tc>
          <w:tcPr>
            <w:tcW w:w="90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考核人数</w:t>
            </w:r>
          </w:p>
          <w:p>
            <w:pPr>
              <w:widowControl/>
              <w:adjustRightInd w:val="0"/>
              <w:snapToGrid w:val="0"/>
              <w:rPr>
                <w:rFonts w:hint="eastAsia" w:ascii="仿宋_GB2312" w:hAnsi="仿宋_GB2312" w:eastAsia="仿宋_GB2312" w:cs="仿宋_GB2312"/>
              </w:rPr>
            </w:pPr>
          </w:p>
        </w:tc>
        <w:tc>
          <w:tcPr>
            <w:tcW w:w="705"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按考核结果</w:t>
            </w:r>
          </w:p>
          <w:p>
            <w:pPr>
              <w:widowControl/>
              <w:adjustRightInd w:val="0"/>
              <w:snapToGrid w:val="0"/>
              <w:rPr>
                <w:rFonts w:hint="eastAsia" w:ascii="仿宋_GB2312" w:hAnsi="仿宋_GB2312" w:eastAsia="仿宋_GB2312" w:cs="仿宋_GB2312"/>
              </w:rPr>
            </w:pPr>
          </w:p>
        </w:tc>
        <w:tc>
          <w:tcPr>
            <w:tcW w:w="105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按计划应参加年终考核人数</w:t>
            </w:r>
          </w:p>
          <w:p>
            <w:pPr>
              <w:widowControl/>
              <w:adjustRightInd w:val="0"/>
              <w:snapToGrid w:val="0"/>
              <w:rPr>
                <w:rFonts w:hint="eastAsia" w:ascii="仿宋_GB2312" w:hAnsi="仿宋_GB2312" w:eastAsia="仿宋_GB2312" w:cs="仿宋_GB2312"/>
              </w:rPr>
            </w:pPr>
          </w:p>
        </w:tc>
        <w:tc>
          <w:tcPr>
            <w:tcW w:w="382"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p>
            <w:pPr>
              <w:widowControl/>
              <w:adjustRightInd w:val="0"/>
              <w:snapToGrid w:val="0"/>
              <w:rPr>
                <w:rFonts w:hint="eastAsia" w:ascii="仿宋_GB2312" w:hAnsi="仿宋_GB2312" w:eastAsia="仿宋_GB2312" w:cs="仿宋_GB2312"/>
              </w:rPr>
            </w:pPr>
          </w:p>
        </w:tc>
        <w:tc>
          <w:tcPr>
            <w:tcW w:w="183"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95</w:t>
            </w:r>
          </w:p>
          <w:p>
            <w:pPr>
              <w:widowControl/>
              <w:adjustRightInd w:val="0"/>
              <w:snapToGrid w:val="0"/>
              <w:rPr>
                <w:rFonts w:hint="eastAsia" w:ascii="仿宋_GB2312" w:hAnsi="仿宋_GB2312" w:eastAsia="仿宋_GB2312" w:cs="仿宋_GB2312"/>
              </w:rPr>
            </w:pPr>
          </w:p>
        </w:tc>
        <w:tc>
          <w:tcPr>
            <w:tcW w:w="326" w:type="pct"/>
            <w:tcBorders>
              <w:tl2br w:val="nil"/>
              <w:tr2bl w:val="nil"/>
            </w:tcBorders>
            <w:vAlign w:val="center"/>
          </w:tcPr>
          <w:p>
            <w:pPr>
              <w:widowControl/>
              <w:adjustRightInd w:val="0"/>
              <w:snapToGrid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90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考核合格率</w:t>
            </w:r>
          </w:p>
          <w:p>
            <w:pPr>
              <w:widowControl/>
              <w:adjustRightInd w:val="0"/>
              <w:snapToGrid w:val="0"/>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96" w:type="pct"/>
            <w:vMerge w:val="continue"/>
            <w:tcBorders>
              <w:tl2br w:val="nil"/>
              <w:tr2bl w:val="nil"/>
            </w:tcBorders>
            <w:vAlign w:val="center"/>
          </w:tcPr>
          <w:p/>
        </w:tc>
        <w:tc>
          <w:tcPr>
            <w:tcW w:w="327"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质量</w:t>
            </w:r>
          </w:p>
        </w:tc>
        <w:tc>
          <w:tcPr>
            <w:tcW w:w="90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到位率</w:t>
            </w:r>
          </w:p>
          <w:p>
            <w:pPr>
              <w:widowControl/>
              <w:adjustRightInd w:val="0"/>
              <w:snapToGrid w:val="0"/>
              <w:rPr>
                <w:rFonts w:hint="eastAsia" w:ascii="仿宋_GB2312" w:hAnsi="仿宋_GB2312" w:eastAsia="仿宋_GB2312" w:cs="仿宋_GB2312"/>
              </w:rPr>
            </w:pPr>
          </w:p>
        </w:tc>
        <w:tc>
          <w:tcPr>
            <w:tcW w:w="705"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按资金使用/发放情况</w:t>
            </w:r>
          </w:p>
          <w:p>
            <w:pPr>
              <w:widowControl/>
              <w:adjustRightInd w:val="0"/>
              <w:snapToGrid w:val="0"/>
              <w:rPr>
                <w:rFonts w:hint="eastAsia" w:ascii="仿宋_GB2312" w:hAnsi="仿宋_GB2312" w:eastAsia="仿宋_GB2312" w:cs="仿宋_GB2312"/>
              </w:rPr>
            </w:pPr>
          </w:p>
        </w:tc>
        <w:tc>
          <w:tcPr>
            <w:tcW w:w="105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社会保险补贴资金实际发放资金/应发放资金总额</w:t>
            </w:r>
          </w:p>
          <w:p>
            <w:pPr>
              <w:widowControl/>
              <w:adjustRightInd w:val="0"/>
              <w:snapToGrid w:val="0"/>
              <w:rPr>
                <w:rFonts w:hint="eastAsia" w:ascii="仿宋_GB2312" w:hAnsi="仿宋_GB2312" w:eastAsia="仿宋_GB2312" w:cs="仿宋_GB2312"/>
              </w:rPr>
            </w:pPr>
          </w:p>
        </w:tc>
        <w:tc>
          <w:tcPr>
            <w:tcW w:w="382"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p>
            <w:pPr>
              <w:widowControl/>
              <w:adjustRightInd w:val="0"/>
              <w:snapToGrid w:val="0"/>
              <w:rPr>
                <w:rFonts w:hint="eastAsia" w:ascii="仿宋_GB2312" w:hAnsi="仿宋_GB2312" w:eastAsia="仿宋_GB2312" w:cs="仿宋_GB2312"/>
                <w:lang w:val="en-US" w:eastAsia="zh-CN"/>
              </w:rPr>
            </w:pPr>
          </w:p>
        </w:tc>
        <w:tc>
          <w:tcPr>
            <w:tcW w:w="183"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95</w:t>
            </w:r>
          </w:p>
          <w:p>
            <w:pPr>
              <w:widowControl/>
              <w:adjustRightInd w:val="0"/>
              <w:snapToGrid w:val="0"/>
              <w:rPr>
                <w:rFonts w:hint="eastAsia" w:ascii="仿宋_GB2312" w:hAnsi="仿宋_GB2312" w:eastAsia="仿宋_GB2312" w:cs="仿宋_GB2312"/>
                <w:lang w:val="en-US" w:eastAsia="zh-CN"/>
              </w:rPr>
            </w:pPr>
          </w:p>
        </w:tc>
        <w:tc>
          <w:tcPr>
            <w:tcW w:w="326" w:type="pct"/>
            <w:tcBorders>
              <w:tl2br w:val="nil"/>
              <w:tr2bl w:val="nil"/>
            </w:tcBorders>
            <w:vAlign w:val="center"/>
          </w:tcPr>
          <w:p>
            <w:pPr>
              <w:widowControl/>
              <w:adjustRightInd w:val="0"/>
              <w:snapToGrid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90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资产发放情况</w:t>
            </w:r>
          </w:p>
          <w:p>
            <w:pPr>
              <w:widowControl/>
              <w:adjustRightInd w:val="0"/>
              <w:snapToGrid w:val="0"/>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96" w:type="pct"/>
            <w:vMerge w:val="continue"/>
            <w:tcBorders>
              <w:tl2br w:val="nil"/>
              <w:tr2bl w:val="nil"/>
            </w:tcBorders>
            <w:vAlign w:val="center"/>
          </w:tcPr>
          <w:p/>
        </w:tc>
        <w:tc>
          <w:tcPr>
            <w:tcW w:w="327"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时效</w:t>
            </w:r>
          </w:p>
        </w:tc>
        <w:tc>
          <w:tcPr>
            <w:tcW w:w="90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补贴按时发放</w:t>
            </w:r>
          </w:p>
          <w:p>
            <w:pPr>
              <w:widowControl/>
              <w:adjustRightInd w:val="0"/>
              <w:snapToGrid w:val="0"/>
              <w:rPr>
                <w:rFonts w:hint="eastAsia" w:ascii="仿宋_GB2312" w:hAnsi="仿宋_GB2312" w:eastAsia="仿宋_GB2312" w:cs="仿宋_GB2312"/>
              </w:rPr>
            </w:pPr>
          </w:p>
        </w:tc>
        <w:tc>
          <w:tcPr>
            <w:tcW w:w="705"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补贴按时发放</w:t>
            </w:r>
          </w:p>
          <w:p>
            <w:pPr>
              <w:widowControl/>
              <w:adjustRightInd w:val="0"/>
              <w:snapToGrid w:val="0"/>
              <w:rPr>
                <w:rFonts w:hint="eastAsia" w:ascii="仿宋_GB2312" w:hAnsi="仿宋_GB2312" w:eastAsia="仿宋_GB2312" w:cs="仿宋_GB2312"/>
              </w:rPr>
            </w:pPr>
          </w:p>
        </w:tc>
        <w:tc>
          <w:tcPr>
            <w:tcW w:w="105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社会保险补贴资金按要求实施进度支付</w:t>
            </w:r>
          </w:p>
          <w:p>
            <w:pPr>
              <w:widowControl/>
              <w:adjustRightInd w:val="0"/>
              <w:snapToGrid w:val="0"/>
              <w:rPr>
                <w:rFonts w:hint="eastAsia" w:ascii="仿宋_GB2312" w:hAnsi="仿宋_GB2312" w:eastAsia="仿宋_GB2312" w:cs="仿宋_GB2312"/>
              </w:rPr>
            </w:pPr>
          </w:p>
        </w:tc>
        <w:tc>
          <w:tcPr>
            <w:tcW w:w="382"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文字描述</w:t>
            </w:r>
          </w:p>
          <w:p>
            <w:pPr>
              <w:widowControl/>
              <w:adjustRightInd w:val="0"/>
              <w:snapToGrid w:val="0"/>
              <w:rPr>
                <w:rFonts w:hint="eastAsia" w:ascii="仿宋_GB2312" w:hAnsi="仿宋_GB2312" w:eastAsia="仿宋_GB2312" w:cs="仿宋_GB2312"/>
              </w:rPr>
            </w:pPr>
          </w:p>
        </w:tc>
        <w:tc>
          <w:tcPr>
            <w:tcW w:w="183" w:type="pct"/>
            <w:tcBorders>
              <w:tl2br w:val="nil"/>
              <w:tr2bl w:val="nil"/>
            </w:tcBorders>
            <w:vAlign w:val="center"/>
          </w:tcPr>
          <w:p>
            <w:pPr>
              <w:widowControl/>
              <w:adjustRightInd w:val="0"/>
              <w:snapToGrid w:val="0"/>
              <w:rPr>
                <w:rFonts w:hint="eastAsia" w:ascii="仿宋_GB2312" w:hAnsi="仿宋_GB2312" w:eastAsia="仿宋_GB2312" w:cs="仿宋_GB2312"/>
              </w:rPr>
            </w:pPr>
          </w:p>
        </w:tc>
        <w:tc>
          <w:tcPr>
            <w:tcW w:w="326"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按时发放</w:t>
            </w:r>
          </w:p>
          <w:p>
            <w:pPr>
              <w:widowControl/>
              <w:adjustRightInd w:val="0"/>
              <w:snapToGrid w:val="0"/>
              <w:rPr>
                <w:rFonts w:hint="eastAsia" w:ascii="仿宋_GB2312" w:hAnsi="仿宋_GB2312" w:eastAsia="仿宋_GB2312" w:cs="仿宋_GB2312"/>
              </w:rPr>
            </w:pPr>
          </w:p>
        </w:tc>
        <w:tc>
          <w:tcPr>
            <w:tcW w:w="90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补贴按时发放</w:t>
            </w:r>
          </w:p>
          <w:p>
            <w:pPr>
              <w:widowControl/>
              <w:adjustRightInd w:val="0"/>
              <w:snapToGrid w:val="0"/>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96" w:type="pct"/>
            <w:vMerge w:val="continue"/>
            <w:tcBorders>
              <w:tl2br w:val="nil"/>
              <w:tr2bl w:val="nil"/>
            </w:tcBorders>
            <w:vAlign w:val="center"/>
          </w:tcPr>
          <w:p/>
        </w:tc>
        <w:tc>
          <w:tcPr>
            <w:tcW w:w="327"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成本</w:t>
            </w:r>
          </w:p>
        </w:tc>
        <w:tc>
          <w:tcPr>
            <w:tcW w:w="90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资金成本</w:t>
            </w:r>
          </w:p>
          <w:p>
            <w:pPr>
              <w:widowControl/>
              <w:adjustRightInd w:val="0"/>
              <w:snapToGrid w:val="0"/>
              <w:rPr>
                <w:rFonts w:hint="eastAsia" w:ascii="仿宋_GB2312" w:hAnsi="仿宋_GB2312" w:eastAsia="仿宋_GB2312" w:cs="仿宋_GB2312"/>
              </w:rPr>
            </w:pPr>
          </w:p>
        </w:tc>
        <w:tc>
          <w:tcPr>
            <w:tcW w:w="705"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成本控制情况</w:t>
            </w:r>
          </w:p>
          <w:p>
            <w:pPr>
              <w:widowControl/>
              <w:adjustRightInd w:val="0"/>
              <w:snapToGrid w:val="0"/>
              <w:rPr>
                <w:rFonts w:hint="eastAsia" w:ascii="仿宋_GB2312" w:hAnsi="仿宋_GB2312" w:eastAsia="仿宋_GB2312" w:cs="仿宋_GB2312"/>
              </w:rPr>
            </w:pPr>
          </w:p>
        </w:tc>
        <w:tc>
          <w:tcPr>
            <w:tcW w:w="105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资金成本</w:t>
            </w:r>
          </w:p>
          <w:p>
            <w:pPr>
              <w:widowControl/>
              <w:adjustRightInd w:val="0"/>
              <w:snapToGrid w:val="0"/>
              <w:rPr>
                <w:rFonts w:hint="eastAsia" w:ascii="仿宋_GB2312" w:hAnsi="仿宋_GB2312" w:eastAsia="仿宋_GB2312" w:cs="仿宋_GB2312"/>
              </w:rPr>
            </w:pPr>
          </w:p>
        </w:tc>
        <w:tc>
          <w:tcPr>
            <w:tcW w:w="382"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文字描述</w:t>
            </w:r>
          </w:p>
          <w:p>
            <w:pPr>
              <w:widowControl/>
              <w:adjustRightInd w:val="0"/>
              <w:snapToGrid w:val="0"/>
              <w:rPr>
                <w:rFonts w:hint="eastAsia" w:ascii="仿宋_GB2312" w:hAnsi="仿宋_GB2312" w:eastAsia="仿宋_GB2312" w:cs="仿宋_GB2312"/>
              </w:rPr>
            </w:pPr>
          </w:p>
        </w:tc>
        <w:tc>
          <w:tcPr>
            <w:tcW w:w="183" w:type="pct"/>
            <w:tcBorders>
              <w:tl2br w:val="nil"/>
              <w:tr2bl w:val="nil"/>
            </w:tcBorders>
            <w:vAlign w:val="center"/>
          </w:tcPr>
          <w:p>
            <w:pPr>
              <w:widowControl/>
              <w:adjustRightInd w:val="0"/>
              <w:snapToGrid w:val="0"/>
              <w:rPr>
                <w:rFonts w:hint="eastAsia" w:ascii="仿宋_GB2312" w:hAnsi="仿宋_GB2312" w:eastAsia="仿宋_GB2312" w:cs="仿宋_GB2312"/>
              </w:rPr>
            </w:pPr>
          </w:p>
        </w:tc>
        <w:tc>
          <w:tcPr>
            <w:tcW w:w="326"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历史成本</w:t>
            </w:r>
          </w:p>
          <w:p>
            <w:pPr>
              <w:widowControl/>
              <w:adjustRightInd w:val="0"/>
              <w:snapToGrid w:val="0"/>
              <w:rPr>
                <w:rFonts w:hint="eastAsia" w:ascii="仿宋_GB2312" w:hAnsi="仿宋_GB2312" w:eastAsia="仿宋_GB2312" w:cs="仿宋_GB2312"/>
              </w:rPr>
            </w:pPr>
          </w:p>
        </w:tc>
        <w:tc>
          <w:tcPr>
            <w:tcW w:w="90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历史成本</w:t>
            </w:r>
          </w:p>
          <w:p>
            <w:pPr>
              <w:widowControl/>
              <w:adjustRightInd w:val="0"/>
              <w:snapToGrid w:val="0"/>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96" w:type="pct"/>
            <w:vMerge w:val="restar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部门效果</w:t>
            </w:r>
          </w:p>
        </w:tc>
        <w:tc>
          <w:tcPr>
            <w:tcW w:w="327"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社会</w:t>
            </w:r>
          </w:p>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效益</w:t>
            </w:r>
          </w:p>
        </w:tc>
        <w:tc>
          <w:tcPr>
            <w:tcW w:w="90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抓工作实效，创新突破</w:t>
            </w:r>
          </w:p>
          <w:p>
            <w:pPr>
              <w:widowControl/>
              <w:adjustRightInd w:val="0"/>
              <w:snapToGrid w:val="0"/>
              <w:rPr>
                <w:rFonts w:hint="eastAsia" w:ascii="仿宋_GB2312" w:hAnsi="仿宋_GB2312" w:eastAsia="仿宋_GB2312" w:cs="仿宋_GB2312"/>
              </w:rPr>
            </w:pPr>
          </w:p>
        </w:tc>
        <w:tc>
          <w:tcPr>
            <w:tcW w:w="705"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文字描述</w:t>
            </w:r>
          </w:p>
          <w:p>
            <w:pPr>
              <w:widowControl/>
              <w:adjustRightInd w:val="0"/>
              <w:snapToGrid w:val="0"/>
              <w:rPr>
                <w:rFonts w:hint="eastAsia" w:ascii="仿宋_GB2312" w:hAnsi="仿宋_GB2312" w:eastAsia="仿宋_GB2312" w:cs="仿宋_GB2312"/>
              </w:rPr>
            </w:pPr>
          </w:p>
        </w:tc>
        <w:tc>
          <w:tcPr>
            <w:tcW w:w="105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历史水平</w:t>
            </w:r>
          </w:p>
          <w:p>
            <w:pPr>
              <w:widowControl/>
              <w:adjustRightInd w:val="0"/>
              <w:snapToGrid w:val="0"/>
              <w:rPr>
                <w:rFonts w:hint="eastAsia" w:ascii="仿宋_GB2312" w:hAnsi="仿宋_GB2312" w:eastAsia="仿宋_GB2312" w:cs="仿宋_GB2312"/>
              </w:rPr>
            </w:pPr>
          </w:p>
        </w:tc>
        <w:tc>
          <w:tcPr>
            <w:tcW w:w="382"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文字描述</w:t>
            </w:r>
          </w:p>
          <w:p>
            <w:pPr>
              <w:widowControl/>
              <w:adjustRightInd w:val="0"/>
              <w:snapToGrid w:val="0"/>
              <w:rPr>
                <w:rFonts w:hint="eastAsia" w:ascii="仿宋_GB2312" w:hAnsi="仿宋_GB2312" w:eastAsia="仿宋_GB2312" w:cs="仿宋_GB2312"/>
              </w:rPr>
            </w:pPr>
          </w:p>
        </w:tc>
        <w:tc>
          <w:tcPr>
            <w:tcW w:w="183" w:type="pct"/>
            <w:tcBorders>
              <w:tl2br w:val="nil"/>
              <w:tr2bl w:val="nil"/>
            </w:tcBorders>
            <w:vAlign w:val="center"/>
          </w:tcPr>
          <w:p>
            <w:pPr>
              <w:widowControl/>
              <w:adjustRightInd w:val="0"/>
              <w:snapToGrid w:val="0"/>
              <w:rPr>
                <w:rFonts w:hint="eastAsia" w:ascii="仿宋_GB2312" w:hAnsi="仿宋_GB2312" w:eastAsia="仿宋_GB2312" w:cs="仿宋_GB2312"/>
              </w:rPr>
            </w:pPr>
          </w:p>
        </w:tc>
        <w:tc>
          <w:tcPr>
            <w:tcW w:w="326"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街区干部思想政治稳步提升</w:t>
            </w:r>
          </w:p>
          <w:p>
            <w:pPr>
              <w:widowControl/>
              <w:adjustRightInd w:val="0"/>
              <w:snapToGrid w:val="0"/>
              <w:rPr>
                <w:rFonts w:hint="eastAsia" w:ascii="仿宋_GB2312" w:hAnsi="仿宋_GB2312" w:eastAsia="仿宋_GB2312" w:cs="仿宋_GB2312"/>
              </w:rPr>
            </w:pPr>
          </w:p>
        </w:tc>
        <w:tc>
          <w:tcPr>
            <w:tcW w:w="90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街区干部思想政治稳步提升</w:t>
            </w:r>
          </w:p>
          <w:p>
            <w:pPr>
              <w:widowControl/>
              <w:adjustRightInd w:val="0"/>
              <w:snapToGrid w:val="0"/>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96" w:type="pct"/>
            <w:vMerge w:val="continue"/>
            <w:tcBorders>
              <w:tl2br w:val="nil"/>
              <w:tr2bl w:val="nil"/>
            </w:tcBorders>
            <w:vAlign w:val="center"/>
          </w:tcPr>
          <w:p>
            <w:pPr>
              <w:widowControl/>
              <w:adjustRightInd w:val="0"/>
              <w:snapToGrid w:val="0"/>
              <w:rPr>
                <w:rFonts w:hint="eastAsia" w:ascii="仿宋_GB2312" w:hAnsi="仿宋_GB2312" w:eastAsia="仿宋_GB2312" w:cs="仿宋_GB2312"/>
              </w:rPr>
            </w:pPr>
          </w:p>
        </w:tc>
        <w:tc>
          <w:tcPr>
            <w:tcW w:w="327"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满意度</w:t>
            </w:r>
          </w:p>
        </w:tc>
        <w:tc>
          <w:tcPr>
            <w:tcW w:w="909"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工作人员对办公条件满意度</w:t>
            </w:r>
          </w:p>
          <w:p>
            <w:pPr>
              <w:widowControl/>
              <w:adjustRightInd w:val="0"/>
              <w:snapToGrid w:val="0"/>
              <w:rPr>
                <w:rFonts w:hint="eastAsia" w:ascii="仿宋_GB2312" w:hAnsi="仿宋_GB2312" w:eastAsia="仿宋_GB2312" w:cs="仿宋_GB2312"/>
              </w:rPr>
            </w:pPr>
          </w:p>
        </w:tc>
        <w:tc>
          <w:tcPr>
            <w:tcW w:w="705"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问卷调查</w:t>
            </w:r>
          </w:p>
          <w:p>
            <w:pPr>
              <w:widowControl/>
              <w:adjustRightInd w:val="0"/>
              <w:snapToGrid w:val="0"/>
              <w:rPr>
                <w:rFonts w:hint="eastAsia" w:ascii="仿宋_GB2312" w:hAnsi="仿宋_GB2312" w:eastAsia="仿宋_GB2312" w:cs="仿宋_GB2312"/>
              </w:rPr>
            </w:pPr>
          </w:p>
        </w:tc>
        <w:tc>
          <w:tcPr>
            <w:tcW w:w="1059"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机关工作人员对办公条件满意度</w:t>
            </w:r>
          </w:p>
          <w:p>
            <w:pPr>
              <w:widowControl/>
              <w:adjustRightInd w:val="0"/>
              <w:snapToGrid w:val="0"/>
              <w:rPr>
                <w:rFonts w:hint="eastAsia" w:ascii="仿宋_GB2312" w:hAnsi="仿宋_GB2312" w:eastAsia="仿宋_GB2312" w:cs="仿宋_GB2312"/>
              </w:rPr>
            </w:pPr>
          </w:p>
        </w:tc>
        <w:tc>
          <w:tcPr>
            <w:tcW w:w="382"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p>
            <w:pPr>
              <w:widowControl/>
              <w:adjustRightInd w:val="0"/>
              <w:snapToGrid w:val="0"/>
              <w:rPr>
                <w:rFonts w:hint="eastAsia" w:ascii="仿宋_GB2312" w:hAnsi="仿宋_GB2312" w:eastAsia="仿宋_GB2312" w:cs="仿宋_GB2312"/>
              </w:rPr>
            </w:pPr>
          </w:p>
        </w:tc>
        <w:tc>
          <w:tcPr>
            <w:tcW w:w="183" w:type="pct"/>
            <w:tcBorders>
              <w:tl2br w:val="nil"/>
              <w:tr2bl w:val="nil"/>
            </w:tcBorders>
            <w:vAlign w:val="center"/>
          </w:tcPr>
          <w:p>
            <w:pPr>
              <w:widowControl/>
              <w:adjustRightInd w:val="0"/>
              <w:snapToGrid w:val="0"/>
              <w:rPr>
                <w:rFonts w:hint="eastAsia" w:ascii="仿宋_GB2312" w:hAnsi="仿宋_GB2312" w:eastAsia="仿宋_GB2312" w:cs="仿宋_GB2312"/>
                <w:lang w:eastAsia="zh-CN"/>
              </w:rPr>
            </w:pPr>
            <w:r>
              <w:rPr>
                <w:rFonts w:hint="eastAsia" w:ascii="仿宋_GB2312" w:hAnsi="仿宋_GB2312" w:eastAsia="仿宋_GB2312" w:cs="仿宋_GB2312"/>
              </w:rPr>
              <w:t>9</w:t>
            </w:r>
            <w:r>
              <w:rPr>
                <w:rFonts w:hint="eastAsia" w:ascii="仿宋_GB2312" w:hAnsi="仿宋_GB2312" w:eastAsia="仿宋_GB2312" w:cs="仿宋_GB2312"/>
                <w:lang w:val="en-US" w:eastAsia="zh-CN"/>
              </w:rPr>
              <w:t>0</w:t>
            </w:r>
          </w:p>
          <w:p>
            <w:pPr>
              <w:widowControl/>
              <w:adjustRightInd w:val="0"/>
              <w:snapToGrid w:val="0"/>
              <w:rPr>
                <w:rFonts w:hint="eastAsia" w:ascii="仿宋_GB2312" w:hAnsi="仿宋_GB2312" w:eastAsia="仿宋_GB2312" w:cs="仿宋_GB2312"/>
              </w:rPr>
            </w:pPr>
          </w:p>
        </w:tc>
        <w:tc>
          <w:tcPr>
            <w:tcW w:w="326"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lang w:val="en-US" w:eastAsia="zh-CN"/>
              </w:rPr>
              <w:t>%</w:t>
            </w:r>
          </w:p>
        </w:tc>
        <w:tc>
          <w:tcPr>
            <w:tcW w:w="90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机关工作人员满意</w:t>
            </w:r>
          </w:p>
          <w:p>
            <w:pPr>
              <w:widowControl/>
              <w:adjustRightInd w:val="0"/>
              <w:snapToGrid w:val="0"/>
              <w:rPr>
                <w:rFonts w:hint="eastAsia" w:ascii="仿宋_GB2312" w:hAnsi="仿宋_GB2312" w:eastAsia="仿宋_GB2312" w:cs="仿宋_GB2312"/>
              </w:rPr>
            </w:pPr>
          </w:p>
        </w:tc>
      </w:tr>
    </w:tbl>
    <w:p>
      <w:pPr>
        <w:spacing w:line="584" w:lineRule="exact"/>
        <w:rPr>
          <w:rFonts w:ascii="仿宋_GB2312" w:eastAsia="仿宋_GB2312" w:cs="Times New Roman"/>
          <w:sz w:val="32"/>
          <w:szCs w:val="32"/>
        </w:rPr>
      </w:pPr>
    </w:p>
    <w:p>
      <w:pPr>
        <w:spacing w:line="584" w:lineRule="exact"/>
        <w:rPr>
          <w:rFonts w:ascii="仿宋_GB2312" w:eastAsia="仿宋_GB2312"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1.</w:t>
      </w:r>
      <w:r>
        <w:rPr>
          <w:rFonts w:hint="eastAsia" w:ascii="仿宋_GB2312" w:hAnsi="仿宋_GB2312" w:eastAsia="仿宋_GB2312" w:cs="仿宋_GB2312"/>
          <w:sz w:val="28"/>
          <w:lang w:val="en-US" w:eastAsia="zh-CN"/>
        </w:rPr>
        <w:t>机关事务管理费</w:t>
      </w:r>
      <w:r>
        <w:rPr>
          <w:rFonts w:hint="eastAsia" w:ascii="仿宋_GB2312" w:hAnsi="仿宋_GB2312" w:eastAsia="仿宋_GB2312" w:cs="仿宋_GB2312"/>
          <w:sz w:val="28"/>
        </w:rPr>
        <w:t>（项目名称）绩效目标表</w:t>
      </w:r>
      <w:bookmarkStart w:id="3" w:name="_Toc29799657"/>
      <w:bookmarkEnd w:id="3"/>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300" w:lineRule="exact"/>
              <w:rPr>
                <w:rFonts w:hint="eastAsia" w:ascii="仿宋_GB2312" w:hAnsi="仿宋_GB2312" w:eastAsia="仿宋_GB2312" w:cs="仿宋_GB2312"/>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保障机关数</w:t>
            </w:r>
          </w:p>
        </w:tc>
        <w:tc>
          <w:tcPr>
            <w:tcW w:w="340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保障机关数</w:t>
            </w:r>
          </w:p>
        </w:tc>
        <w:tc>
          <w:tcPr>
            <w:tcW w:w="184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≥1个</w:t>
            </w:r>
          </w:p>
        </w:tc>
        <w:tc>
          <w:tcPr>
            <w:tcW w:w="215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运转保障率</w:t>
            </w:r>
          </w:p>
        </w:tc>
        <w:tc>
          <w:tcPr>
            <w:tcW w:w="340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运转保障率</w:t>
            </w:r>
          </w:p>
        </w:tc>
        <w:tc>
          <w:tcPr>
            <w:tcW w:w="184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经费保障及时率</w:t>
            </w:r>
          </w:p>
        </w:tc>
        <w:tc>
          <w:tcPr>
            <w:tcW w:w="340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经费保障及时率</w:t>
            </w:r>
          </w:p>
        </w:tc>
        <w:tc>
          <w:tcPr>
            <w:tcW w:w="184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规定时间</w:t>
            </w:r>
          </w:p>
        </w:tc>
        <w:tc>
          <w:tcPr>
            <w:tcW w:w="215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拨付时间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资金成本</w:t>
            </w:r>
          </w:p>
        </w:tc>
        <w:tc>
          <w:tcPr>
            <w:tcW w:w="340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资金成本</w:t>
            </w:r>
          </w:p>
        </w:tc>
        <w:tc>
          <w:tcPr>
            <w:tcW w:w="184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≤60万元/年</w:t>
            </w:r>
          </w:p>
        </w:tc>
        <w:tc>
          <w:tcPr>
            <w:tcW w:w="215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19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维持机关办公正常运转</w:t>
            </w:r>
          </w:p>
        </w:tc>
        <w:tc>
          <w:tcPr>
            <w:tcW w:w="340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维持机关办公正常运转</w:t>
            </w:r>
          </w:p>
        </w:tc>
        <w:tc>
          <w:tcPr>
            <w:tcW w:w="184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维持社区办公正常运转</w:t>
            </w:r>
          </w:p>
        </w:tc>
        <w:tc>
          <w:tcPr>
            <w:tcW w:w="215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spacing w:line="300" w:lineRule="exact"/>
              <w:jc w:val="left"/>
              <w:rPr>
                <w:rFonts w:hint="eastAsia" w:ascii="仿宋_GB2312" w:hAnsi="仿宋_GB2312" w:eastAsia="仿宋_GB2312" w:cs="仿宋_GB2312"/>
              </w:rPr>
            </w:pPr>
          </w:p>
        </w:tc>
        <w:tc>
          <w:tcPr>
            <w:tcW w:w="1985" w:type="dxa"/>
            <w:shd w:val="clear" w:color="auto" w:fill="auto"/>
            <w:vAlign w:val="center"/>
          </w:tcPr>
          <w:p>
            <w:pPr>
              <w:spacing w:line="300" w:lineRule="exact"/>
              <w:jc w:val="left"/>
              <w:rPr>
                <w:rFonts w:hint="eastAsia" w:ascii="仿宋_GB2312" w:hAnsi="仿宋_GB2312" w:eastAsia="仿宋_GB2312" w:cs="仿宋_GB2312"/>
              </w:rPr>
            </w:pPr>
          </w:p>
        </w:tc>
        <w:tc>
          <w:tcPr>
            <w:tcW w:w="3402" w:type="dxa"/>
            <w:shd w:val="clear" w:color="auto" w:fill="auto"/>
            <w:vAlign w:val="center"/>
          </w:tcPr>
          <w:p>
            <w:pPr>
              <w:spacing w:line="300" w:lineRule="exact"/>
              <w:jc w:val="left"/>
              <w:rPr>
                <w:rFonts w:hint="eastAsia" w:ascii="仿宋_GB2312" w:hAnsi="仿宋_GB2312" w:eastAsia="仿宋_GB2312" w:cs="仿宋_GB2312"/>
              </w:rPr>
            </w:pPr>
          </w:p>
        </w:tc>
        <w:tc>
          <w:tcPr>
            <w:tcW w:w="1843" w:type="dxa"/>
            <w:shd w:val="clear" w:color="auto" w:fill="auto"/>
            <w:vAlign w:val="center"/>
          </w:tcPr>
          <w:p>
            <w:pPr>
              <w:spacing w:line="300" w:lineRule="exact"/>
              <w:jc w:val="left"/>
              <w:rPr>
                <w:rFonts w:hint="eastAsia" w:ascii="仿宋_GB2312" w:hAnsi="仿宋_GB2312" w:eastAsia="仿宋_GB2312" w:cs="仿宋_GB2312"/>
              </w:rPr>
            </w:pPr>
          </w:p>
        </w:tc>
        <w:tc>
          <w:tcPr>
            <w:tcW w:w="2155" w:type="dxa"/>
            <w:shd w:val="clear" w:color="auto" w:fill="auto"/>
            <w:vAlign w:val="center"/>
          </w:tcPr>
          <w:p>
            <w:pPr>
              <w:spacing w:line="300" w:lineRule="exact"/>
              <w:jc w:val="left"/>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机关人员满意度</w:t>
            </w:r>
          </w:p>
        </w:tc>
        <w:tc>
          <w:tcPr>
            <w:tcW w:w="340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机关人员满意度</w:t>
            </w:r>
          </w:p>
        </w:tc>
        <w:tc>
          <w:tcPr>
            <w:tcW w:w="184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215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问卷</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2.社区党组织服务群众专项经费[区级]（项目名称）绩效目标表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1"/>
        <w:gridCol w:w="1301"/>
        <w:gridCol w:w="1880"/>
        <w:gridCol w:w="3271"/>
        <w:gridCol w:w="2114"/>
        <w:gridCol w:w="40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91"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571" w:type="dxa"/>
            <w:gridSpan w:val="5"/>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1.进一步加强城市基层党建工作，</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rPr>
                <w:rFonts w:hint="eastAsia" w:ascii="仿宋_GB2312" w:hAnsi="仿宋_GB2312" w:eastAsia="仿宋_GB2312" w:cs="仿宋_GB2312"/>
              </w:rPr>
            </w:pPr>
            <w:r>
              <w:rPr>
                <w:rFonts w:hint="eastAsia" w:ascii="仿宋_GB2312" w:hAnsi="仿宋_GB2312" w:eastAsia="仿宋_GB2312" w:cs="仿宋_GB2312"/>
              </w:rPr>
              <w:t>2.推动街道党工委聚焦主责主业</w:t>
            </w:r>
          </w:p>
          <w:p>
            <w:pPr>
              <w:spacing w:line="300" w:lineRule="exact"/>
              <w:rPr>
                <w:rFonts w:hint="eastAsia" w:ascii="仿宋_GB2312" w:hAnsi="仿宋_GB2312" w:eastAsia="仿宋_GB2312" w:cs="仿宋_GB2312"/>
                <w:b/>
              </w:rPr>
            </w:pPr>
            <w:r>
              <w:rPr>
                <w:rFonts w:hint="eastAsia" w:ascii="仿宋_GB2312" w:hAnsi="仿宋_GB2312" w:eastAsia="仿宋_GB2312" w:cs="仿宋_GB2312"/>
              </w:rPr>
              <w:t>3.集中精力抓党建、抓治理、抓服务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91"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301"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880"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271"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2114"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400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91"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301"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880"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项目保障社区数</w:t>
            </w:r>
          </w:p>
        </w:tc>
        <w:tc>
          <w:tcPr>
            <w:tcW w:w="3271"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按要求发放办公经费金额社区数量</w:t>
            </w:r>
          </w:p>
        </w:tc>
        <w:tc>
          <w:tcPr>
            <w:tcW w:w="2114"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17个</w:t>
            </w:r>
          </w:p>
        </w:tc>
        <w:tc>
          <w:tcPr>
            <w:tcW w:w="400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根据廊坊市委办公室《印发&lt;关于深化全市城市基层党建工作的若干措施&gt;的通知》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91" w:type="dxa"/>
            <w:vMerge w:val="continue"/>
            <w:shd w:val="clear" w:color="auto" w:fill="auto"/>
            <w:vAlign w:val="center"/>
          </w:tcPr>
          <w:p>
            <w:pPr>
              <w:rPr>
                <w:rFonts w:hint="eastAsia" w:ascii="仿宋_GB2312" w:hAnsi="仿宋_GB2312" w:eastAsia="仿宋_GB2312" w:cs="仿宋_GB2312"/>
              </w:rPr>
            </w:pPr>
          </w:p>
        </w:tc>
        <w:tc>
          <w:tcPr>
            <w:tcW w:w="1301"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880"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运转保障率</w:t>
            </w:r>
          </w:p>
        </w:tc>
        <w:tc>
          <w:tcPr>
            <w:tcW w:w="3271"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按要求使用经费的社区数量占总社区数量的比率</w:t>
            </w:r>
          </w:p>
        </w:tc>
        <w:tc>
          <w:tcPr>
            <w:tcW w:w="2114"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400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根据廊坊市委办公室《印发&lt;关于深化全市城市基层党建工作的若干措施&gt;的通知》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91" w:type="dxa"/>
            <w:vMerge w:val="continue"/>
            <w:shd w:val="clear" w:color="auto" w:fill="auto"/>
            <w:vAlign w:val="center"/>
          </w:tcPr>
          <w:p>
            <w:pPr>
              <w:rPr>
                <w:rFonts w:hint="eastAsia" w:ascii="仿宋_GB2312" w:hAnsi="仿宋_GB2312" w:eastAsia="仿宋_GB2312" w:cs="仿宋_GB2312"/>
              </w:rPr>
            </w:pPr>
          </w:p>
        </w:tc>
        <w:tc>
          <w:tcPr>
            <w:tcW w:w="1301"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880"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经费保障及时率</w:t>
            </w:r>
          </w:p>
        </w:tc>
        <w:tc>
          <w:tcPr>
            <w:tcW w:w="3271"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按要求及时使用</w:t>
            </w:r>
          </w:p>
        </w:tc>
        <w:tc>
          <w:tcPr>
            <w:tcW w:w="2114"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400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根据廊坊市委办公室《印发&lt;关于深化全市城市基层党建工作的若干措施&gt;的通知》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91" w:type="dxa"/>
            <w:vMerge w:val="continue"/>
            <w:shd w:val="clear" w:color="auto" w:fill="auto"/>
            <w:vAlign w:val="center"/>
          </w:tcPr>
          <w:p>
            <w:pPr>
              <w:rPr>
                <w:rFonts w:hint="eastAsia" w:ascii="仿宋_GB2312" w:hAnsi="仿宋_GB2312" w:eastAsia="仿宋_GB2312" w:cs="仿宋_GB2312"/>
              </w:rPr>
            </w:pPr>
          </w:p>
        </w:tc>
        <w:tc>
          <w:tcPr>
            <w:tcW w:w="1301"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880"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资金成本</w:t>
            </w:r>
          </w:p>
        </w:tc>
        <w:tc>
          <w:tcPr>
            <w:tcW w:w="3271"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成本控制情况</w:t>
            </w:r>
          </w:p>
        </w:tc>
        <w:tc>
          <w:tcPr>
            <w:tcW w:w="2114"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15万元/社区/年</w:t>
            </w:r>
          </w:p>
        </w:tc>
        <w:tc>
          <w:tcPr>
            <w:tcW w:w="400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根据廊坊市委办公室《印发&lt;关于深化全市城市基层党建工作的若干措施&gt;的通知》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91"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1301"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1880"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提升专业化服务水平</w:t>
            </w:r>
          </w:p>
        </w:tc>
        <w:tc>
          <w:tcPr>
            <w:tcW w:w="3271"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增强党组织在群众中的影响力。</w:t>
            </w:r>
          </w:p>
        </w:tc>
        <w:tc>
          <w:tcPr>
            <w:tcW w:w="2114"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显著提高</w:t>
            </w:r>
          </w:p>
        </w:tc>
        <w:tc>
          <w:tcPr>
            <w:tcW w:w="400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根据廊坊市委办公室《印发&lt;关于深化全市城市基层党建工作的若干措施&gt;的通知》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91"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01"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880"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社区居民对社区服务的满意度</w:t>
            </w:r>
          </w:p>
        </w:tc>
        <w:tc>
          <w:tcPr>
            <w:tcW w:w="3271"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群众对资金使用情况是否满意</w:t>
            </w:r>
          </w:p>
        </w:tc>
        <w:tc>
          <w:tcPr>
            <w:tcW w:w="2114"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≥90%</w:t>
            </w:r>
          </w:p>
        </w:tc>
        <w:tc>
          <w:tcPr>
            <w:tcW w:w="400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调查问卷</w:t>
            </w:r>
          </w:p>
        </w:tc>
      </w:tr>
    </w:tbl>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autoSpaceDE w:val="0"/>
        <w:autoSpaceDN w:val="0"/>
        <w:adjustRightInd w:val="0"/>
        <w:spacing w:line="584" w:lineRule="exact"/>
        <w:ind w:firstLine="880" w:firstLineChars="200"/>
        <w:jc w:val="left"/>
        <w:rPr>
          <w:rFonts w:hint="eastAsia" w:ascii="仿宋_GB2312" w:hAnsi="仿宋_GB2312" w:eastAsia="仿宋_GB2312" w:cs="仿宋_GB2312"/>
          <w:sz w:val="44"/>
          <w:szCs w:val="44"/>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3.社区工作经费[区级]（项目名称）绩效目标表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6"/>
        <w:gridCol w:w="1572"/>
        <w:gridCol w:w="1988"/>
        <w:gridCol w:w="3307"/>
        <w:gridCol w:w="1844"/>
        <w:gridCol w:w="41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66"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896" w:type="dxa"/>
            <w:gridSpan w:val="5"/>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1.加强和改进城市基层党的建设工作，强化社区工作经费保障能力</w:t>
            </w:r>
          </w:p>
          <w:p>
            <w:pPr>
              <w:pStyle w:val="14"/>
              <w:rPr>
                <w:rFonts w:hint="eastAsia" w:ascii="仿宋_GB2312" w:hAnsi="仿宋_GB2312" w:eastAsia="仿宋_GB2312" w:cs="仿宋_GB2312"/>
              </w:rPr>
            </w:pPr>
            <w:r>
              <w:rPr>
                <w:rFonts w:hint="eastAsia" w:ascii="仿宋_GB2312" w:hAnsi="仿宋_GB2312" w:eastAsia="仿宋_GB2312" w:cs="仿宋_GB2312"/>
              </w:rPr>
              <w:t>2.最大程度的保证社区工作正常有效运转</w:t>
            </w:r>
          </w:p>
          <w:p>
            <w:pPr>
              <w:spacing w:line="300" w:lineRule="exact"/>
              <w:rPr>
                <w:rFonts w:hint="eastAsia" w:ascii="仿宋_GB2312" w:hAnsi="仿宋_GB2312" w:eastAsia="仿宋_GB2312" w:cs="仿宋_GB2312"/>
                <w:b/>
              </w:rPr>
            </w:pPr>
            <w:r>
              <w:rPr>
                <w:rFonts w:hint="eastAsia" w:ascii="仿宋_GB2312" w:hAnsi="仿宋_GB2312" w:eastAsia="仿宋_GB2312" w:cs="仿宋_GB2312"/>
              </w:rPr>
              <w:t>3.促进社区各项公共事业的有序展开和建设。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66"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57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307"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4"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41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66"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57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项目保障社区数</w:t>
            </w:r>
          </w:p>
        </w:tc>
        <w:tc>
          <w:tcPr>
            <w:tcW w:w="3307"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按要求发放办公经费金额社区数量</w:t>
            </w:r>
          </w:p>
        </w:tc>
        <w:tc>
          <w:tcPr>
            <w:tcW w:w="1844"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17个</w:t>
            </w:r>
          </w:p>
        </w:tc>
        <w:tc>
          <w:tcPr>
            <w:tcW w:w="41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根据廊坊市委办公室《印发&lt;关于深化全市城市基层党建工作的若干措施&gt;的通知》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66" w:type="dxa"/>
            <w:vMerge w:val="continue"/>
            <w:shd w:val="clear" w:color="auto" w:fill="auto"/>
            <w:vAlign w:val="center"/>
          </w:tcPr>
          <w:p>
            <w:pPr>
              <w:rPr>
                <w:rFonts w:hint="eastAsia" w:ascii="仿宋_GB2312" w:hAnsi="仿宋_GB2312" w:eastAsia="仿宋_GB2312" w:cs="仿宋_GB2312"/>
              </w:rPr>
            </w:pPr>
          </w:p>
        </w:tc>
        <w:tc>
          <w:tcPr>
            <w:tcW w:w="157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运转保障率</w:t>
            </w:r>
          </w:p>
        </w:tc>
        <w:tc>
          <w:tcPr>
            <w:tcW w:w="3307"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按要求使用经费的社区数量占总社区数量的比率</w:t>
            </w:r>
          </w:p>
        </w:tc>
        <w:tc>
          <w:tcPr>
            <w:tcW w:w="1844"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41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根据廊坊市委办公室《印发&lt;关于深化全市城市基层党建工作的若干措施&gt;的通知》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66" w:type="dxa"/>
            <w:vMerge w:val="continue"/>
            <w:shd w:val="clear" w:color="auto" w:fill="auto"/>
            <w:vAlign w:val="center"/>
          </w:tcPr>
          <w:p>
            <w:pPr>
              <w:rPr>
                <w:rFonts w:hint="eastAsia" w:ascii="仿宋_GB2312" w:hAnsi="仿宋_GB2312" w:eastAsia="仿宋_GB2312" w:cs="仿宋_GB2312"/>
              </w:rPr>
            </w:pPr>
          </w:p>
        </w:tc>
        <w:tc>
          <w:tcPr>
            <w:tcW w:w="157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经费保障及时率</w:t>
            </w:r>
          </w:p>
        </w:tc>
        <w:tc>
          <w:tcPr>
            <w:tcW w:w="3307"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按要求及时使用</w:t>
            </w:r>
          </w:p>
        </w:tc>
        <w:tc>
          <w:tcPr>
            <w:tcW w:w="1844"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41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根据廊坊市委办公室《印发&lt;关于深化全市城市基层党建工作的若干措施&gt;的通知》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66" w:type="dxa"/>
            <w:vMerge w:val="continue"/>
            <w:shd w:val="clear" w:color="auto" w:fill="auto"/>
            <w:vAlign w:val="center"/>
          </w:tcPr>
          <w:p>
            <w:pPr>
              <w:rPr>
                <w:rFonts w:hint="eastAsia" w:ascii="仿宋_GB2312" w:hAnsi="仿宋_GB2312" w:eastAsia="仿宋_GB2312" w:cs="仿宋_GB2312"/>
              </w:rPr>
            </w:pPr>
          </w:p>
        </w:tc>
        <w:tc>
          <w:tcPr>
            <w:tcW w:w="157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资金成本</w:t>
            </w:r>
          </w:p>
        </w:tc>
        <w:tc>
          <w:tcPr>
            <w:tcW w:w="3307"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成本控制情况</w:t>
            </w:r>
          </w:p>
        </w:tc>
        <w:tc>
          <w:tcPr>
            <w:tcW w:w="1844"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15万元/社区/年</w:t>
            </w:r>
          </w:p>
        </w:tc>
        <w:tc>
          <w:tcPr>
            <w:tcW w:w="41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根据廊坊市委办公室《印发&lt;关于深化全市城市基层党建工作的若干措施&gt;的通知》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66"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157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198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提升专业化服务水平</w:t>
            </w:r>
          </w:p>
        </w:tc>
        <w:tc>
          <w:tcPr>
            <w:tcW w:w="3307"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增强党组织在群众中的影响力。</w:t>
            </w:r>
          </w:p>
        </w:tc>
        <w:tc>
          <w:tcPr>
            <w:tcW w:w="1844"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显著提高</w:t>
            </w:r>
          </w:p>
        </w:tc>
        <w:tc>
          <w:tcPr>
            <w:tcW w:w="41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根据廊坊市委办公室《印发&lt;关于深化全市城市基层党建工作的若干措施&gt;的通知》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66"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57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社区居民对社区服务的满意度</w:t>
            </w:r>
          </w:p>
        </w:tc>
        <w:tc>
          <w:tcPr>
            <w:tcW w:w="3307"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群众对资金使用情况是否满意</w:t>
            </w:r>
          </w:p>
        </w:tc>
        <w:tc>
          <w:tcPr>
            <w:tcW w:w="1844"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≥90%</w:t>
            </w:r>
          </w:p>
        </w:tc>
        <w:tc>
          <w:tcPr>
            <w:tcW w:w="41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调查问卷</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4.社区楼门长工作经费（项目名称）绩效目标表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1.通过发放楼门长补贴，达到积极引导广大居民群众主动参与基层社会治理，切实发挥居民小区楼门长作用。</w:t>
            </w:r>
          </w:p>
          <w:p>
            <w:pPr>
              <w:pStyle w:val="14"/>
              <w:rPr>
                <w:rFonts w:hint="eastAsia" w:ascii="仿宋_GB2312" w:hAnsi="仿宋_GB2312" w:eastAsia="仿宋_GB2312" w:cs="仿宋_GB2312"/>
              </w:rPr>
            </w:pPr>
            <w:r>
              <w:rPr>
                <w:rFonts w:hint="eastAsia" w:ascii="仿宋_GB2312" w:hAnsi="仿宋_GB2312" w:eastAsia="仿宋_GB2312" w:cs="仿宋_GB2312"/>
              </w:rPr>
              <w:t>2.通过发放楼门长补贴，实现群众参与社区管理，提高社会管理服务效能</w:t>
            </w:r>
          </w:p>
          <w:p>
            <w:pPr>
              <w:spacing w:line="300" w:lineRule="exact"/>
              <w:rPr>
                <w:rFonts w:hint="eastAsia" w:ascii="仿宋_GB2312" w:hAnsi="仿宋_GB2312" w:eastAsia="仿宋_GB2312" w:cs="仿宋_GB2312"/>
                <w:b/>
              </w:rPr>
            </w:pPr>
            <w:r>
              <w:rPr>
                <w:rFonts w:hint="eastAsia" w:ascii="仿宋_GB2312" w:hAnsi="仿宋_GB2312" w:eastAsia="仿宋_GB2312" w:cs="仿宋_GB2312"/>
              </w:rPr>
              <w:t>3.进一步完善社区治理体系，提升基层党组织建设和管理服务水平。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补贴保障人数</w:t>
            </w:r>
          </w:p>
        </w:tc>
        <w:tc>
          <w:tcPr>
            <w:tcW w:w="340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享受此项待遇人员数</w:t>
            </w:r>
          </w:p>
        </w:tc>
        <w:tc>
          <w:tcPr>
            <w:tcW w:w="184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680人</w:t>
            </w:r>
          </w:p>
        </w:tc>
        <w:tc>
          <w:tcPr>
            <w:tcW w:w="215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廊广办发【2020】1号文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发放覆盖率</w:t>
            </w:r>
          </w:p>
        </w:tc>
        <w:tc>
          <w:tcPr>
            <w:tcW w:w="340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反映资金发放覆盖情况</w:t>
            </w:r>
          </w:p>
        </w:tc>
        <w:tc>
          <w:tcPr>
            <w:tcW w:w="184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廊广办发【2020】1号文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补贴保障人数</w:t>
            </w:r>
          </w:p>
        </w:tc>
        <w:tc>
          <w:tcPr>
            <w:tcW w:w="340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享受此项待遇人员数</w:t>
            </w:r>
          </w:p>
        </w:tc>
        <w:tc>
          <w:tcPr>
            <w:tcW w:w="184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680人</w:t>
            </w:r>
          </w:p>
        </w:tc>
        <w:tc>
          <w:tcPr>
            <w:tcW w:w="215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廊广办发【2020】1号文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有物业小区楼门长补贴标准</w:t>
            </w:r>
          </w:p>
        </w:tc>
        <w:tc>
          <w:tcPr>
            <w:tcW w:w="340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有物业小区单元长补贴标准</w:t>
            </w:r>
          </w:p>
        </w:tc>
        <w:tc>
          <w:tcPr>
            <w:tcW w:w="184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50元/月/人</w:t>
            </w:r>
          </w:p>
        </w:tc>
        <w:tc>
          <w:tcPr>
            <w:tcW w:w="215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廊广办发【2020】1号文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无物业小区楼门长补贴标准</w:t>
            </w:r>
          </w:p>
        </w:tc>
        <w:tc>
          <w:tcPr>
            <w:tcW w:w="340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无物业小区楼门长补贴标准</w:t>
            </w:r>
          </w:p>
        </w:tc>
        <w:tc>
          <w:tcPr>
            <w:tcW w:w="184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200元/月/人</w:t>
            </w:r>
          </w:p>
        </w:tc>
        <w:tc>
          <w:tcPr>
            <w:tcW w:w="215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廊广办发【2020】1号文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无物业小区单元长、有物业小区楼门长补贴标准</w:t>
            </w:r>
          </w:p>
        </w:tc>
        <w:tc>
          <w:tcPr>
            <w:tcW w:w="340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无物业小区单元长、有物业小区楼门长补贴标准</w:t>
            </w:r>
          </w:p>
        </w:tc>
        <w:tc>
          <w:tcPr>
            <w:tcW w:w="184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100元/月/人</w:t>
            </w:r>
          </w:p>
        </w:tc>
        <w:tc>
          <w:tcPr>
            <w:tcW w:w="215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廊广办发【2020】1号文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19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提高楼门长工作积极性</w:t>
            </w:r>
          </w:p>
        </w:tc>
        <w:tc>
          <w:tcPr>
            <w:tcW w:w="340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反应提高楼门长工作积极性程度</w:t>
            </w:r>
          </w:p>
        </w:tc>
        <w:tc>
          <w:tcPr>
            <w:tcW w:w="184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进一步提高</w:t>
            </w:r>
          </w:p>
        </w:tc>
        <w:tc>
          <w:tcPr>
            <w:tcW w:w="215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受补贴人员满意度</w:t>
            </w:r>
          </w:p>
        </w:tc>
        <w:tc>
          <w:tcPr>
            <w:tcW w:w="340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满意人员与总人数的比率</w:t>
            </w:r>
          </w:p>
        </w:tc>
        <w:tc>
          <w:tcPr>
            <w:tcW w:w="184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≥90%</w:t>
            </w:r>
          </w:p>
        </w:tc>
        <w:tc>
          <w:tcPr>
            <w:tcW w:w="215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调查问卷</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5.社区招聘人员经费[区级]（项目名称）绩效目标表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247"/>
        <w:gridCol w:w="2367"/>
        <w:gridCol w:w="3470"/>
        <w:gridCol w:w="1482"/>
        <w:gridCol w:w="4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643" w:type="dxa"/>
            <w:gridSpan w:val="5"/>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1.按时按标准发放工资福利等，进一步增强干部职工得归属感，社区工作顺利开展，加强和完善社区治理，事关基层和谐稳定，</w:t>
            </w:r>
          </w:p>
          <w:p>
            <w:pPr>
              <w:pStyle w:val="14"/>
              <w:rPr>
                <w:rFonts w:hint="eastAsia" w:ascii="仿宋_GB2312" w:hAnsi="仿宋_GB2312" w:eastAsia="仿宋_GB2312" w:cs="仿宋_GB2312"/>
              </w:rPr>
            </w:pPr>
            <w:r>
              <w:rPr>
                <w:rFonts w:hint="eastAsia" w:ascii="仿宋_GB2312" w:hAnsi="仿宋_GB2312" w:eastAsia="仿宋_GB2312" w:cs="仿宋_GB2312"/>
              </w:rPr>
              <w:t>2.保持干部队伍相对稳定，保障办公正常运转，及时缴纳社会保险，确保人员稳定。</w:t>
            </w:r>
          </w:p>
          <w:p>
            <w:pPr>
              <w:spacing w:line="300" w:lineRule="exact"/>
              <w:rPr>
                <w:rFonts w:hint="eastAsia" w:ascii="仿宋_GB2312" w:hAnsi="仿宋_GB2312" w:eastAsia="仿宋_GB2312" w:cs="仿宋_GB2312"/>
                <w:b/>
              </w:rPr>
            </w:pPr>
            <w:r>
              <w:rPr>
                <w:rFonts w:hint="eastAsia" w:ascii="仿宋_GB2312" w:hAnsi="仿宋_GB2312" w:eastAsia="仿宋_GB2312" w:cs="仿宋_GB2312"/>
              </w:rPr>
              <w:t>3.进一步健全城乡社区治理体系，推进治理能力现代化。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247"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2367"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70"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48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4077"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247"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2367"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保障人数</w:t>
            </w:r>
          </w:p>
        </w:tc>
        <w:tc>
          <w:tcPr>
            <w:tcW w:w="3470"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保障人数</w:t>
            </w:r>
          </w:p>
        </w:tc>
        <w:tc>
          <w:tcPr>
            <w:tcW w:w="148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≥106人</w:t>
            </w:r>
          </w:p>
        </w:tc>
        <w:tc>
          <w:tcPr>
            <w:tcW w:w="4077"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冀组字【2021】17号廊广组字【2021】131号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9" w:type="dxa"/>
            <w:vMerge w:val="continue"/>
            <w:shd w:val="clear" w:color="auto" w:fill="auto"/>
            <w:vAlign w:val="center"/>
          </w:tcPr>
          <w:p>
            <w:pPr>
              <w:rPr>
                <w:rFonts w:hint="eastAsia" w:ascii="仿宋_GB2312" w:hAnsi="仿宋_GB2312" w:eastAsia="仿宋_GB2312" w:cs="仿宋_GB2312"/>
              </w:rPr>
            </w:pPr>
          </w:p>
        </w:tc>
        <w:tc>
          <w:tcPr>
            <w:tcW w:w="1247"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2367"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工资的足额发放率</w:t>
            </w:r>
          </w:p>
        </w:tc>
        <w:tc>
          <w:tcPr>
            <w:tcW w:w="3470"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足额发放人数与总人数比率</w:t>
            </w:r>
          </w:p>
        </w:tc>
        <w:tc>
          <w:tcPr>
            <w:tcW w:w="148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4077"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冀组字【2021】17号廊广组字【2021】131号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9" w:type="dxa"/>
            <w:vMerge w:val="continue"/>
            <w:shd w:val="clear" w:color="auto" w:fill="auto"/>
            <w:vAlign w:val="center"/>
          </w:tcPr>
          <w:p>
            <w:pPr>
              <w:rPr>
                <w:rFonts w:hint="eastAsia" w:ascii="仿宋_GB2312" w:hAnsi="仿宋_GB2312" w:eastAsia="仿宋_GB2312" w:cs="仿宋_GB2312"/>
              </w:rPr>
            </w:pPr>
          </w:p>
        </w:tc>
        <w:tc>
          <w:tcPr>
            <w:tcW w:w="1247"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2367"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社会保险的申报率</w:t>
            </w:r>
          </w:p>
        </w:tc>
        <w:tc>
          <w:tcPr>
            <w:tcW w:w="3470"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保险申报人数与总人数比率</w:t>
            </w:r>
          </w:p>
        </w:tc>
        <w:tc>
          <w:tcPr>
            <w:tcW w:w="148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4077"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冀组字【2021】17号廊广组字【2021】131号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1419" w:type="dxa"/>
            <w:vMerge w:val="continue"/>
            <w:shd w:val="clear" w:color="auto" w:fill="auto"/>
            <w:vAlign w:val="center"/>
          </w:tcPr>
          <w:p>
            <w:pPr>
              <w:rPr>
                <w:rFonts w:hint="eastAsia" w:ascii="仿宋_GB2312" w:hAnsi="仿宋_GB2312" w:eastAsia="仿宋_GB2312" w:cs="仿宋_GB2312"/>
              </w:rPr>
            </w:pPr>
          </w:p>
        </w:tc>
        <w:tc>
          <w:tcPr>
            <w:tcW w:w="1247"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2367"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工资及时发放率</w:t>
            </w:r>
          </w:p>
        </w:tc>
        <w:tc>
          <w:tcPr>
            <w:tcW w:w="3470"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工资发放的时效情况</w:t>
            </w:r>
          </w:p>
        </w:tc>
        <w:tc>
          <w:tcPr>
            <w:tcW w:w="148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4077"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冀组字【2021】17号廊广组字【2021】131号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9" w:type="dxa"/>
            <w:vMerge w:val="restart"/>
            <w:shd w:val="clear" w:color="auto" w:fill="auto"/>
            <w:vAlign w:val="center"/>
          </w:tcPr>
          <w:p>
            <w:pPr>
              <w:spacing w:line="3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 xml:space="preserve"> </w:t>
            </w:r>
          </w:p>
        </w:tc>
        <w:tc>
          <w:tcPr>
            <w:tcW w:w="1247"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2367"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社会保险及时缴纳率</w:t>
            </w:r>
          </w:p>
        </w:tc>
        <w:tc>
          <w:tcPr>
            <w:tcW w:w="3470"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社会保险缴纳的时效情况</w:t>
            </w:r>
          </w:p>
        </w:tc>
        <w:tc>
          <w:tcPr>
            <w:tcW w:w="148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4077"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冀组字【2021】17号廊广组字【2021】131号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9" w:type="dxa"/>
            <w:vMerge w:val="continue"/>
            <w:shd w:val="clear" w:color="auto" w:fill="auto"/>
            <w:vAlign w:val="center"/>
          </w:tcPr>
          <w:p>
            <w:pPr>
              <w:rPr>
                <w:rFonts w:hint="eastAsia" w:ascii="仿宋_GB2312" w:hAnsi="仿宋_GB2312" w:eastAsia="仿宋_GB2312" w:cs="仿宋_GB2312"/>
              </w:rPr>
            </w:pPr>
          </w:p>
        </w:tc>
        <w:tc>
          <w:tcPr>
            <w:tcW w:w="124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236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人均工资及保险成本</w:t>
            </w:r>
          </w:p>
        </w:tc>
        <w:tc>
          <w:tcPr>
            <w:tcW w:w="347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每人每月工资及保险平均数</w:t>
            </w:r>
          </w:p>
        </w:tc>
        <w:tc>
          <w:tcPr>
            <w:tcW w:w="148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≤3678.93元/月/人</w:t>
            </w:r>
          </w:p>
        </w:tc>
        <w:tc>
          <w:tcPr>
            <w:tcW w:w="407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冀组字【2021】17号廊广组字【2021】131号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9"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47"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2367"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社区工作水平有所提高</w:t>
            </w:r>
          </w:p>
        </w:tc>
        <w:tc>
          <w:tcPr>
            <w:tcW w:w="3470"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通过按时按标准发放工资福利等，进一步增强干部职工得归属感，保持干部队伍相对稳定，保障办公正常运转，社区工作水平有所提高</w:t>
            </w:r>
          </w:p>
        </w:tc>
        <w:tc>
          <w:tcPr>
            <w:tcW w:w="148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全面提高</w:t>
            </w:r>
          </w:p>
        </w:tc>
        <w:tc>
          <w:tcPr>
            <w:tcW w:w="4077"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冀组字【2021】17号廊广组字【2021】131号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9"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满意度指标</w:t>
            </w:r>
          </w:p>
        </w:tc>
        <w:tc>
          <w:tcPr>
            <w:tcW w:w="1247"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2367"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社区聘用人员满意度</w:t>
            </w:r>
          </w:p>
        </w:tc>
        <w:tc>
          <w:tcPr>
            <w:tcW w:w="3470"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满意人员与总人数的比率</w:t>
            </w:r>
          </w:p>
        </w:tc>
        <w:tc>
          <w:tcPr>
            <w:tcW w:w="148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≥90%</w:t>
            </w:r>
          </w:p>
        </w:tc>
        <w:tc>
          <w:tcPr>
            <w:tcW w:w="4077"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调查问卷</w:t>
            </w:r>
          </w:p>
        </w:tc>
      </w:tr>
    </w:tbl>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6.疫情防控无物业小区卡口人员经费（项目名称）绩效目标表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1.为了更好的落实疫情防控工作，广泛宣传，提升居民自我防范意识，群防群治</w:t>
            </w:r>
          </w:p>
          <w:p>
            <w:pPr>
              <w:pStyle w:val="14"/>
              <w:rPr>
                <w:rFonts w:hint="eastAsia" w:ascii="仿宋_GB2312" w:hAnsi="仿宋_GB2312" w:eastAsia="仿宋_GB2312" w:cs="仿宋_GB2312"/>
              </w:rPr>
            </w:pPr>
            <w:r>
              <w:rPr>
                <w:rFonts w:hint="eastAsia" w:ascii="仿宋_GB2312" w:hAnsi="仿宋_GB2312" w:eastAsia="仿宋_GB2312" w:cs="仿宋_GB2312"/>
              </w:rPr>
              <w:t>2.全天24小时加强卡口值守工作，封堵不必要通道，搭建值守帐篷，严格扫码测温登记，购置酒精、消毒液、口罩等防护用品，为工作人员提供疫情防护必要用口。</w:t>
            </w:r>
          </w:p>
          <w:p>
            <w:pPr>
              <w:spacing w:line="300" w:lineRule="exact"/>
              <w:rPr>
                <w:rFonts w:hint="eastAsia" w:ascii="仿宋_GB2312" w:hAnsi="仿宋_GB2312" w:eastAsia="仿宋_GB2312" w:cs="仿宋_GB2312"/>
                <w:b/>
              </w:rPr>
            </w:pPr>
            <w:r>
              <w:rPr>
                <w:rFonts w:hint="eastAsia" w:ascii="仿宋_GB2312" w:hAnsi="仿宋_GB2312" w:eastAsia="仿宋_GB2312" w:cs="仿宋_GB2312"/>
              </w:rPr>
              <w:t>3.达到“外防输入，内防反弹”工作目标保障辖区居民身体健康，实现了0例病例。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保障数</w:t>
            </w:r>
          </w:p>
        </w:tc>
        <w:tc>
          <w:tcPr>
            <w:tcW w:w="340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保障数</w:t>
            </w:r>
          </w:p>
        </w:tc>
        <w:tc>
          <w:tcPr>
            <w:tcW w:w="184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≥46个</w:t>
            </w:r>
          </w:p>
        </w:tc>
        <w:tc>
          <w:tcPr>
            <w:tcW w:w="215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廊广新字【2022】01号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辖区出入口登记率</w:t>
            </w:r>
          </w:p>
        </w:tc>
        <w:tc>
          <w:tcPr>
            <w:tcW w:w="340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辖区出入口登记率</w:t>
            </w:r>
          </w:p>
        </w:tc>
        <w:tc>
          <w:tcPr>
            <w:tcW w:w="184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215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廊广新字【2022】01号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卡口执勤时间</w:t>
            </w:r>
          </w:p>
        </w:tc>
        <w:tc>
          <w:tcPr>
            <w:tcW w:w="340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卡口执勤时间</w:t>
            </w:r>
          </w:p>
        </w:tc>
        <w:tc>
          <w:tcPr>
            <w:tcW w:w="184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24小时</w:t>
            </w:r>
          </w:p>
        </w:tc>
        <w:tc>
          <w:tcPr>
            <w:tcW w:w="215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廊广新字【2022】01号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人员经费</w:t>
            </w:r>
          </w:p>
        </w:tc>
        <w:tc>
          <w:tcPr>
            <w:tcW w:w="340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人员经费</w:t>
            </w:r>
          </w:p>
        </w:tc>
        <w:tc>
          <w:tcPr>
            <w:tcW w:w="184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400元/人/天</w:t>
            </w:r>
          </w:p>
        </w:tc>
        <w:tc>
          <w:tcPr>
            <w:tcW w:w="215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廊广新字【2022】01号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19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小区出入口值守情况</w:t>
            </w:r>
          </w:p>
        </w:tc>
        <w:tc>
          <w:tcPr>
            <w:tcW w:w="340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小区出入口值守情况</w:t>
            </w:r>
          </w:p>
        </w:tc>
        <w:tc>
          <w:tcPr>
            <w:tcW w:w="184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24小时全天值守</w:t>
            </w:r>
          </w:p>
        </w:tc>
        <w:tc>
          <w:tcPr>
            <w:tcW w:w="215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廊广新字【2022】01号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值守人员满意度</w:t>
            </w:r>
          </w:p>
        </w:tc>
        <w:tc>
          <w:tcPr>
            <w:tcW w:w="340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值守人员满意度</w:t>
            </w:r>
          </w:p>
        </w:tc>
        <w:tc>
          <w:tcPr>
            <w:tcW w:w="184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215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调查问卷</w:t>
            </w:r>
          </w:p>
        </w:tc>
      </w:tr>
    </w:tbl>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880" w:firstLineChars="200"/>
        <w:jc w:val="left"/>
        <w:rPr>
          <w:rFonts w:hint="eastAsia"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4"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lang w:val="en-US" w:eastAsia="zh-CN"/>
        </w:rPr>
        <w:t>0</w:t>
      </w:r>
      <w:r>
        <w:rPr>
          <w:rFonts w:ascii="Times New Roman" w:hAnsi="Times New Roman" w:eastAsia="仿宋_GB2312" w:cs="Times New Roman"/>
          <w:sz w:val="32"/>
          <w:szCs w:val="24"/>
        </w:rPr>
        <w:t>万元。具体内容见下表。</w:t>
      </w:r>
    </w:p>
    <w:bookmarkEnd w:id="4"/>
    <w:p>
      <w:pPr>
        <w:jc w:val="center"/>
        <w:outlineLvl w:val="1"/>
        <w:rPr>
          <w:rFonts w:ascii="方正小标宋_GBK" w:eastAsia="方正小标宋_GBK" w:cs="Times New Roman"/>
          <w:sz w:val="32"/>
        </w:rPr>
      </w:pPr>
      <w:bookmarkStart w:id="5" w:name="_Toc64920910"/>
      <w:r>
        <w:rPr>
          <w:rFonts w:hint="eastAsia" w:ascii="方正小标宋_GBK" w:eastAsia="方正小标宋_GBK" w:cs="Times New Roman"/>
          <w:sz w:val="32"/>
        </w:rPr>
        <w:t>部门政府采购预算</w:t>
      </w:r>
      <w:bookmarkEnd w:id="5"/>
    </w:p>
    <w:p>
      <w:pPr>
        <w:jc w:val="left"/>
        <w:outlineLvl w:val="1"/>
        <w:rPr>
          <w:rFonts w:ascii="方正小标宋_GBK" w:eastAsia="方正小标宋_GBK" w:cs="Times New Roman"/>
          <w:sz w:val="32"/>
        </w:rPr>
      </w:pPr>
      <w:r>
        <w:rPr>
          <w:rFonts w:hint="eastAsia"/>
          <w:lang w:val="en-US" w:eastAsia="zh-CN"/>
        </w:rPr>
        <w:t xml:space="preserve"> </w:t>
      </w:r>
      <w:r>
        <w:t>廊坊市</w:t>
      </w:r>
      <w:r>
        <w:rPr>
          <w:rFonts w:hint="eastAsia"/>
          <w:lang w:eastAsia="zh-CN"/>
        </w:rPr>
        <w:t>广阳区</w:t>
      </w:r>
      <w:r>
        <w:rPr>
          <w:rFonts w:hint="eastAsia"/>
          <w:lang w:val="en-US" w:eastAsia="zh-CN"/>
        </w:rPr>
        <w:t>新开路街道办事处</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新开路街道办事处</w:t>
      </w:r>
      <w:r>
        <w:rPr>
          <w:rFonts w:ascii="Times New Roman" w:hAnsi="Times New Roman" w:eastAsia="仿宋_GB2312" w:cs="Times New Roman"/>
          <w:sz w:val="32"/>
          <w:szCs w:val="32"/>
        </w:rPr>
        <w:t>（含所属单位）上年末固定资产金额为</w:t>
      </w:r>
      <w:r>
        <w:rPr>
          <w:rFonts w:hint="eastAsia" w:ascii="宋体" w:hAnsi="宋体"/>
          <w:color w:val="000000"/>
          <w:sz w:val="27"/>
        </w:rPr>
        <w:t>6466</w:t>
      </w:r>
      <w:r>
        <w:rPr>
          <w:rFonts w:hint="eastAsia" w:ascii="宋体" w:hAnsi="宋体"/>
          <w:color w:val="000000"/>
          <w:sz w:val="27"/>
          <w:lang w:val="en-US" w:eastAsia="zh-CN"/>
        </w:rPr>
        <w:t>.</w:t>
      </w:r>
      <w:r>
        <w:rPr>
          <w:rFonts w:hint="eastAsia" w:ascii="宋体" w:hAnsi="宋体"/>
          <w:color w:val="000000"/>
          <w:sz w:val="27"/>
        </w:rPr>
        <w:t>9</w:t>
      </w:r>
      <w:r>
        <w:rPr>
          <w:rFonts w:hint="eastAsia" w:ascii="宋体" w:hAnsi="宋体"/>
          <w:color w:val="000000"/>
          <w:sz w:val="27"/>
          <w:lang w:val="en-US" w:eastAsia="zh-CN"/>
        </w:rPr>
        <w:t>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lang w:eastAsia="zh-CN"/>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default"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lang w:eastAsia="zh-CN"/>
              </w:rPr>
              <w:t>广阳区</w:t>
            </w:r>
            <w:r>
              <w:rPr>
                <w:rFonts w:hint="eastAsia" w:ascii="Times New Roman" w:hAnsi="Times New Roman" w:eastAsia="仿宋_GB2312" w:cs="Times New Roman"/>
                <w:kern w:val="0"/>
                <w:sz w:val="22"/>
                <w:lang w:val="en-US" w:eastAsia="zh-CN"/>
              </w:rPr>
              <w:t>新开路街道办事处</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宋体" w:hAnsi="宋体"/>
                <w:color w:val="000000"/>
                <w:sz w:val="27"/>
              </w:rPr>
              <w:t>6466</w:t>
            </w:r>
            <w:r>
              <w:rPr>
                <w:rFonts w:hint="eastAsia" w:ascii="宋体" w:hAnsi="宋体"/>
                <w:color w:val="000000"/>
                <w:sz w:val="27"/>
                <w:lang w:val="en-US" w:eastAsia="zh-CN"/>
              </w:rPr>
              <w:t>.</w:t>
            </w:r>
            <w:r>
              <w:rPr>
                <w:rFonts w:hint="eastAsia" w:ascii="宋体" w:hAnsi="宋体"/>
                <w:color w:val="000000"/>
                <w:sz w:val="27"/>
              </w:rPr>
              <w:t>9</w:t>
            </w:r>
            <w:r>
              <w:rPr>
                <w:rFonts w:hint="eastAsia" w:ascii="宋体" w:hAnsi="宋体"/>
                <w:color w:val="000000"/>
                <w:sz w:val="27"/>
                <w:lang w:val="en-US" w:eastAsia="zh-CN"/>
              </w:rPr>
              <w:t>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ascii="宋体" w:hAnsi="宋体"/>
                <w:color w:val="000000"/>
                <w:sz w:val="27"/>
              </w:rPr>
              <w:t xml:space="preserve"> 348.04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宋体" w:hAnsi="宋体"/>
                <w:color w:val="000000"/>
                <w:sz w:val="27"/>
              </w:rPr>
              <w:t>448.07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宋体" w:hAnsi="宋体"/>
                <w:color w:val="000000"/>
                <w:sz w:val="27"/>
              </w:rPr>
              <w:t xml:space="preserve"> 348.04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宋体" w:hAnsi="宋体"/>
                <w:color w:val="000000"/>
                <w:sz w:val="27"/>
                <w:lang w:val="en-US" w:eastAsia="zh-CN"/>
              </w:rPr>
              <w:t>23.96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5954.9</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D498E64-1302-44B3-B508-CBA643647B5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panose1 w:val="02000000000000000000"/>
    <w:charset w:val="86"/>
    <w:family w:val="script"/>
    <w:pitch w:val="default"/>
    <w:sig w:usb0="A00002BF" w:usb1="38CF7CFA" w:usb2="00082016" w:usb3="00000000" w:csb0="00040001" w:csb1="00000000"/>
    <w:embedRegular r:id="rId2" w:fontKey="{AF409E79-3B55-4B2E-8A56-37979B035653}"/>
  </w:font>
  <w:font w:name="仿宋_GB2312">
    <w:panose1 w:val="02010609030101010101"/>
    <w:charset w:val="86"/>
    <w:family w:val="modern"/>
    <w:pitch w:val="default"/>
    <w:sig w:usb0="00000001" w:usb1="080E0000" w:usb2="00000000" w:usb3="00000000" w:csb0="00040000" w:csb1="00000000"/>
    <w:embedRegular r:id="rId3" w:fontKey="{A378E97B-1BD9-482B-A26B-73AEBB3F28EF}"/>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F6018"/>
    <w:rsid w:val="0025632D"/>
    <w:rsid w:val="003059E0"/>
    <w:rsid w:val="004A54AA"/>
    <w:rsid w:val="00944233"/>
    <w:rsid w:val="00B40732"/>
    <w:rsid w:val="00B80935"/>
    <w:rsid w:val="00D347CC"/>
    <w:rsid w:val="00DC72B4"/>
    <w:rsid w:val="03C725A5"/>
    <w:rsid w:val="06AC24BD"/>
    <w:rsid w:val="08837488"/>
    <w:rsid w:val="08DF079E"/>
    <w:rsid w:val="092A0DC1"/>
    <w:rsid w:val="0CEC1180"/>
    <w:rsid w:val="13892CFD"/>
    <w:rsid w:val="15CB510D"/>
    <w:rsid w:val="20044D10"/>
    <w:rsid w:val="291F75A2"/>
    <w:rsid w:val="30366092"/>
    <w:rsid w:val="3112773A"/>
    <w:rsid w:val="36465EAD"/>
    <w:rsid w:val="3BF531A3"/>
    <w:rsid w:val="40557AB4"/>
    <w:rsid w:val="452F149F"/>
    <w:rsid w:val="455A2761"/>
    <w:rsid w:val="47F14986"/>
    <w:rsid w:val="4A180E3D"/>
    <w:rsid w:val="50E17CE7"/>
    <w:rsid w:val="632C4A2F"/>
    <w:rsid w:val="65A37C87"/>
    <w:rsid w:val="65ED52B5"/>
    <w:rsid w:val="66FD27F8"/>
    <w:rsid w:val="674A6ADF"/>
    <w:rsid w:val="6B07520F"/>
    <w:rsid w:val="6E4B44E0"/>
    <w:rsid w:val="6EAA4FB3"/>
    <w:rsid w:val="6F2579A9"/>
    <w:rsid w:val="72831C4C"/>
    <w:rsid w:val="72AA1E02"/>
    <w:rsid w:val="73693C55"/>
    <w:rsid w:val="749A53EE"/>
    <w:rsid w:val="7EF62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504</Words>
  <Characters>2877</Characters>
  <Lines>23</Lines>
  <Paragraphs>6</Paragraphs>
  <TotalTime>15</TotalTime>
  <ScaleCrop>false</ScaleCrop>
  <LinksUpToDate>false</LinksUpToDate>
  <CharactersWithSpaces>3375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2023-08-15T06:55:21Z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E9720C97D5D54A5994D7E811156D1A73</vt:lpwstr>
  </property>
</Properties>
</file>