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广阳区爱民东道街道办</w:t>
      </w:r>
      <w:r>
        <w:rPr>
          <w:rFonts w:hint="eastAsia" w:ascii="Times New Roman" w:hAnsi="Times New Roman" w:eastAsia="方正小标宋简体" w:cs="Times New Roman"/>
          <w:sz w:val="44"/>
          <w:szCs w:val="44"/>
          <w:lang w:eastAsia="zh-CN"/>
        </w:rPr>
        <w:t>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根据《廊坊市广阳区爱民东道街道办事处职能配置、内设机构和人员编制规定》， 廊坊市广阳区爱民东道街道办事处的主要职责是：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加强本辖区生产经营单位安全生产状况的监督检查、协助上级有关部门依法履行安全生产监督管理职责。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按照职责分工负责本辖区河湖的水资源保护、水域岸线管理、水污染防治、水环境治理等工作，协助上级人民政府及其有关部门做好地下水相关管理和监督工作。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2.协助有关部门查处传销行为。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8.协调有关部门做好未成年人的保护工作。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廊坊市广阳区爱民东道街道办事处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行政</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财政拨款</w:t>
            </w:r>
            <w:r>
              <w:rPr>
                <w:rFonts w:hint="eastAsia" w:ascii="Times New Roman" w:hAnsi="Times New Roman" w:eastAsia="仿宋_GB2312" w:cs="Times New Roman"/>
                <w:b/>
                <w:szCs w:val="24"/>
              </w:rPr>
              <w:t>（行政）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广阳区爱民东道街道办事处2022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2034.74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1807.84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226.9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1094.68</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283.04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185.91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人员及公用经费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97.13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226.9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爱民东道街道办事处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新时代，新征程。2022年，爱民东道街道将抓住新机场兴建的宝贵历史机遇，创新思维方式，汇聚兴街富民力量，实现跨越大发展。力争将爱民东道街道建设成为开放、包容、宜居的生态新区。</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一、加快项目建设，促进经济发展</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二、推进污染防治，确保质量达标</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三、提升服务水平，建设幸福街区</w:t>
      </w:r>
    </w:p>
    <w:p>
      <w:pPr>
        <w:spacing w:line="584" w:lineRule="exact"/>
        <w:ind w:firstLine="640" w:firstLineChars="200"/>
        <w:rPr>
          <w:rFonts w:ascii="楷体_GB2312" w:hAnsi="新宋体" w:eastAsia="楷体_GB2312"/>
          <w:sz w:val="32"/>
          <w:szCs w:val="32"/>
        </w:rPr>
      </w:pPr>
      <w:r>
        <w:rPr>
          <w:rFonts w:hint="eastAsia" w:ascii="仿宋_GB2312" w:hAnsi="新宋体" w:eastAsia="仿宋_GB2312"/>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w:t>
      </w:r>
      <w:r>
        <w:rPr>
          <w:rFonts w:hint="eastAsia" w:ascii="楷体_GB2312" w:hAnsi="新宋体" w:eastAsia="楷体_GB2312"/>
          <w:sz w:val="32"/>
          <w:szCs w:val="32"/>
        </w:rPr>
        <w:t>道。</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2" w:firstLineChars="200"/>
        <w:rPr>
          <w:rFonts w:ascii="仿宋_GB2312" w:eastAsia="仿宋_GB2312"/>
          <w:b/>
          <w:sz w:val="30"/>
          <w:szCs w:val="30"/>
        </w:rPr>
      </w:pPr>
      <w:r>
        <w:rPr>
          <w:rFonts w:hint="eastAsia" w:ascii="仿宋_GB2312" w:eastAsia="仿宋_GB2312"/>
          <w:b/>
          <w:sz w:val="30"/>
          <w:szCs w:val="30"/>
        </w:rPr>
        <w:t>一、发展楼宇经济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楼宇经济是街道城市经济发展的主抓手、主阵地，我们将通过设置楼宇信息员、楼宇企业服务中心等载体，着力引进总部企业、规上服务业、创意设计类等企业，不断优化楼宇企业业态结构，力争培育新的税收增长点，全力打造楼宇经济可持续发展新高地。</w:t>
      </w:r>
    </w:p>
    <w:p>
      <w:pPr>
        <w:ind w:firstLine="602" w:firstLineChars="200"/>
        <w:rPr>
          <w:rFonts w:ascii="仿宋_GB2312" w:eastAsia="仿宋_GB2312"/>
          <w:b/>
          <w:sz w:val="30"/>
          <w:szCs w:val="30"/>
        </w:rPr>
      </w:pPr>
      <w:r>
        <w:rPr>
          <w:rFonts w:hint="eastAsia" w:ascii="仿宋_GB2312" w:eastAsia="仿宋_GB2312"/>
          <w:b/>
          <w:sz w:val="30"/>
          <w:szCs w:val="30"/>
        </w:rPr>
        <w:t>二、常抓疫情防控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落实冬季疫情防控工作措施，常态化排查登记中高风险地区返雅人员，做好居家医疗观察和核酸检测。强化商场、酒店、学校、农贸市场、餐馆等重点区域的日常消毒和防控措施落实。</w:t>
      </w:r>
    </w:p>
    <w:p>
      <w:pPr>
        <w:ind w:firstLine="602" w:firstLineChars="200"/>
        <w:rPr>
          <w:rFonts w:ascii="仿宋_GB2312" w:eastAsia="仿宋_GB2312"/>
          <w:b/>
          <w:sz w:val="30"/>
          <w:szCs w:val="30"/>
        </w:rPr>
      </w:pPr>
      <w:r>
        <w:rPr>
          <w:rFonts w:hint="eastAsia" w:ascii="仿宋_GB2312" w:eastAsia="仿宋_GB2312"/>
          <w:b/>
          <w:sz w:val="30"/>
          <w:szCs w:val="30"/>
        </w:rPr>
        <w:t>三、持续打好生态保卫战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加强网格化日常巡查，守牢生态底线。对重点行业、重点企业进行定期和不定期走访，建立巡查台账，对群众反映的环保问题及时调查处理。</w:t>
      </w:r>
    </w:p>
    <w:p>
      <w:pPr>
        <w:ind w:firstLine="602" w:firstLineChars="200"/>
        <w:rPr>
          <w:rFonts w:ascii="仿宋_GB2312" w:eastAsia="仿宋_GB2312"/>
          <w:b/>
          <w:sz w:val="30"/>
          <w:szCs w:val="30"/>
        </w:rPr>
      </w:pPr>
      <w:r>
        <w:rPr>
          <w:rFonts w:hint="eastAsia" w:ascii="仿宋_GB2312" w:eastAsia="仿宋_GB2312"/>
          <w:b/>
          <w:sz w:val="30"/>
          <w:szCs w:val="30"/>
        </w:rPr>
        <w:t>四、维护社会稳定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持续深化扫黑除恶专项斗争和人民调解，落实安全生产责任制，加强对企业、老旧小区、餐馆等重点区域消防、食品安全督查整治。加强应急救援处置能力建设,提高防灾减灾救灾能力。</w:t>
      </w:r>
    </w:p>
    <w:p>
      <w:pPr>
        <w:ind w:firstLine="602" w:firstLineChars="200"/>
        <w:rPr>
          <w:rFonts w:ascii="仿宋_GB2312" w:eastAsia="仿宋_GB2312"/>
          <w:b/>
          <w:sz w:val="30"/>
          <w:szCs w:val="30"/>
        </w:rPr>
      </w:pPr>
      <w:r>
        <w:rPr>
          <w:rFonts w:hint="eastAsia" w:ascii="仿宋_GB2312" w:eastAsia="仿宋_GB2312"/>
          <w:b/>
          <w:sz w:val="30"/>
          <w:szCs w:val="30"/>
        </w:rPr>
        <w:t>五、提升城市管理水平</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爱民东道街道在区委、区政府的正确领导下，紧盯目标、狠抓落实，围绕中心、尽职担当，积极应对克服新冠疫情不利影响，统筹做好疫情防控和经济社会发展各项工作，积极完成全年疫情防控、经济发展、机场征迁、民生保障、信访稳定、文明创建等重点工作任务，现将全年工作情况汇报如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、全面取得抗疫胜利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街道所有小区严格落实“十有五做到”，常态化消杀、常态化摸排、常态化宣传。严格管控，充分利用大数据、微信、电话、出入登记、派出所提供信息全面筛查。建立20个临时党支部、16个党员防控疫情宣传队、77个党员先锋岗，充分用好网格员、楼门长、党员志愿者、党员疫情防控服务队和社区巡逻队等工作力量，发挥街道、社区、网格三级网络优势，筑牢群防群控群治的铜墙铁壁。截至目前在各社区、小区悬挂条幅1100余条，发放各类通知通告10万余份，自行制作宣传手册15000册，向辖区企业发放提醒函700份，在小区出入口设置循环广播防疫公告150余处，累计摸排391380人次，外来人员数量8027人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、狠抓文明城市创建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城工作启动以来，街道党委在市、区两级党委、政府的正确领导和悉心指导下，攻坚克难，以区委创城“十百千万”工作机制为统揽，以探索党建“三评积分”为突破，整合辖区企业、物业各方资源，直面破解老旧小区基础设施薄弱问题，建立领导、目标、机制、队伍、联动五大体系，打好宣传氛围、市容整治、限时整改、全面推进、重点攻坚五大战役，发挥领导垂范、制度管理、五位一体、队伍合作、企业领办五大作用，高质量推进辖区16个社区、120个小区围点攻坚和提升改造工作取得实效。一是强化制度建设，设定工作硬指标。严格按照“创建全国文明城市测评任务清单”逐条对照，吃透精神，逐项建立台账清单，细化分解到社区、到小区、到楼栋，确保各项任务按时保质完成。建立创城提交材料清单和标准模板，确保档案完整和规范。二是创新活动载体，建立文明阵地。对各社区功能室上档升级，配齐各类设施和器材。聚焦“硬件”，整治小区环境、提升背街小巷、维修破损路面、完善四防设施；整合“软件”，配合物业为小区居民提供基本生活服务、安保服务、疫情防控服务等，以智慧化手段打造五分钟服务圈，实现小区“颜值、内涵”双提升。指导各社区通过制作公益广告、发放宣传材料、入户走访、开展活动等形式宣传创城工作。三是调动居民积极性，创建引领新方法。落实区委“三评积分”引领文明创城方法，全面铺开社区十有五坚持、楼栋十有工作。集合各方力量，调动区直部门、领办企业、社区工作者、楼门长、居民参与创城的积极性。辖区创城国检被查5个点位，省检被查5个点位，未出现一条扣分项，圆满完成迎检任务，为今年廊坊市获得全国文明城市荣誉称号贡献了自己的力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、高质高效完成机构改革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乡镇和街道机构改革工作要求，爱民东道街道党委高度重视，结合街道实际，精心组织，科学安排，机构改革已初见成效。一是成立组织，制定方案。3月13日，召开党政班子会，成立了由党工委书记任组长，主任任副组长，班子成员、相关部门负责人为成员的领导小组，确保机关稳定和改革中各项工作顺利推进。领导小组成立后，对改革的有关政策和办法及街道机关人员的实际情况认真研究，反复斟酌，按照上级规定，结合机关的实际情况，研究出机构设置、定岗方法等详细方案。二是加大投入，完备硬件。建设行政服务大厅总面积153平方米。原设有5个办事窗口和一个咨询台，配有独立办公室三个，共有工位8个。窗口开放，环境整洁，配有必备的电脑、打印机、复印件、显示屏等设备，有固定的公开栏和服务标语，有服务指南和办理流程，工位和工作人员标识醒目，有群众休息的场所、咨询台和意见簿。大厅原有工作人员6名，此次机构改革，将设置民生保障、市场准入、涉军事务、卫生健康、城乡建设等窗口。三是公开选拔，竞争上岗。4月30日，召开党政班子会，对32名参加面试人员进行综合测评，配齐街道9个内设机构22个股级岗位。通过公开选拔，一批素质高、能力强的干部脱颖而出，得到了全街工作人员的认可，产生了积极效果。四是明确分工，强化培训。对照《爱民东道方案》中9个内设机构工作职能，逐条缕清工作内容，明确班子成员分工，将所有工作人员调整到9个内设机构。参加执法培训和监督检查人员培训考试报名42人，5月7日在机关四楼会议室对报名人员进行了现场集中培训，参加集中培训37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、加强社区软硬件建设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质量推进辖区16个社区、120个小区围点攻坚和提升改造工作取得实效。76个无物业小区全部实现道闸落杆，人脸识别系统全部启用，10条背街小巷修整完毕，清理卫生死角1000余处、清理小广告上万条，粉刷楼道十余万平方米，清除违建200余处，增划车位上千个，增加微型消防站60个，悬挂张贴各类公益广告4000余处，使5万人、百万平米的居住环境从根本上实现改观；44个有物业小区全面提高了物业管理水平，提升了小区停车秩序、环境卫生、文明养犬和便民服务工作，配合物业为小区居民提供基本生活服务、安保服务、疫情防控服务等，以智慧化手段打造十五分钟服务圈，实现小区“颜值、内涵”双提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、做好安全生产工作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健全监管责任体系。所辖16个居委会，1000余家在册企业、门店，在年初结合疫情特殊情况及辖区实际，对办事处科股室、社区、企业《安全生产责任书》进行了全面修订，制定了三级责任体系，街道与居委会签订安全生产责任书，居委会与辖区企业门店签订安全生产责任书。主要领导、分管领导带队检查12余次</w:t>
      </w:r>
      <w:bookmarkStart w:id="3" w:name="_GoBack"/>
      <w:bookmarkEnd w:id="3"/>
      <w:r>
        <w:rPr>
          <w:rFonts w:ascii="Times New Roman" w:hAnsi="Times New Roman" w:eastAsia="仿宋_GB2312" w:cs="Times New Roman"/>
          <w:sz w:val="32"/>
          <w:szCs w:val="32"/>
        </w:rPr>
        <w:t>，各包片领导分别带队检查各12余次，安排调度安全生产工作会议12次。二是全面落实整改到位。我办事处《安全生产风险管控与隐患排查治理工作》台账中共17家企业，无风险等级为重大、较大的企业，风险等级为一般的有6家企业，风险等级为低的企业有11家。自查出隐患共32处，均已整改完毕。成立联合检查组对辖区所有涉及领域的企业进行安全生产大检查，共检查300余家，发现一般隐患20余条，并对社区排查的隐患进行再复查，现均已整改完毕。开展安全生产三年行动专项整治，进行集中排查近6次，共出动30余人次，检查企业120余家，发现隐患20处，均已责令整改完毕。三是丰富培训教育知识。制定可行的宣传手段和教育工作方法，把安全生产宣传、教育、培训落到实处，组织辖区企业进行安全生产、消防安全培训，辖区11家企业自行组织消防演练。在“安全生产月宣”传活动，发放相关材料1000余份，企业、居委会等悬挂安全生产条幅30余幅。</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、完成大气治理工作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严格管控涉气企业。针对辖区内现存涉气企业共8家其中6家印刷企业，2家汽修企业。自从自然资源和生态环境办公室六月份成立以来共出动280余次、400余人次每日针对辖区内涉气企业的VOCs设备开启情况，危废物品是否及时收纳危废间及危废台账等进行检查，发现问题现场督导整改。二是加大工地巡查。对北凤道南侧的雨污分流工程、银河领域三期等工地，每日至少巡查1次至2次，确保辖区内施工工地严格按照“6个百分百”进行施工作业，每次巡查过程中认真填写巡查日志，发现违规施工现象立即责令停工整改，整改完毕并通过验收后，才准许复工。三是加强散乱污治理。原有的散乱污企业共17家，现已取缔13家。我街道制定巡查记录表不定期对账内17家企业进行检查，查看是否存在复工复产、偷排漏排等迹象，确保无违规生产情况发生。认真检查平房区内每处角落，确保辖区内平房无散煤无劈柴，切实做到洁净取暖。四是重点管控餐饮油烟。我辖区共有餐饮企业221家。对在监控点一公里范围内餐饮企业共38家每日进行巡查，设立巡查台账，确保油烟净化器清洗记录在有效期内。对其余83家，根据网格员分管划分，每日对2公里以内涉油烟企业，如有发现油烟净化器清洗记录过期，或油烟净化器未开启，现场督导整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、做好综合执法工作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行政执法队成立以来认真贯彻执行上级关于综合行政执法工作的一系列文件精神，积极探索行政执法工作的新思路，努力创新工作机制，不断优化执法环境，拓宽行政执法领域，切实提高了行政执法的针对性和实效性。一是认真学习理论知识。6月5日，按照区司法局《关于组织乡镇和街道行政执法事项专题培训的通知》参加首次培训。9月11日，按照区司法局参加《关于召开行政执法案卷和三项制度培训会的通知》培训，会后执法队积极组织认真学习52项职能、行政执法案卷和三项制度并做好学习笔记。二是与多部门联合执法、学习实践经验。按照《廊坊市广阳区推进乡镇和街道综合行政执法改革过渡期工作方案》要求，将2020年7月27日至2020年9月30日设置为改革过渡期。主持并参与了统建楼市场整治、农兴里居民投诉、峰尚写字楼商户传销等案件，通过与多部门联合执法，实践探索，推进综合行政执法改革，提升了学习执法效率、实现执法全覆盖、树立了执法新品牌，一些经验做法非常值得总结和提炼。三是做好司法相关工作。积极开展学法、用法普法宣传活动，同时做好人民调解、社区矫正、法律援助和刑释解教工作。爱民东道司法所被评为河北省“七五”普法中期先进集体。</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、做好退役军人服务工作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实现软硬件标准化配置。街道本级以及16个社区退役军人服务站统一按照上级要求对人员配置，街道服务站配置有站长1名，工作人员3名，各社区服务站配置有站长1名（由社区书记兼任），1名工作人员（由两委兼任）。档案健全，制度完善。二是完成信息采集以及优待证发放审验工作。本辖区自统退役军人1409人，优待证发放3049人，悬挂光荣牌2720户，包联人数共计179人。完成600多位转制军人采集信息工作。从2020年10月我服务站开始为进行审验，由于我辖区内单位较多，人员较为分散，服务站工作人员积极与各辖区单位负责人联系，完成2400位退役军人以及其他优抚对象优待证审验。三是落实优抚政策。2020年12月我街道退役军人服务站为荣立三等功的退役士官送喜报一次。两次为辖区每位重点优抚对象发放慰问金500元和慰问信，并为辖区内退役军人及现役军人家属发放慰问信1500余份，为49位义务兵家属发放优待金共计1487775元，为119名退役军人建立“五包一”台账。完成认证核查重点优抚对象114人、60岁农村籍士兵13人，为136位优抚对象进行体检。并为重点优抚对象申请医疗救助共计5人次。帮助一位符合条件的低保退役军人申请关爱基金5000元。协助6位退役军人登记了公益性岗位申请。</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、强化社会综合治理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学习《中国共产党政法工作条例》。把学习《中国共产党政法工作条例》作为日常工作的一项重要组成部分，今年上半年以来我街道先后组织班子成员、街道股级干部和社区书记、全体机关人员系统学习条例内容，并通过社区搞活动把学习人员扩大到社区居民，目前取得了一定的效果。二是排查纠纷，做好稳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元旦、春节前后、“两会”、“暑期”等重点期间，组织开展了集中矛盾纠纷排查调处活动，有效化解了大量矛盾纠纷。稳控好8023涉核人员、金吉通重点人员、卓达非法集资人员、退伍兵安置人员、参加自卫反击战人员，未发生一起串联上访和群体访事件。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在“4.25、5.13、7.22”敏感节点各社区一是深入开展反邪教宣传活动，通过发放资料、悬挂标语来宣传，使辖区群众增强反邪教意识和反邪教自觉性。做好铁路安全保卫工作，在</w:t>
      </w:r>
      <w:r>
        <w:rPr>
          <w:rFonts w:hint="eastAsia" w:ascii="Times New Roman" w:hAnsi="Times New Roman" w:eastAsia="仿宋_GB2312" w:cs="Times New Roman"/>
          <w:sz w:val="32"/>
          <w:szCs w:val="32"/>
          <w:lang w:eastAsia="zh-CN"/>
        </w:rPr>
        <w:t>全国两会</w:t>
      </w:r>
      <w:r>
        <w:rPr>
          <w:rFonts w:ascii="Times New Roman" w:hAnsi="Times New Roman" w:eastAsia="仿宋_GB2312" w:cs="Times New Roman"/>
          <w:sz w:val="32"/>
          <w:szCs w:val="32"/>
        </w:rPr>
        <w:t>我街道派专人在京沪铁路71.4-72公里处进行24小时巡护，确保了会议的顺利召开。三是用好“群众说事、干部解题”平台。街道全力推进“群众说事、干部解题”工作机制，成立了领导小组和相关的制度、职责，此工作平台分为线上，线下两个渠道同时运行，群众随时反应遇到的大小问题，平台交办督办，部门协同联动，解决群众的各类问题。线下做好台账管理，各社区成立了“说事室”（16个），并在辖区内设立了“说事厅”（16个）“说事箱”（16个）；线上利用“群众说事、干部解题”平台网格员随时处理各类纠纷问题，截至目前线上共处理58件、线下共处理 55 件。</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numPr>
          <w:ilvl w:val="0"/>
          <w:numId w:val="1"/>
        </w:numPr>
        <w:overflowPunct w:val="0"/>
        <w:adjustRightInd w:val="0"/>
        <w:snapToGrid w:val="0"/>
        <w:spacing w:afterLines="50" w:line="580" w:lineRule="exact"/>
        <w:jc w:val="left"/>
        <w:rPr>
          <w:rFonts w:hint="eastAsia"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W w:w="12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46"/>
        <w:gridCol w:w="1134"/>
        <w:gridCol w:w="1418"/>
        <w:gridCol w:w="1842"/>
        <w:gridCol w:w="2201"/>
        <w:gridCol w:w="776"/>
        <w:gridCol w:w="567"/>
        <w:gridCol w:w="992"/>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1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4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2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33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6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46" w:type="dxa"/>
            <w:vMerge w:val="continue"/>
            <w:tcBorders>
              <w:tl2br w:val="nil"/>
              <w:tr2bl w:val="nil"/>
            </w:tcBorders>
            <w:vAlign w:val="center"/>
          </w:tcPr>
          <w:p/>
        </w:tc>
        <w:tc>
          <w:tcPr>
            <w:tcW w:w="1134" w:type="dxa"/>
            <w:vMerge w:val="continue"/>
            <w:tcBorders>
              <w:tl2br w:val="nil"/>
              <w:tr2bl w:val="nil"/>
            </w:tcBorders>
            <w:vAlign w:val="center"/>
          </w:tcPr>
          <w:p/>
        </w:tc>
        <w:tc>
          <w:tcPr>
            <w:tcW w:w="1418" w:type="dxa"/>
            <w:vMerge w:val="continue"/>
            <w:tcBorders>
              <w:tl2br w:val="nil"/>
              <w:tr2bl w:val="nil"/>
            </w:tcBorders>
            <w:vAlign w:val="center"/>
          </w:tcPr>
          <w:p/>
        </w:tc>
        <w:tc>
          <w:tcPr>
            <w:tcW w:w="1842" w:type="dxa"/>
            <w:vMerge w:val="continue"/>
            <w:tcBorders>
              <w:tl2br w:val="nil"/>
              <w:tr2bl w:val="nil"/>
            </w:tcBorders>
            <w:vAlign w:val="center"/>
          </w:tcPr>
          <w:p/>
        </w:tc>
        <w:tc>
          <w:tcPr>
            <w:tcW w:w="2201" w:type="dxa"/>
            <w:vMerge w:val="continue"/>
            <w:tcBorders>
              <w:tl2br w:val="nil"/>
              <w:tr2bl w:val="nil"/>
            </w:tcBorders>
            <w:vAlign w:val="center"/>
          </w:tcPr>
          <w:p/>
        </w:tc>
        <w:tc>
          <w:tcPr>
            <w:tcW w:w="77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9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68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restart"/>
            <w:tcBorders>
              <w:tl2br w:val="nil"/>
              <w:tr2bl w:val="nil"/>
            </w:tcBorders>
            <w:vAlign w:val="center"/>
          </w:tcPr>
          <w:p>
            <w:pPr>
              <w:rPr>
                <w:rFonts w:cs="Calibri"/>
                <w:color w:val="000000"/>
                <w:sz w:val="22"/>
              </w:rPr>
            </w:pPr>
            <w:r>
              <w:rPr>
                <w:rFonts w:cs="Calibri"/>
                <w:color w:val="000000"/>
                <w:sz w:val="22"/>
              </w:rPr>
              <w:t>部门产出</w:t>
            </w:r>
          </w:p>
        </w:tc>
        <w:tc>
          <w:tcPr>
            <w:tcW w:w="1134" w:type="dxa"/>
            <w:tcBorders>
              <w:tl2br w:val="nil"/>
              <w:tr2bl w:val="nil"/>
            </w:tcBorders>
            <w:vAlign w:val="center"/>
          </w:tcPr>
          <w:p>
            <w:pPr>
              <w:rPr>
                <w:rFonts w:cs="Calibri"/>
                <w:color w:val="000000"/>
                <w:sz w:val="22"/>
              </w:rPr>
            </w:pPr>
            <w:r>
              <w:rPr>
                <w:rFonts w:cs="Calibri"/>
                <w:color w:val="000000"/>
                <w:sz w:val="22"/>
              </w:rPr>
              <w:t>数量</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考核人数</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此项20分，每少1人扣1分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按计划应参加年终考核人数</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考核合格率</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质量</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到位率</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此项20分，每少1%扣0.20</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社会保险补贴资金实际发放资金/应发放资金总额</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资产发放情况</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时效</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经费保障率</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此项20分，没延时一次扣1分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社会保险补贴资金按要求实施进度支付</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w:t>
            </w:r>
          </w:p>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描述</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按时发放</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补贴按时发放</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成本</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资金成本</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此项20分，每超出预算额的1%扣1分</w:t>
            </w:r>
          </w:p>
          <w:p>
            <w:pPr>
              <w:rPr>
                <w:rFonts w:hint="eastAsia" w:ascii="仿宋_GB2312" w:hAnsi="仿宋_GB2312" w:eastAsia="仿宋_GB2312" w:cs="仿宋_GB2312"/>
                <w:color w:val="000000"/>
                <w:sz w:val="21"/>
                <w:szCs w:val="21"/>
              </w:rPr>
            </w:pP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各个专项支出额度小于等于预算额度</w:t>
            </w:r>
          </w:p>
        </w:tc>
        <w:tc>
          <w:tcPr>
            <w:tcW w:w="776" w:type="dxa"/>
            <w:tcBorders>
              <w:tl2br w:val="nil"/>
              <w:tr2bl w:val="nil"/>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adjustRightInd w:val="0"/>
              <w:snapToGrid w:val="0"/>
              <w:jc w:val="center"/>
              <w:rPr>
                <w:rFonts w:hint="eastAsia" w:ascii="仿宋_GB2312" w:hAnsi="仿宋_GB2312" w:eastAsia="仿宋_GB2312" w:cs="仿宋_GB2312"/>
                <w:sz w:val="21"/>
                <w:szCs w:val="21"/>
              </w:rPr>
            </w:pP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预算额度</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restart"/>
            <w:tcBorders>
              <w:tl2br w:val="nil"/>
              <w:tr2bl w:val="nil"/>
            </w:tcBorders>
            <w:vAlign w:val="center"/>
          </w:tcPr>
          <w:p>
            <w:pPr>
              <w:rPr>
                <w:rFonts w:cs="Calibri"/>
                <w:color w:val="000000"/>
                <w:sz w:val="22"/>
              </w:rPr>
            </w:pPr>
            <w:r>
              <w:rPr>
                <w:rFonts w:cs="Calibri"/>
                <w:color w:val="000000"/>
                <w:sz w:val="22"/>
              </w:rPr>
              <w:t>部门</w:t>
            </w:r>
            <w:r>
              <w:rPr>
                <w:rFonts w:hint="eastAsia" w:cs="Calibri"/>
                <w:color w:val="000000"/>
                <w:sz w:val="22"/>
              </w:rPr>
              <w:t>效果</w:t>
            </w:r>
          </w:p>
        </w:tc>
        <w:tc>
          <w:tcPr>
            <w:tcW w:w="1134" w:type="dxa"/>
            <w:tcBorders>
              <w:tl2br w:val="nil"/>
              <w:tr2bl w:val="nil"/>
            </w:tcBorders>
            <w:vAlign w:val="center"/>
          </w:tcPr>
          <w:p>
            <w:pPr>
              <w:rPr>
                <w:rFonts w:cs="Calibri"/>
                <w:color w:val="000000"/>
                <w:sz w:val="22"/>
              </w:rPr>
            </w:pPr>
            <w:r>
              <w:rPr>
                <w:rFonts w:cs="Calibri"/>
                <w:color w:val="000000"/>
                <w:sz w:val="22"/>
              </w:rPr>
              <w:t>社会</w:t>
            </w:r>
          </w:p>
          <w:p>
            <w:pPr>
              <w:rPr>
                <w:rFonts w:cs="Calibri"/>
                <w:color w:val="000000"/>
                <w:sz w:val="22"/>
              </w:rPr>
            </w:pPr>
            <w:r>
              <w:rPr>
                <w:rFonts w:cs="Calibri"/>
                <w:color w:val="000000"/>
                <w:sz w:val="22"/>
              </w:rPr>
              <w:t>效益</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思想政治工作稳步提高</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此项10分 基本实现目标80%-100%，部分实现目标60%-80%，实现目标较低不得分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抓工作实效，创新突破</w:t>
            </w:r>
          </w:p>
          <w:p>
            <w:pPr>
              <w:widowControl/>
              <w:adjustRightInd w:val="0"/>
              <w:snapToGrid w:val="0"/>
              <w:rPr>
                <w:rFonts w:hint="eastAsia" w:ascii="仿宋_GB2312" w:hAnsi="仿宋_GB2312" w:eastAsia="仿宋_GB2312" w:cs="仿宋_GB2312"/>
                <w:sz w:val="21"/>
                <w:szCs w:val="21"/>
              </w:rPr>
            </w:pP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w:t>
            </w:r>
          </w:p>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描述</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稳步提高</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街区干部思想政治稳步提升</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hint="eastAsia" w:cs="Calibri"/>
                <w:color w:val="000000"/>
                <w:sz w:val="22"/>
              </w:rPr>
              <w:t>满意度</w:t>
            </w:r>
          </w:p>
        </w:tc>
        <w:tc>
          <w:tcPr>
            <w:tcW w:w="1418"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职工满意度</w:t>
            </w:r>
          </w:p>
          <w:p>
            <w:pPr>
              <w:rPr>
                <w:rFonts w:hint="eastAsia" w:ascii="仿宋_GB2312" w:hAnsi="仿宋_GB2312" w:eastAsia="仿宋_GB2312" w:cs="仿宋_GB2312"/>
                <w:color w:val="000000"/>
                <w:sz w:val="21"/>
                <w:szCs w:val="21"/>
              </w:rPr>
            </w:pPr>
          </w:p>
        </w:tc>
        <w:tc>
          <w:tcPr>
            <w:tcW w:w="1842"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此项10分，每少1%扣0.2分</w:t>
            </w:r>
          </w:p>
        </w:tc>
        <w:tc>
          <w:tcPr>
            <w:tcW w:w="2201"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机关工作人员对办公条件满意度</w:t>
            </w:r>
          </w:p>
        </w:tc>
        <w:tc>
          <w:tcPr>
            <w:tcW w:w="776" w:type="dxa"/>
            <w:tcBorders>
              <w:tl2br w:val="nil"/>
              <w:tr2bl w:val="nil"/>
            </w:tcBorders>
            <w:vAlign w:val="center"/>
          </w:tcPr>
          <w:tbl>
            <w:tblPr>
              <w:tblStyle w:val="8"/>
              <w:tblW w:w="6880" w:type="dxa"/>
              <w:tblInd w:w="0" w:type="dxa"/>
              <w:tblLayout w:type="fixed"/>
              <w:tblCellMar>
                <w:top w:w="0" w:type="dxa"/>
                <w:left w:w="108" w:type="dxa"/>
                <w:bottom w:w="0" w:type="dxa"/>
                <w:right w:w="108" w:type="dxa"/>
              </w:tblCellMar>
            </w:tblPr>
            <w:tblGrid>
              <w:gridCol w:w="1720"/>
              <w:gridCol w:w="1040"/>
              <w:gridCol w:w="2060"/>
              <w:gridCol w:w="2060"/>
            </w:tblGrid>
            <w:tr>
              <w:tblPrEx>
                <w:tblCellMar>
                  <w:top w:w="0" w:type="dxa"/>
                  <w:left w:w="108" w:type="dxa"/>
                  <w:bottom w:w="0" w:type="dxa"/>
                  <w:right w:w="108" w:type="dxa"/>
                </w:tblCellMar>
              </w:tblPrEx>
              <w:trPr>
                <w:trHeight w:val="330" w:hRule="atLeast"/>
              </w:trPr>
              <w:tc>
                <w:tcPr>
                  <w:tcW w:w="172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04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90</w:t>
                  </w:r>
                </w:p>
              </w:tc>
              <w:tc>
                <w:tcPr>
                  <w:tcW w:w="206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6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机关工作人员满意</w:t>
                  </w:r>
                </w:p>
              </w:tc>
            </w:tr>
          </w:tbl>
          <w:p>
            <w:pPr>
              <w:widowControl/>
              <w:adjustRightInd w:val="0"/>
              <w:snapToGrid w:val="0"/>
              <w:rPr>
                <w:rFonts w:hint="eastAsia" w:ascii="仿宋_GB2312" w:hAnsi="仿宋_GB2312" w:eastAsia="仿宋_GB2312" w:cs="仿宋_GB2312"/>
                <w:sz w:val="21"/>
                <w:szCs w:val="21"/>
              </w:rPr>
            </w:pPr>
          </w:p>
        </w:tc>
        <w:tc>
          <w:tcPr>
            <w:tcW w:w="56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p>
            <w:pPr>
              <w:widowControl/>
              <w:adjustRightInd w:val="0"/>
              <w:snapToGrid w:val="0"/>
              <w:rPr>
                <w:rFonts w:hint="eastAsia" w:ascii="仿宋_GB2312" w:hAnsi="仿宋_GB2312" w:eastAsia="仿宋_GB2312" w:cs="仿宋_GB2312"/>
                <w:sz w:val="21"/>
                <w:szCs w:val="21"/>
              </w:rPr>
            </w:pPr>
          </w:p>
        </w:tc>
        <w:tc>
          <w:tcPr>
            <w:tcW w:w="99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adjustRightInd w:val="0"/>
              <w:snapToGrid w:val="0"/>
              <w:rPr>
                <w:rFonts w:hint="eastAsia" w:ascii="仿宋_GB2312" w:hAnsi="仿宋_GB2312" w:eastAsia="仿宋_GB2312" w:cs="仿宋_GB2312"/>
                <w:sz w:val="21"/>
                <w:szCs w:val="21"/>
              </w:rPr>
            </w:pP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机关工作人员满意</w:t>
            </w:r>
          </w:p>
          <w:p>
            <w:pPr>
              <w:widowControl/>
              <w:adjustRightInd w:val="0"/>
              <w:snapToGrid w:val="0"/>
              <w:rPr>
                <w:rFonts w:hint="eastAsia" w:ascii="仿宋_GB2312" w:hAnsi="仿宋_GB2312" w:eastAsia="仿宋_GB2312" w:cs="仿宋_GB2312"/>
                <w:sz w:val="21"/>
                <w:szCs w:val="21"/>
              </w:rPr>
            </w:pP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1.""保证街道的日常工作的正常运转，取暖、慰问的办公经费。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保障办公人数</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保障办公人数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≥112人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反映保障办公人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经费保障及时性</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经费保障及时性</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日常公用支出</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日常公用支出</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≤60万</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保障日常办公需要，维持单位正常运转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保障单位正常运转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维持单位正常运转</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日常办公保障满意度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机关工作人员对日常办公保障满意度</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问询</w:t>
            </w:r>
          </w:p>
        </w:tc>
      </w:tr>
    </w:tbl>
    <w:p>
      <w:pPr>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社区党组织服务群众专项经费[区级]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1."提社区级组织服务群众能力，加强社区综合服务站日常运转，加强公共设施维护。"</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需要经费予以保障的村街数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16社区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反映各项服务群众工作保障情况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反映及时保障各项服务群众办公需要情况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资金成本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反映社区组织服务群众经费单位成本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15万元/年/社区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社区正常运转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反映社区正常运转情况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辖区社区居民满意度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调查中对社区服务群众活动满意和较满意社区数占调查总人数的比率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 xml:space="preserve"> 社区工作经费[区级]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1."维持社区组织正常运转，提升社区组织服务群众能力，提高社区组织办事效率。"</w:t>
            </w:r>
          </w:p>
          <w:p>
            <w:pPr>
              <w:spacing w:line="400" w:lineRule="exact"/>
              <w:rPr>
                <w:rFonts w:hint="eastAsia" w:ascii="仿宋_GB2312" w:hAnsi="仿宋_GB2312" w:eastAsia="仿宋_GB2312" w:cs="仿宋_GB2312"/>
                <w:b/>
              </w:rPr>
            </w:pPr>
            <w:r>
              <w:rPr>
                <w:rFonts w:hint="eastAsia" w:ascii="仿宋_GB2312" w:hAnsi="仿宋_GB2312" w:eastAsia="仿宋_GB2312" w:cs="仿宋_GB2312"/>
              </w:rPr>
              <w:t>2.保障社区组织办公正常运转，按时按季度发放社区组织办公经费。</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需要经费予以保障的社区数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16社区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反映及时保障各项日常办公需要情况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单位成本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反映村级组织办公经费单位成本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10万元/年/社区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社区服务水平提高</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反映社区正常运转情况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辖区社区居民满意度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调查中对社区办公活动满意和较满意社区数占调查总人数的比率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color w:val="000000"/>
          <w:sz w:val="28"/>
        </w:rPr>
        <w:t>社区楼门长工作经费</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612"/>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1."通过发放楼门长补贴，实现群众参与社区管理，提高社会管理服务效能，进一步完善社区治理体系，提升基层党组织建设和管理服务水平。"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rPr>
              <w:t>2.通过发放楼门长补贴，达到积极引导广大居民群众主动参与基层社会治理，切实发挥居民小区楼门长作用。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1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3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补贴保障人数</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享受此项待遇人员数</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＝760人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发放覆盖率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反映资金发放覆盖情况</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补贴发放及时率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反应补贴发放及时情况</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有物业小区楼门长补贴标准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有物业小区单元长补贴标准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无物业小区楼门长补贴标准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无物业小区单元长、有物业小区楼门长补贴标准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无物业小区单元长、有物业小区楼门长补贴标准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提高楼门长工作积极性</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反应提高楼门长工作积极性程度</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386"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受补贴人员满意度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满意人员与总人数的比率</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386"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ind w:firstLine="560" w:firstLineChars="200"/>
        <w:jc w:val="left"/>
        <w:outlineLvl w:val="1"/>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color w:val="000000"/>
          <w:sz w:val="28"/>
        </w:rPr>
        <w:t>5.社区招聘人员经费[区级]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2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53"/>
        <w:gridCol w:w="2892"/>
        <w:gridCol w:w="2855"/>
        <w:gridCol w:w="2187"/>
        <w:gridCol w:w="3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52"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1."维持社区组织正常运转，提升社区组织服务群众能力，提高社区组织办事效率。"</w:t>
            </w:r>
          </w:p>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rPr>
              <w:t>2.按时按标准发放工资福利等，进一步增强干部职工得归属感，保持干部队伍相对稳定，保障办公正常运转，及时缴纳社会保险，确保人员稳定。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53"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89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5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18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16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1" w:hRule="atLeast"/>
          <w:jc w:val="center"/>
        </w:trPr>
        <w:tc>
          <w:tcPr>
            <w:tcW w:w="1375"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112人</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工资的足额发放率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足额发放人数与总人数比率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社会保险的申报率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保险申报人数与总人数比率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工资及时发放率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工资发放的时效情况</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社会保险及时缴纳率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社会保险缴纳的时效情况</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人均工资及保险成本</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每人每年工资及保险平均数</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≤8.16万元/年/人</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社区工作水平有所提高</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通过按时按标准发放工资福利等，进一步增强干部职工得归属感，保持干部队伍相对稳定，保障办公正常运转，社区工作水平有所提高</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社区聘用人员满意度</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满意人员与总人数的比率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color w:val="000000"/>
          <w:sz w:val="28"/>
        </w:rPr>
        <w:t>6.疫情防控无物业小区卡口人员经费</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1.有效防止疫情输入，实现0病例，守护辖区居民的生命安全。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spacing w:line="4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卡口数量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卡口数量</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62个</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疫情卡口覆盖率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覆盖率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值守记录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补贴按时发放</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按时发放</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补贴标准</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每人每天400元（24小时）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廊广爱政字【2021】40号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做好疫情防控工作，维护社会平安稳定</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平安稳定，实现0病例</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平安稳定</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本辖区疫情情况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居民满意度</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1613.24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kern w:val="0"/>
                <w:sz w:val="22"/>
                <w:lang w:val="en-US" w:eastAsia="zh-CN"/>
              </w:rPr>
              <w:t>爱民东道街道办事处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1613.24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127.56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243.57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DE34E"/>
    <w:multiLevelType w:val="singleLevel"/>
    <w:tmpl w:val="26ADE3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6520B"/>
    <w:rsid w:val="000F6018"/>
    <w:rsid w:val="00237305"/>
    <w:rsid w:val="002452DA"/>
    <w:rsid w:val="0025632D"/>
    <w:rsid w:val="002F0956"/>
    <w:rsid w:val="003059E0"/>
    <w:rsid w:val="003B1851"/>
    <w:rsid w:val="003B1D20"/>
    <w:rsid w:val="003F14D3"/>
    <w:rsid w:val="004A54AA"/>
    <w:rsid w:val="00512A8C"/>
    <w:rsid w:val="005C16CB"/>
    <w:rsid w:val="006701E0"/>
    <w:rsid w:val="007079A7"/>
    <w:rsid w:val="007F0384"/>
    <w:rsid w:val="00902488"/>
    <w:rsid w:val="00944233"/>
    <w:rsid w:val="009B179B"/>
    <w:rsid w:val="00B40732"/>
    <w:rsid w:val="00B80935"/>
    <w:rsid w:val="00C75935"/>
    <w:rsid w:val="00C85C76"/>
    <w:rsid w:val="00D347CC"/>
    <w:rsid w:val="00D3507B"/>
    <w:rsid w:val="00DB20AE"/>
    <w:rsid w:val="00DC72B4"/>
    <w:rsid w:val="00ED1ECE"/>
    <w:rsid w:val="071D227B"/>
    <w:rsid w:val="0CEC1180"/>
    <w:rsid w:val="16181CAA"/>
    <w:rsid w:val="23266DCC"/>
    <w:rsid w:val="23A32E03"/>
    <w:rsid w:val="34E07BF6"/>
    <w:rsid w:val="44E529A6"/>
    <w:rsid w:val="6B29789A"/>
    <w:rsid w:val="6DE82E29"/>
    <w:rsid w:val="73693C55"/>
    <w:rsid w:val="7AA81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2172</Words>
  <Characters>12383</Characters>
  <Lines>103</Lines>
  <Paragraphs>29</Paragraphs>
  <TotalTime>9011</TotalTime>
  <ScaleCrop>false</ScaleCrop>
  <LinksUpToDate>false</LinksUpToDate>
  <CharactersWithSpaces>14526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2024-05-16T06:34:07Z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EBD381EE7DC948BFA2B2B07A0FC38519</vt:lpwstr>
  </property>
</Properties>
</file>