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eastAsia="仿宋"/>
          <w:color w:val="000000"/>
          <w:sz w:val="96"/>
          <w:szCs w:val="96"/>
        </w:rPr>
      </w:pPr>
    </w:p>
    <w:p>
      <w:pPr>
        <w:widowControl/>
        <w:spacing w:line="1200" w:lineRule="exact"/>
        <w:jc w:val="center"/>
        <w:rPr>
          <w:rFonts w:eastAsia="仿宋"/>
          <w:color w:val="000000"/>
          <w:sz w:val="96"/>
          <w:szCs w:val="96"/>
        </w:rPr>
      </w:pPr>
    </w:p>
    <w:p>
      <w:pPr>
        <w:widowControl/>
        <w:spacing w:line="1200" w:lineRule="exact"/>
        <w:jc w:val="center"/>
        <w:rPr>
          <w:rFonts w:hint="eastAsia" w:ascii="黑体" w:eastAsia="黑体"/>
          <w:color w:val="000000"/>
          <w:sz w:val="96"/>
          <w:szCs w:val="96"/>
        </w:rPr>
      </w:pPr>
      <w:r>
        <w:rPr>
          <w:rFonts w:hint="eastAsia" w:ascii="黑体" w:eastAsia="黑体"/>
          <w:sz w:val="84"/>
          <w:szCs w:val="84"/>
        </w:rPr>
        <w:t>2018年度部门决算公开</w:t>
      </w:r>
    </w:p>
    <w:p>
      <w:pPr>
        <w:widowControl/>
        <w:jc w:val="center"/>
        <w:rPr>
          <w:rFonts w:eastAsia="仿宋"/>
          <w:color w:val="002060"/>
          <w:sz w:val="72"/>
          <w:szCs w:val="72"/>
        </w:rPr>
      </w:pPr>
    </w:p>
    <w:p>
      <w:pPr>
        <w:widowControl/>
        <w:jc w:val="center"/>
        <w:rPr>
          <w:rFonts w:eastAsia="仿宋"/>
          <w:b/>
          <w:sz w:val="72"/>
          <w:szCs w:val="72"/>
        </w:rPr>
      </w:pPr>
    </w:p>
    <w:p>
      <w:pPr>
        <w:widowControl/>
        <w:jc w:val="center"/>
        <w:rPr>
          <w:rFonts w:eastAsia="仿宋"/>
          <w:b/>
          <w:sz w:val="72"/>
          <w:szCs w:val="72"/>
        </w:rPr>
      </w:pPr>
    </w:p>
    <w:p>
      <w:pPr>
        <w:widowControl/>
        <w:jc w:val="center"/>
        <w:rPr>
          <w:rFonts w:eastAsia="仿宋"/>
          <w:b/>
          <w:sz w:val="72"/>
          <w:szCs w:val="72"/>
        </w:rPr>
      </w:pPr>
    </w:p>
    <w:p>
      <w:pPr>
        <w:widowControl/>
        <w:jc w:val="center"/>
        <w:rPr>
          <w:rFonts w:eastAsia="仿宋"/>
          <w:b/>
          <w:sz w:val="72"/>
          <w:szCs w:val="72"/>
        </w:rPr>
      </w:pPr>
    </w:p>
    <w:p>
      <w:pPr>
        <w:widowControl/>
        <w:jc w:val="center"/>
        <w:rPr>
          <w:rFonts w:eastAsia="仿宋"/>
          <w:b/>
          <w:color w:val="000000"/>
          <w:sz w:val="72"/>
          <w:szCs w:val="72"/>
          <w:shd w:val="clear" w:color="FFFFFF" w:fill="D9D9D9"/>
        </w:rPr>
      </w:pPr>
    </w:p>
    <w:p>
      <w:pPr>
        <w:jc w:val="center"/>
        <w:rPr>
          <w:rFonts w:ascii="仿宋" w:eastAsia="仿宋" w:cs="仿宋"/>
          <w:b/>
          <w:spacing w:val="-4"/>
          <w:kern w:val="0"/>
          <w:sz w:val="44"/>
          <w:szCs w:val="44"/>
        </w:rPr>
      </w:pPr>
      <w:r>
        <w:rPr>
          <w:rFonts w:hint="eastAsia" w:ascii="仿宋" w:eastAsia="仿宋" w:cs="仿宋"/>
          <w:b/>
          <w:spacing w:val="-4"/>
          <w:kern w:val="0"/>
          <w:sz w:val="44"/>
          <w:szCs w:val="44"/>
        </w:rPr>
        <w:t>廊坊市广阳区水务局</w:t>
      </w:r>
    </w:p>
    <w:p>
      <w:pPr>
        <w:rPr>
          <w:rFonts w:eastAsia="仿宋"/>
        </w:rPr>
      </w:pPr>
    </w:p>
    <w:p>
      <w:pPr>
        <w:rPr>
          <w:rFonts w:eastAsia="仿宋"/>
        </w:rPr>
      </w:pPr>
    </w:p>
    <w:p>
      <w:pPr>
        <w:rPr>
          <w:rFonts w:eastAsia="仿宋"/>
        </w:rPr>
      </w:pPr>
    </w:p>
    <w:p>
      <w:pPr>
        <w:rPr>
          <w:rFonts w:eastAsia="仿宋"/>
        </w:rPr>
      </w:pPr>
    </w:p>
    <w:p>
      <w:pPr>
        <w:rPr>
          <w:rFonts w:eastAsia="仿宋"/>
        </w:rPr>
      </w:pPr>
    </w:p>
    <w:p>
      <w:pPr>
        <w:widowControl/>
        <w:jc w:val="center"/>
        <w:rPr>
          <w:rFonts w:hint="eastAsia" w:ascii="黑体" w:eastAsia="黑体"/>
          <w:color w:val="000000"/>
          <w:sz w:val="72"/>
          <w:szCs w:val="72"/>
        </w:rPr>
      </w:pPr>
      <w:r>
        <w:rPr>
          <w:rFonts w:hint="eastAsia" w:ascii="黑体" w:eastAsia="黑体"/>
          <w:color w:val="000000"/>
          <w:sz w:val="72"/>
          <w:szCs w:val="72"/>
        </w:rPr>
        <w:t>第一部分  部门概况</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pStyle w:val="2"/>
        <w:spacing w:before="0" w:after="0" w:line="600" w:lineRule="exact"/>
        <w:ind w:firstLine="640" w:firstLineChars="200"/>
        <w:jc w:val="left"/>
        <w:rPr>
          <w:rFonts w:eastAsia="仿宋"/>
          <w:b w:val="0"/>
          <w:bCs w:val="0"/>
          <w:kern w:val="0"/>
          <w:sz w:val="32"/>
          <w:szCs w:val="32"/>
        </w:rPr>
      </w:pPr>
      <w:r>
        <w:rPr>
          <w:rFonts w:eastAsia="仿宋"/>
          <w:b w:val="0"/>
          <w:bCs w:val="0"/>
          <w:kern w:val="0"/>
          <w:sz w:val="32"/>
          <w:szCs w:val="32"/>
        </w:rPr>
        <w:t>一、部门职责</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pacing w:val="-4"/>
          <w:sz w:val="32"/>
          <w:szCs w:val="32"/>
        </w:rPr>
      </w:pPr>
      <w:r>
        <w:rPr>
          <w:rFonts w:ascii="Times New Roman" w:hAnsi="Times New Roman" w:eastAsia="仿宋" w:cs="Times New Roman"/>
          <w:sz w:val="32"/>
          <w:szCs w:val="32"/>
        </w:rPr>
        <w:t>1</w:t>
      </w:r>
      <w:r>
        <w:rPr>
          <w:rFonts w:ascii="Times New Roman" w:hAnsi="Times New Roman" w:eastAsia="仿宋" w:cs="Times New Roman"/>
          <w:spacing w:val="-4"/>
          <w:sz w:val="32"/>
          <w:szCs w:val="32"/>
        </w:rPr>
        <w:t>、拟定全区水利工作的方针政策、发展战略中长期规划和年度计划，组织起草与国家有关法律、规章相配套的地方性文件并监督实施。</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2、统一管理全区水资源（含空中水、地表水、地下水）。组织拟定全区水长期供求计划、水量分配方案并监督实施；组织有关国民经济总体规划、全区规划及重大建设项目的水资源和防洪论证工作；组织实施取水许可制度和水资源费征收制度；发布全区水资源公报。</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3、拟定在行政区域内节约用水政策，编制节约用水规划，制订有关标准，组织、指导和监督全区节约用水工作。</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4、按照国家资源与环境保护的有关法律法规和标准，拟定水资源保护规划；组织水功能区划分和向不同功能区水域排污的控制；监测江河湖库水量、水质，审定水域纳污能力，提出限制排污总量的意见。</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5、组织、指导水政监察和水行政执法。协调并仲裁部门间水事纠纷。</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6、拟定全区水利行业经济调节措施；对水利资金的使用进行宏观调节；指导水利行业供水和多种经营工作；贯彻执行国家有关水利的资产、价费、税收、信贷、财务等政策，配合有关部门制定本市政策并组织实施；按照国家有关规定监督管理水利系统国有资产。</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7、负责全区大中型水利基建项目建议书、可行性报告和初步设计的编制、审查、报批；组织重点水利科学研究和技术推广。</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8、组织、指导全区水利设施、水域及其岸线的管理与保护；组织指导主要河道、滩涂的治理和开发；负责全区水利工程建设的行业管理；组织建设和管理具有控制性的重要水利工程。</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9、指导全区农村水利工作；组织协调农田水利基本建设、城乡供水和农村水利社会化服务体系建设。</w:t>
      </w:r>
    </w:p>
    <w:p>
      <w:pPr>
        <w:pStyle w:val="11"/>
        <w:widowControl w:val="0"/>
        <w:spacing w:before="0" w:beforeAutospacing="0" w:after="0" w:afterAutospacing="0" w:line="600" w:lineRule="exact"/>
        <w:ind w:left="-10" w:leftChars="-5"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10、组织全区水土保持工作；研究制定水土保持规划，组织水土流失的监测和综合防治。</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11、负责水利方面科技、外事工作；指导全区水利队伍建设。</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 w:val="32"/>
          <w:szCs w:val="32"/>
        </w:rPr>
      </w:pPr>
      <w:r>
        <w:rPr>
          <w:rFonts w:ascii="Times New Roman" w:hAnsi="Times New Roman" w:eastAsia="仿宋" w:cs="Times New Roman"/>
          <w:sz w:val="32"/>
          <w:szCs w:val="32"/>
        </w:rPr>
        <w:t>12、承担区防汛抗旱指挥部的日常工作。组织、协调、监督、指导全区防汛抗旱工作，对主要防洪排涝河道和重要水利工程实施防汛抗旱调度。</w:t>
      </w:r>
    </w:p>
    <w:p>
      <w:pPr>
        <w:pStyle w:val="11"/>
        <w:widowControl w:val="0"/>
        <w:spacing w:before="0" w:beforeAutospacing="0" w:after="0" w:afterAutospacing="0" w:line="600" w:lineRule="exact"/>
        <w:ind w:firstLine="640" w:firstLineChars="200"/>
        <w:jc w:val="both"/>
        <w:rPr>
          <w:rFonts w:ascii="Times New Roman" w:hAnsi="Times New Roman" w:eastAsia="仿宋" w:cs="Times New Roman"/>
          <w:szCs w:val="32"/>
        </w:rPr>
      </w:pPr>
      <w:r>
        <w:rPr>
          <w:rFonts w:ascii="Times New Roman" w:hAnsi="Times New Roman" w:eastAsia="仿宋" w:cs="Times New Roman"/>
          <w:sz w:val="32"/>
          <w:szCs w:val="32"/>
        </w:rPr>
        <w:t>13、承办区政府交办的其它事项。</w:t>
      </w:r>
    </w:p>
    <w:p>
      <w:pPr>
        <w:pStyle w:val="2"/>
        <w:spacing w:before="0" w:after="0" w:line="600" w:lineRule="exact"/>
        <w:ind w:firstLine="640" w:firstLineChars="200"/>
        <w:jc w:val="left"/>
        <w:rPr>
          <w:rFonts w:eastAsia="仿宋"/>
          <w:b w:val="0"/>
          <w:bCs w:val="0"/>
          <w:kern w:val="0"/>
          <w:sz w:val="32"/>
          <w:szCs w:val="32"/>
        </w:rPr>
      </w:pPr>
      <w:r>
        <w:rPr>
          <w:rFonts w:eastAsia="仿宋"/>
          <w:b w:val="0"/>
          <w:bCs w:val="0"/>
          <w:kern w:val="0"/>
          <w:sz w:val="32"/>
          <w:szCs w:val="32"/>
        </w:rPr>
        <w:t>二、机构设置</w:t>
      </w:r>
    </w:p>
    <w:p>
      <w:pPr>
        <w:spacing w:after="0" w:line="560" w:lineRule="exact"/>
        <w:ind w:firstLine="640" w:firstLineChars="200"/>
        <w:rPr>
          <w:rFonts w:eastAsia="仿宋"/>
          <w:kern w:val="0"/>
          <w:sz w:val="32"/>
          <w:szCs w:val="32"/>
        </w:rPr>
      </w:pPr>
      <w:r>
        <w:rPr>
          <w:rFonts w:eastAsia="仿宋"/>
          <w:kern w:val="0"/>
          <w:sz w:val="32"/>
          <w:szCs w:val="32"/>
        </w:rPr>
        <w:t>从决算编报单位构成看，纳入2018 年度本部门决算汇编范围的独立核算单位（以下简称“单位”）共1个，具体情况如下：</w:t>
      </w:r>
    </w:p>
    <w:tbl>
      <w:tblPr>
        <w:tblStyle w:val="13"/>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3638"/>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832" w:type="dxa"/>
            <w:vAlign w:val="center"/>
          </w:tcPr>
          <w:p>
            <w:pPr>
              <w:spacing w:after="0" w:line="560" w:lineRule="exact"/>
              <w:jc w:val="center"/>
              <w:rPr>
                <w:rFonts w:eastAsia="仿宋"/>
                <w:b/>
                <w:bCs/>
                <w:kern w:val="0"/>
                <w:sz w:val="28"/>
                <w:szCs w:val="28"/>
              </w:rPr>
            </w:pPr>
            <w:r>
              <w:rPr>
                <w:rFonts w:eastAsia="仿宋"/>
                <w:b/>
                <w:bCs/>
                <w:kern w:val="0"/>
                <w:sz w:val="28"/>
                <w:szCs w:val="28"/>
              </w:rPr>
              <w:t>序号</w:t>
            </w:r>
          </w:p>
        </w:tc>
        <w:tc>
          <w:tcPr>
            <w:tcW w:w="3638" w:type="dxa"/>
            <w:vAlign w:val="center"/>
          </w:tcPr>
          <w:p>
            <w:pPr>
              <w:spacing w:after="0" w:line="560" w:lineRule="exact"/>
              <w:jc w:val="center"/>
              <w:rPr>
                <w:rFonts w:eastAsia="仿宋"/>
                <w:b/>
                <w:bCs/>
                <w:kern w:val="0"/>
                <w:sz w:val="28"/>
                <w:szCs w:val="28"/>
              </w:rPr>
            </w:pPr>
            <w:r>
              <w:rPr>
                <w:rFonts w:eastAsia="仿宋"/>
                <w:b/>
                <w:bCs/>
                <w:kern w:val="0"/>
                <w:sz w:val="28"/>
                <w:szCs w:val="28"/>
              </w:rPr>
              <w:t>单位名称</w:t>
            </w:r>
          </w:p>
        </w:tc>
        <w:tc>
          <w:tcPr>
            <w:tcW w:w="2445" w:type="dxa"/>
            <w:vAlign w:val="center"/>
          </w:tcPr>
          <w:p>
            <w:pPr>
              <w:spacing w:after="0" w:line="560" w:lineRule="exact"/>
              <w:jc w:val="center"/>
              <w:rPr>
                <w:rFonts w:eastAsia="仿宋"/>
                <w:b/>
                <w:bCs/>
                <w:kern w:val="0"/>
                <w:sz w:val="28"/>
                <w:szCs w:val="28"/>
              </w:rPr>
            </w:pPr>
            <w:r>
              <w:rPr>
                <w:rFonts w:eastAsia="仿宋"/>
                <w:b/>
                <w:bCs/>
                <w:kern w:val="0"/>
                <w:sz w:val="28"/>
                <w:szCs w:val="28"/>
              </w:rPr>
              <w:t>单位基本性质</w:t>
            </w:r>
          </w:p>
        </w:tc>
        <w:tc>
          <w:tcPr>
            <w:tcW w:w="2665" w:type="dxa"/>
            <w:vAlign w:val="center"/>
          </w:tcPr>
          <w:p>
            <w:pPr>
              <w:spacing w:after="0" w:line="560" w:lineRule="exact"/>
              <w:jc w:val="center"/>
              <w:rPr>
                <w:rFonts w:eastAsia="仿宋"/>
                <w:b/>
                <w:bCs/>
                <w:kern w:val="0"/>
                <w:sz w:val="28"/>
                <w:szCs w:val="28"/>
              </w:rPr>
            </w:pPr>
            <w:r>
              <w:rPr>
                <w:rFonts w:eastAsia="仿宋"/>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832" w:type="dxa"/>
          </w:tcPr>
          <w:p>
            <w:pPr>
              <w:spacing w:after="0" w:line="560" w:lineRule="exact"/>
              <w:jc w:val="center"/>
              <w:rPr>
                <w:rFonts w:eastAsia="仿宋"/>
                <w:kern w:val="0"/>
                <w:sz w:val="28"/>
                <w:szCs w:val="28"/>
              </w:rPr>
            </w:pPr>
            <w:r>
              <w:rPr>
                <w:rFonts w:eastAsia="仿宋"/>
                <w:kern w:val="0"/>
                <w:sz w:val="28"/>
                <w:szCs w:val="28"/>
              </w:rPr>
              <w:t>1</w:t>
            </w:r>
          </w:p>
        </w:tc>
        <w:tc>
          <w:tcPr>
            <w:tcW w:w="3638" w:type="dxa"/>
          </w:tcPr>
          <w:p>
            <w:pPr>
              <w:spacing w:after="0" w:line="560" w:lineRule="exact"/>
              <w:rPr>
                <w:rFonts w:eastAsia="仿宋"/>
                <w:kern w:val="0"/>
                <w:sz w:val="28"/>
                <w:szCs w:val="28"/>
              </w:rPr>
            </w:pPr>
            <w:r>
              <w:rPr>
                <w:rFonts w:eastAsia="仿宋"/>
                <w:kern w:val="0"/>
                <w:sz w:val="28"/>
                <w:szCs w:val="28"/>
              </w:rPr>
              <w:t>廊坊市广阳区水务局(本级)</w:t>
            </w:r>
          </w:p>
        </w:tc>
        <w:tc>
          <w:tcPr>
            <w:tcW w:w="2445" w:type="dxa"/>
          </w:tcPr>
          <w:p>
            <w:pPr>
              <w:spacing w:after="0" w:line="560" w:lineRule="exact"/>
              <w:jc w:val="center"/>
              <w:rPr>
                <w:rFonts w:eastAsia="仿宋"/>
                <w:kern w:val="0"/>
                <w:sz w:val="28"/>
                <w:szCs w:val="28"/>
              </w:rPr>
            </w:pPr>
            <w:r>
              <w:rPr>
                <w:rFonts w:eastAsia="仿宋"/>
                <w:kern w:val="0"/>
                <w:sz w:val="28"/>
                <w:szCs w:val="28"/>
              </w:rPr>
              <w:t>行政单位</w:t>
            </w:r>
          </w:p>
        </w:tc>
        <w:tc>
          <w:tcPr>
            <w:tcW w:w="2665" w:type="dxa"/>
          </w:tcPr>
          <w:p>
            <w:pPr>
              <w:spacing w:after="0" w:line="560" w:lineRule="exact"/>
              <w:jc w:val="center"/>
              <w:rPr>
                <w:rFonts w:eastAsia="仿宋"/>
                <w:kern w:val="0"/>
                <w:sz w:val="28"/>
                <w:szCs w:val="28"/>
              </w:rPr>
            </w:pPr>
            <w:r>
              <w:rPr>
                <w:rFonts w:eastAsia="仿宋"/>
                <w:kern w:val="0"/>
                <w:sz w:val="28"/>
                <w:szCs w:val="28"/>
              </w:rPr>
              <w:t>财政拨款</w:t>
            </w:r>
          </w:p>
        </w:tc>
      </w:tr>
    </w:tbl>
    <w:p>
      <w:pPr>
        <w:widowControl/>
        <w:spacing w:line="1200" w:lineRule="exact"/>
        <w:jc w:val="center"/>
        <w:rPr>
          <w:rFonts w:eastAsia="仿宋"/>
          <w:color w:val="000000"/>
          <w:sz w:val="72"/>
          <w:szCs w:val="96"/>
        </w:rPr>
      </w:pPr>
    </w:p>
    <w:p>
      <w:pPr>
        <w:widowControl/>
        <w:spacing w:line="1200" w:lineRule="exact"/>
        <w:jc w:val="center"/>
        <w:rPr>
          <w:rFonts w:eastAsia="仿宋"/>
          <w:color w:val="000000"/>
          <w:sz w:val="72"/>
          <w:szCs w:val="96"/>
        </w:rPr>
      </w:pPr>
    </w:p>
    <w:p>
      <w:pPr>
        <w:widowControl/>
        <w:spacing w:line="1200" w:lineRule="exact"/>
        <w:jc w:val="center"/>
        <w:rPr>
          <w:rFonts w:eastAsia="仿宋"/>
          <w:color w:val="000000"/>
          <w:sz w:val="72"/>
          <w:szCs w:val="96"/>
        </w:rPr>
      </w:pPr>
    </w:p>
    <w:p>
      <w:pPr>
        <w:widowControl/>
        <w:spacing w:line="1200" w:lineRule="exact"/>
        <w:jc w:val="center"/>
        <w:rPr>
          <w:rFonts w:hint="eastAsia"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rFonts w:hint="eastAsia" w:ascii="黑体" w:eastAsia="黑体"/>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60" w:lineRule="exact"/>
        <w:jc w:val="center"/>
        <w:rPr>
          <w:rFonts w:eastAsia="仿宋"/>
          <w:bCs/>
          <w:kern w:val="0"/>
          <w:sz w:val="52"/>
          <w:szCs w:val="52"/>
        </w:rPr>
      </w:pPr>
    </w:p>
    <w:p>
      <w:pPr>
        <w:widowControl/>
        <w:spacing w:line="580" w:lineRule="exact"/>
        <w:ind w:firstLine="640" w:firstLineChars="200"/>
        <w:rPr>
          <w:rFonts w:hint="eastAsia" w:ascii="黑体" w:eastAsia="黑体"/>
          <w:sz w:val="20"/>
          <w:szCs w:val="32"/>
        </w:rPr>
      </w:pPr>
      <w:r>
        <w:rPr>
          <w:rFonts w:hint="eastAsia" w:ascii="黑体" w:eastAsia="黑体"/>
          <w:sz w:val="32"/>
          <w:szCs w:val="32"/>
        </w:rPr>
        <w:t>第二部分   2018年度部门决算报表</w:t>
      </w:r>
    </w:p>
    <w:p>
      <w:pPr>
        <w:widowControl/>
        <w:spacing w:line="580" w:lineRule="exact"/>
        <w:ind w:left="640" w:firstLine="640" w:firstLineChars="200"/>
        <w:rPr>
          <w:rFonts w:eastAsia="仿宋"/>
          <w:sz w:val="32"/>
          <w:szCs w:val="32"/>
        </w:rPr>
      </w:pPr>
      <w:r>
        <w:rPr>
          <w:rFonts w:eastAsia="仿宋"/>
          <w:sz w:val="32"/>
          <w:szCs w:val="32"/>
        </w:rPr>
        <w:t>一、收入支出决算总表</w:t>
      </w:r>
    </w:p>
    <w:p>
      <w:pPr>
        <w:widowControl/>
        <w:spacing w:line="580" w:lineRule="exact"/>
        <w:ind w:left="640" w:firstLine="640" w:firstLineChars="200"/>
        <w:rPr>
          <w:rFonts w:eastAsia="仿宋"/>
          <w:sz w:val="32"/>
          <w:szCs w:val="32"/>
        </w:rPr>
      </w:pPr>
      <w:r>
        <w:rPr>
          <w:rFonts w:eastAsia="仿宋"/>
          <w:sz w:val="32"/>
          <w:szCs w:val="32"/>
        </w:rPr>
        <w:t>二、收入决算表</w:t>
      </w:r>
    </w:p>
    <w:p>
      <w:pPr>
        <w:widowControl/>
        <w:spacing w:line="580" w:lineRule="exact"/>
        <w:ind w:left="640" w:firstLine="640" w:firstLineChars="200"/>
        <w:rPr>
          <w:rFonts w:eastAsia="仿宋"/>
          <w:sz w:val="32"/>
          <w:szCs w:val="32"/>
        </w:rPr>
      </w:pPr>
      <w:r>
        <w:rPr>
          <w:rFonts w:eastAsia="仿宋"/>
          <w:sz w:val="32"/>
          <w:szCs w:val="32"/>
        </w:rPr>
        <w:t>三、支出决算表</w:t>
      </w:r>
    </w:p>
    <w:p>
      <w:pPr>
        <w:widowControl/>
        <w:spacing w:line="580" w:lineRule="exact"/>
        <w:ind w:left="640" w:firstLine="640" w:firstLineChars="200"/>
        <w:rPr>
          <w:rFonts w:eastAsia="仿宋"/>
          <w:sz w:val="32"/>
          <w:szCs w:val="32"/>
        </w:rPr>
      </w:pPr>
      <w:r>
        <w:rPr>
          <w:rFonts w:eastAsia="仿宋"/>
          <w:sz w:val="32"/>
          <w:szCs w:val="32"/>
        </w:rPr>
        <w:t>四、财政拨款收入支出决算总表</w:t>
      </w:r>
    </w:p>
    <w:p>
      <w:pPr>
        <w:widowControl/>
        <w:spacing w:line="580" w:lineRule="exact"/>
        <w:ind w:left="640" w:firstLine="640" w:firstLineChars="200"/>
        <w:rPr>
          <w:rFonts w:eastAsia="仿宋"/>
          <w:sz w:val="32"/>
          <w:szCs w:val="32"/>
        </w:rPr>
      </w:pPr>
      <w:r>
        <w:rPr>
          <w:rFonts w:eastAsia="仿宋"/>
          <w:sz w:val="32"/>
          <w:szCs w:val="32"/>
        </w:rPr>
        <w:t>五、一般公共预算财政拨款支出决算表</w:t>
      </w:r>
    </w:p>
    <w:p>
      <w:pPr>
        <w:widowControl/>
        <w:spacing w:line="580" w:lineRule="exact"/>
        <w:ind w:left="640" w:firstLine="640" w:firstLineChars="200"/>
        <w:rPr>
          <w:rFonts w:eastAsia="仿宋"/>
          <w:sz w:val="32"/>
          <w:szCs w:val="32"/>
        </w:rPr>
      </w:pPr>
      <w:r>
        <w:rPr>
          <w:rFonts w:eastAsia="仿宋"/>
          <w:sz w:val="32"/>
          <w:szCs w:val="32"/>
        </w:rPr>
        <w:t>六、一般公共预算财政拨款基本支出决算表</w:t>
      </w:r>
    </w:p>
    <w:p>
      <w:pPr>
        <w:widowControl/>
        <w:spacing w:line="580" w:lineRule="exact"/>
        <w:ind w:left="640" w:firstLine="640" w:firstLineChars="200"/>
        <w:rPr>
          <w:rFonts w:eastAsia="仿宋"/>
          <w:sz w:val="32"/>
          <w:szCs w:val="32"/>
        </w:rPr>
      </w:pPr>
      <w:r>
        <w:rPr>
          <w:rFonts w:eastAsia="仿宋"/>
          <w:sz w:val="32"/>
          <w:szCs w:val="32"/>
        </w:rPr>
        <w:t>七、一般公共预算财政拨款“三公”经费支出决算表</w:t>
      </w:r>
    </w:p>
    <w:p>
      <w:pPr>
        <w:widowControl/>
        <w:spacing w:line="580" w:lineRule="exact"/>
        <w:ind w:left="640" w:firstLine="640" w:firstLineChars="200"/>
        <w:rPr>
          <w:rFonts w:eastAsia="仿宋"/>
          <w:sz w:val="32"/>
          <w:szCs w:val="32"/>
        </w:rPr>
      </w:pPr>
      <w:r>
        <w:rPr>
          <w:rFonts w:eastAsia="仿宋"/>
          <w:sz w:val="32"/>
          <w:szCs w:val="32"/>
        </w:rPr>
        <w:t>八、政府性基金预算财政拨款收入支出决算表</w:t>
      </w:r>
    </w:p>
    <w:p>
      <w:pPr>
        <w:widowControl/>
        <w:spacing w:line="580" w:lineRule="exact"/>
        <w:ind w:left="640" w:firstLine="640" w:firstLineChars="200"/>
        <w:rPr>
          <w:rFonts w:eastAsia="仿宋"/>
          <w:sz w:val="32"/>
          <w:szCs w:val="32"/>
        </w:rPr>
      </w:pPr>
      <w:r>
        <w:rPr>
          <w:rFonts w:eastAsia="仿宋"/>
          <w:sz w:val="32"/>
          <w:szCs w:val="32"/>
        </w:rPr>
        <w:t>九、国有资本经营预算财政拨款支出决算表</w:t>
      </w:r>
    </w:p>
    <w:p>
      <w:pPr>
        <w:widowControl/>
        <w:spacing w:line="580" w:lineRule="exact"/>
        <w:ind w:left="640" w:firstLine="640" w:firstLineChars="200"/>
        <w:rPr>
          <w:rFonts w:eastAsia="仿宋"/>
          <w:sz w:val="32"/>
          <w:szCs w:val="32"/>
        </w:rPr>
      </w:pPr>
      <w:r>
        <w:rPr>
          <w:rFonts w:eastAsia="仿宋"/>
          <w:sz w:val="32"/>
          <w:szCs w:val="32"/>
        </w:rPr>
        <w:t>十、政府采购情况表</w:t>
      </w:r>
    </w:p>
    <w:p>
      <w:pPr>
        <w:rPr>
          <w:rFonts w:eastAsia="仿宋"/>
          <w:color w:val="000000"/>
          <w:kern w:val="0"/>
        </w:rPr>
      </w:pPr>
    </w:p>
    <w:p>
      <w:pPr>
        <w:tabs>
          <w:tab w:val="left" w:pos="1086"/>
        </w:tabs>
        <w:jc w:val="left"/>
        <w:rPr>
          <w:rFonts w:eastAsia="仿宋"/>
          <w:b/>
          <w:sz w:val="28"/>
          <w:szCs w:val="28"/>
          <w:highlight w:val="yellow"/>
        </w:rPr>
        <w:sectPr>
          <w:pgSz w:w="11906" w:h="16838"/>
          <w:pgMar w:top="2098" w:right="1474" w:bottom="1984" w:left="1588" w:header="851" w:footer="992" w:gutter="0"/>
          <w:cols w:space="720" w:num="1"/>
          <w:docGrid w:type="lines" w:linePitch="312" w:charSpace="0"/>
        </w:sectPr>
      </w:pPr>
      <w:r>
        <w:rPr>
          <w:rFonts w:eastAsia="仿宋"/>
        </w:rPr>
        <w:tab/>
      </w:r>
    </w:p>
    <w:p>
      <w:pPr>
        <w:widowControl/>
        <w:spacing w:line="1200" w:lineRule="exact"/>
        <w:jc w:val="center"/>
        <w:rPr>
          <w:rFonts w:eastAsia="仿宋"/>
          <w:color w:val="000000"/>
          <w:sz w:val="96"/>
          <w:szCs w:val="96"/>
        </w:rPr>
      </w:pPr>
    </w:p>
    <w:p>
      <w:pPr>
        <w:widowControl/>
        <w:spacing w:line="1200" w:lineRule="exact"/>
        <w:jc w:val="center"/>
        <w:rPr>
          <w:rFonts w:eastAsia="仿宋"/>
          <w:color w:val="000000"/>
          <w:sz w:val="96"/>
          <w:szCs w:val="96"/>
        </w:rPr>
      </w:pPr>
    </w:p>
    <w:p>
      <w:pPr>
        <w:widowControl/>
        <w:spacing w:line="1200" w:lineRule="exact"/>
        <w:jc w:val="center"/>
        <w:rPr>
          <w:rFonts w:eastAsia="仿宋"/>
          <w:color w:val="000000"/>
          <w:sz w:val="96"/>
          <w:szCs w:val="96"/>
        </w:rPr>
      </w:pPr>
    </w:p>
    <w:p>
      <w:pPr>
        <w:widowControl/>
        <w:spacing w:line="1200" w:lineRule="exact"/>
        <w:jc w:val="center"/>
        <w:rPr>
          <w:rFonts w:hint="eastAsia"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rFonts w:hint="eastAsia" w:ascii="黑体" w:eastAsia="黑体"/>
          <w:color w:val="000000"/>
          <w:sz w:val="72"/>
          <w:szCs w:val="72"/>
        </w:rPr>
      </w:pPr>
      <w:r>
        <w:rPr>
          <w:rFonts w:hint="eastAsia" w:ascii="黑体" w:eastAsia="黑体"/>
          <w:color w:val="000000"/>
          <w:sz w:val="72"/>
          <w:szCs w:val="72"/>
        </w:rPr>
        <w:t>部门决算情况说明</w:t>
      </w:r>
    </w:p>
    <w:p>
      <w:pPr>
        <w:rPr>
          <w:rFonts w:eastAsia="仿宋"/>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cs="黑体"/>
          <w:b w:val="0"/>
          <w:bCs w:val="0"/>
        </w:rPr>
      </w:pPr>
      <w:r>
        <w:rPr>
          <w:rFonts w:hint="eastAsia" w:ascii="黑体" w:eastAsia="黑体" w:cs="黑体"/>
          <w:b w:val="0"/>
          <w:bCs w:val="0"/>
        </w:rPr>
        <w:t>一、收入</w:t>
      </w:r>
      <w:r>
        <w:rPr>
          <w:rFonts w:hint="eastAsia" w:ascii="黑体" w:eastAsia="黑体" w:cs="黑体"/>
          <w:b w:val="0"/>
          <w:bCs w:val="0"/>
          <w:kern w:val="0"/>
        </w:rPr>
        <w:t>支出</w:t>
      </w:r>
      <w:r>
        <w:rPr>
          <w:rFonts w:hint="eastAsia" w:ascii="黑体" w:eastAsia="黑体" w:cs="黑体"/>
          <w:b w:val="0"/>
          <w:bCs w:val="0"/>
        </w:rPr>
        <w:t>决算总体情况说明</w:t>
      </w:r>
    </w:p>
    <w:p>
      <w:pPr>
        <w:adjustRightInd w:val="0"/>
        <w:snapToGrid w:val="0"/>
        <w:spacing w:after="0" w:line="580" w:lineRule="exact"/>
        <w:ind w:firstLine="640" w:firstLineChars="200"/>
        <w:rPr>
          <w:rFonts w:eastAsia="仿宋"/>
          <w:sz w:val="32"/>
          <w:szCs w:val="32"/>
        </w:rPr>
      </w:pPr>
      <w:r>
        <w:rPr>
          <w:rFonts w:eastAsia="仿宋"/>
          <w:sz w:val="32"/>
          <w:szCs w:val="32"/>
        </w:rPr>
        <w:t>本部门2018年度收</w:t>
      </w:r>
      <w:r>
        <w:rPr>
          <w:rFonts w:hint="eastAsia" w:eastAsia="仿宋"/>
          <w:sz w:val="32"/>
          <w:szCs w:val="32"/>
        </w:rPr>
        <w:t>支</w:t>
      </w:r>
      <w:r>
        <w:rPr>
          <w:rFonts w:eastAsia="仿宋"/>
          <w:sz w:val="32"/>
          <w:szCs w:val="32"/>
        </w:rPr>
        <w:t>总计（含结转和结余）4762.06万元,与2017年度决算相比，收入增加719.99万元，增长17.8%，主要原因是2018年度加大水利项目资金的投入。</w:t>
      </w:r>
    </w:p>
    <w:p>
      <w:pPr>
        <w:pStyle w:val="3"/>
        <w:spacing w:before="0" w:after="0" w:line="580" w:lineRule="exact"/>
        <w:ind w:firstLine="640" w:firstLineChars="200"/>
        <w:rPr>
          <w:rFonts w:ascii="黑体" w:eastAsia="黑体" w:cs="黑体"/>
          <w:b w:val="0"/>
          <w:bCs w:val="0"/>
        </w:rPr>
      </w:pPr>
      <w:r>
        <w:rPr>
          <w:rFonts w:ascii="黑体" w:eastAsia="黑体" w:cs="黑体"/>
          <w:b w:val="0"/>
          <w:bCs w:val="0"/>
        </w:rPr>
        <w:t>二、收入决算情况说明</w:t>
      </w:r>
    </w:p>
    <w:p>
      <w:pPr>
        <w:adjustRightInd w:val="0"/>
        <w:snapToGrid w:val="0"/>
        <w:spacing w:after="0" w:line="580" w:lineRule="exact"/>
        <w:ind w:firstLine="640" w:firstLineChars="200"/>
        <w:rPr>
          <w:rFonts w:eastAsia="仿宋"/>
        </w:rPr>
      </w:pPr>
      <w:r>
        <w:rPr>
          <w:rFonts w:eastAsia="仿宋"/>
          <w:sz w:val="32"/>
          <w:szCs w:val="32"/>
        </w:rPr>
        <w:t>本部门2018年度本年收入合计3777.74万元，其中：财政拨款收入3440.4万元，占91</w:t>
      </w:r>
      <w:r>
        <w:rPr>
          <w:rFonts w:hint="eastAsia" w:eastAsia="仿宋"/>
          <w:sz w:val="32"/>
          <w:szCs w:val="32"/>
        </w:rPr>
        <w:t>.0</w:t>
      </w:r>
      <w:r>
        <w:rPr>
          <w:rFonts w:eastAsia="仿宋"/>
          <w:sz w:val="32"/>
          <w:szCs w:val="32"/>
        </w:rPr>
        <w:t>%；事业收入0万元，占0%；经营收入0万元，占0%；其他收入337.34万元，占9</w:t>
      </w:r>
      <w:r>
        <w:rPr>
          <w:rFonts w:hint="eastAsia" w:eastAsia="仿宋"/>
          <w:sz w:val="32"/>
          <w:szCs w:val="32"/>
        </w:rPr>
        <w:t>.0</w:t>
      </w:r>
      <w:r>
        <w:rPr>
          <w:rFonts w:eastAsia="仿宋"/>
          <w:sz w:val="32"/>
          <w:szCs w:val="32"/>
        </w:rPr>
        <w:t>%。</w:t>
      </w:r>
    </w:p>
    <w:p>
      <w:pPr>
        <w:pStyle w:val="3"/>
        <w:spacing w:before="0" w:after="0" w:line="580" w:lineRule="exact"/>
        <w:ind w:firstLine="640" w:firstLineChars="200"/>
        <w:rPr>
          <w:rFonts w:ascii="黑体" w:eastAsia="黑体" w:cs="黑体"/>
          <w:b w:val="0"/>
          <w:bCs w:val="0"/>
        </w:rPr>
      </w:pPr>
      <w:r>
        <w:rPr>
          <w:rFonts w:ascii="黑体" w:eastAsia="黑体" w:cs="黑体"/>
          <w:b w:val="0"/>
          <w:bCs w:val="0"/>
        </w:rPr>
        <w:t>三、支出决算情况说明</w:t>
      </w:r>
    </w:p>
    <w:p>
      <w:pPr>
        <w:adjustRightInd w:val="0"/>
        <w:snapToGrid w:val="0"/>
        <w:spacing w:after="0" w:line="580" w:lineRule="exact"/>
        <w:ind w:firstLine="640" w:firstLineChars="200"/>
        <w:rPr>
          <w:rFonts w:eastAsia="仿宋"/>
          <w:sz w:val="32"/>
          <w:szCs w:val="32"/>
        </w:rPr>
      </w:pPr>
      <w:r>
        <w:rPr>
          <w:rFonts w:eastAsia="仿宋"/>
          <w:sz w:val="32"/>
          <w:szCs w:val="32"/>
        </w:rPr>
        <w:t>本部门2018年度本年支出合计3082.63万元，其中：基本支出2235.71万元，占72.5%；项目支出846.92万元，占27.5%；经营支出0万元，占0%。</w:t>
      </w:r>
    </w:p>
    <w:p>
      <w:pPr>
        <w:pStyle w:val="3"/>
        <w:spacing w:before="0" w:after="0" w:line="580" w:lineRule="exact"/>
        <w:ind w:firstLine="640" w:firstLineChars="200"/>
        <w:rPr>
          <w:rFonts w:ascii="黑体" w:eastAsia="黑体" w:cs="黑体"/>
          <w:b w:val="0"/>
          <w:bCs w:val="0"/>
        </w:rPr>
      </w:pPr>
      <w:r>
        <w:rPr>
          <w:rFonts w:ascii="黑体" w:eastAsia="黑体" w:cs="黑体"/>
          <w:b w:val="0"/>
          <w:bCs w:val="0"/>
        </w:rPr>
        <w:t>四、财政拨款收入支出决算情况说明</w:t>
      </w:r>
    </w:p>
    <w:p>
      <w:pPr>
        <w:spacing w:after="0" w:line="580" w:lineRule="exact"/>
        <w:ind w:firstLine="643" w:firstLineChars="200"/>
        <w:rPr>
          <w:rFonts w:eastAsia="仿宋"/>
          <w:b/>
          <w:bCs/>
          <w:sz w:val="32"/>
          <w:szCs w:val="32"/>
        </w:rPr>
      </w:pPr>
      <w:r>
        <w:rPr>
          <w:rFonts w:eastAsia="仿宋"/>
          <w:b/>
          <w:bCs/>
          <w:sz w:val="32"/>
          <w:szCs w:val="32"/>
        </w:rPr>
        <w:t>（一）财政拨款收支与2017 年度决算对比情况</w:t>
      </w:r>
    </w:p>
    <w:p>
      <w:pPr>
        <w:adjustRightInd w:val="0"/>
        <w:snapToGrid w:val="0"/>
        <w:spacing w:after="0" w:line="580" w:lineRule="exact"/>
        <w:ind w:firstLine="640" w:firstLineChars="200"/>
        <w:rPr>
          <w:rFonts w:eastAsia="仿宋"/>
          <w:sz w:val="32"/>
          <w:szCs w:val="32"/>
        </w:rPr>
      </w:pPr>
      <w:r>
        <w:rPr>
          <w:rFonts w:eastAsia="仿宋"/>
          <w:sz w:val="32"/>
          <w:szCs w:val="32"/>
        </w:rPr>
        <w:t>本部门2018年度财政拨款本年收入3440.4万元,比2017年度增加175.46万元，增长5.4%，主要原因是人员工资上调；本年支出2673.91万元，增加1.75万元，基本与去年持平，主要原因是2018年加大水利工程项目资金支出。</w:t>
      </w:r>
    </w:p>
    <w:p>
      <w:pPr>
        <w:adjustRightInd w:val="0"/>
        <w:snapToGrid w:val="0"/>
        <w:spacing w:after="0" w:line="580" w:lineRule="exact"/>
        <w:ind w:firstLine="640" w:firstLineChars="200"/>
        <w:rPr>
          <w:rFonts w:eastAsia="仿宋"/>
          <w:sz w:val="32"/>
          <w:szCs w:val="32"/>
        </w:rPr>
      </w:pPr>
      <w:r>
        <w:rPr>
          <w:rFonts w:eastAsia="仿宋"/>
          <w:sz w:val="32"/>
          <w:szCs w:val="32"/>
        </w:rPr>
        <w:t>其中：一般公共预算财政拨款本年收入3436.74万元，比2017年度增加171.8万元；主要原因是加大水利工程项目投入及职工工资增加；本年支出2673.91万元，比2017年度增加929.82万元，增长53.3%，主要原因是水利工程增多及人员工资上涨。政府性基金预算财政拨款本年收入3.66万元，比2017年度减少767.34万元，降低99.5%，主要原因是2017年度增加农村饮及旧天堂河改造项目共计771万元；本年支出95.57万元，比2017年度增加95.57万元，增长100%，主要原因是2017年度资金到位较晚,未及时支出。</w:t>
      </w:r>
    </w:p>
    <w:p>
      <w:pPr>
        <w:spacing w:after="0" w:line="580" w:lineRule="exact"/>
        <w:ind w:firstLine="643" w:firstLineChars="200"/>
        <w:rPr>
          <w:rFonts w:eastAsia="仿宋"/>
          <w:b/>
          <w:bCs/>
          <w:sz w:val="32"/>
          <w:szCs w:val="32"/>
        </w:rPr>
      </w:pPr>
      <w:r>
        <w:rPr>
          <w:rFonts w:eastAsia="仿宋"/>
          <w:b/>
          <w:bCs/>
          <w:sz w:val="32"/>
          <w:szCs w:val="32"/>
        </w:rPr>
        <w:t>（二）财政拨款收支与年初预算数对比情况</w:t>
      </w:r>
    </w:p>
    <w:p>
      <w:pPr>
        <w:adjustRightInd w:val="0"/>
        <w:snapToGrid w:val="0"/>
        <w:spacing w:after="0" w:line="580" w:lineRule="exact"/>
        <w:ind w:firstLine="640" w:firstLineChars="200"/>
        <w:rPr>
          <w:rFonts w:eastAsia="仿宋"/>
          <w:sz w:val="32"/>
          <w:szCs w:val="32"/>
        </w:rPr>
      </w:pPr>
      <w:r>
        <w:rPr>
          <w:rFonts w:eastAsia="仿宋"/>
          <w:sz w:val="32"/>
          <w:szCs w:val="32"/>
        </w:rPr>
        <w:t>本部门2018年度财政拨款本年收入3440.4万元，完成年初预算的186.2%,比年初预算增加1593.11万元，决算数大于预算数，主要原因是追加预算项目较多；本年支出2673.91万元，完成年初预算的144.7%,比年初预算增加826.62万元，决算数大于预算数，主要原因是追加预算项目较多。</w:t>
      </w:r>
    </w:p>
    <w:p>
      <w:pPr>
        <w:adjustRightInd w:val="0"/>
        <w:snapToGrid w:val="0"/>
        <w:spacing w:after="0" w:line="580" w:lineRule="exact"/>
        <w:ind w:firstLine="640" w:firstLineChars="200"/>
        <w:rPr>
          <w:rFonts w:eastAsia="仿宋"/>
          <w:sz w:val="32"/>
          <w:szCs w:val="32"/>
        </w:rPr>
      </w:pPr>
      <w:r>
        <w:rPr>
          <w:rFonts w:eastAsia="仿宋"/>
          <w:sz w:val="32"/>
          <w:szCs w:val="32"/>
        </w:rPr>
        <w:t>其中，一般公共预算财政拨款本年收入完成年初预算186.2%，比年初预算增加1591.25万元，决算数大于预算数，主要原因是2018年增加农田水利项目536.17万元,增加江河湖水系综合治理362.19万元,增加农水支出278.6万元及人员工资各项保险上涨；支出完成年初预算144.7%，比年初预算增加826.70万元，决算数大于预算数，主要原因是实际拨款金额大相应支出也增大。政府性基金预算财政拨款本年收入完成年初预算203</w:t>
      </w:r>
      <w:r>
        <w:rPr>
          <w:rFonts w:hint="eastAsia" w:eastAsia="仿宋"/>
          <w:sz w:val="32"/>
          <w:szCs w:val="32"/>
        </w:rPr>
        <w:t>.0</w:t>
      </w:r>
      <w:r>
        <w:rPr>
          <w:rFonts w:eastAsia="仿宋"/>
          <w:sz w:val="32"/>
          <w:szCs w:val="32"/>
        </w:rPr>
        <w:t>%，比年初预算增加1.86万元，决算数大于预算数，主要原因是2018年提前下达2019年水库移民款1.86万元；支出完成年初预算203</w:t>
      </w:r>
      <w:r>
        <w:rPr>
          <w:rFonts w:hint="eastAsia" w:eastAsia="仿宋"/>
          <w:sz w:val="32"/>
          <w:szCs w:val="32"/>
        </w:rPr>
        <w:t>.0</w:t>
      </w:r>
      <w:r>
        <w:rPr>
          <w:rFonts w:eastAsia="仿宋"/>
          <w:sz w:val="32"/>
          <w:szCs w:val="32"/>
        </w:rPr>
        <w:t>%，比年初预算增加1.86万元，决算数大于预算数，主要原因是2018年提前下达2019年水库移民款1.86万元。</w:t>
      </w:r>
    </w:p>
    <w:p>
      <w:pPr>
        <w:numPr>
          <w:ilvl w:val="0"/>
          <w:numId w:val="1"/>
        </w:numPr>
        <w:adjustRightInd w:val="0"/>
        <w:snapToGrid w:val="0"/>
        <w:spacing w:after="0" w:line="580" w:lineRule="exact"/>
        <w:ind w:left="420" w:leftChars="200"/>
        <w:rPr>
          <w:rFonts w:eastAsia="仿宋"/>
          <w:b/>
          <w:bCs/>
          <w:sz w:val="32"/>
          <w:szCs w:val="32"/>
        </w:rPr>
      </w:pPr>
      <w:r>
        <w:rPr>
          <w:rFonts w:eastAsia="仿宋"/>
          <w:b/>
          <w:bCs/>
          <w:sz w:val="32"/>
          <w:szCs w:val="32"/>
        </w:rPr>
        <w:t>财政拨款支出决算结构情况。</w:t>
      </w:r>
    </w:p>
    <w:p>
      <w:pPr>
        <w:adjustRightInd w:val="0"/>
        <w:snapToGrid w:val="0"/>
        <w:spacing w:after="0" w:line="580" w:lineRule="exact"/>
        <w:ind w:firstLine="640" w:firstLineChars="200"/>
        <w:rPr>
          <w:rFonts w:eastAsia="仿宋"/>
          <w:sz w:val="32"/>
          <w:szCs w:val="32"/>
        </w:rPr>
      </w:pPr>
      <w:r>
        <w:rPr>
          <w:rFonts w:eastAsia="仿宋"/>
          <w:sz w:val="32"/>
          <w:szCs w:val="32"/>
        </w:rPr>
        <w:t>2018 年度财政拨款支出3082.63万元，主要用于以下方面：城乡社区支出91.91万元，占3</w:t>
      </w:r>
      <w:r>
        <w:rPr>
          <w:rFonts w:hint="eastAsia" w:eastAsia="仿宋"/>
          <w:sz w:val="32"/>
          <w:szCs w:val="32"/>
        </w:rPr>
        <w:t>.0</w:t>
      </w:r>
      <w:r>
        <w:rPr>
          <w:rFonts w:eastAsia="仿宋"/>
          <w:sz w:val="32"/>
          <w:szCs w:val="32"/>
        </w:rPr>
        <w:t>%；农林水支出2589.7万元，占84%；社会保障和就业（类）支出305.37万元，占9.9%；住房保障（类）支出55.08万元，占1.</w:t>
      </w:r>
      <w:r>
        <w:rPr>
          <w:rFonts w:hint="eastAsia" w:eastAsia="仿宋"/>
          <w:sz w:val="32"/>
          <w:szCs w:val="32"/>
        </w:rPr>
        <w:t>8</w:t>
      </w:r>
      <w:r>
        <w:rPr>
          <w:rFonts w:eastAsia="仿宋"/>
          <w:sz w:val="32"/>
          <w:szCs w:val="32"/>
        </w:rPr>
        <w:t>%;医疗卫生与计划生育支出40.57万元，占1.3%。</w:t>
      </w:r>
    </w:p>
    <w:p>
      <w:pPr>
        <w:adjustRightInd w:val="0"/>
        <w:snapToGrid w:val="0"/>
        <w:spacing w:after="0" w:line="580" w:lineRule="exact"/>
        <w:ind w:left="420" w:leftChars="200"/>
        <w:rPr>
          <w:rFonts w:eastAsia="仿宋"/>
          <w:b/>
          <w:bCs/>
          <w:sz w:val="32"/>
          <w:szCs w:val="32"/>
        </w:rPr>
      </w:pPr>
      <w:r>
        <w:rPr>
          <w:rFonts w:eastAsia="仿宋"/>
          <w:b/>
          <w:bCs/>
          <w:sz w:val="32"/>
          <w:szCs w:val="32"/>
        </w:rPr>
        <w:t>（四）一般公共预算财政拨款基本支出决算情况说明</w:t>
      </w:r>
    </w:p>
    <w:p>
      <w:pPr>
        <w:adjustRightInd w:val="0"/>
        <w:snapToGrid w:val="0"/>
        <w:spacing w:after="0" w:line="580" w:lineRule="exact"/>
        <w:ind w:firstLine="640" w:firstLineChars="200"/>
        <w:rPr>
          <w:rFonts w:eastAsia="仿宋"/>
          <w:sz w:val="32"/>
          <w:szCs w:val="32"/>
        </w:rPr>
      </w:pPr>
      <w:r>
        <w:rPr>
          <w:rFonts w:eastAsia="仿宋"/>
          <w:sz w:val="32"/>
          <w:szCs w:val="32"/>
        </w:rPr>
        <w:t>2018 年度一般公共预算财政拨款基本支出2235.71万元，其中：人员经费1740.79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494.92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cs="黑体"/>
          <w:b w:val="0"/>
          <w:bCs w:val="0"/>
        </w:rPr>
      </w:pPr>
      <w:r>
        <w:rPr>
          <w:rFonts w:hint="eastAsia" w:ascii="黑体" w:eastAsia="黑体" w:cs="黑体"/>
          <w:b w:val="0"/>
          <w:bCs w:val="0"/>
        </w:rPr>
        <w:t>五、一般公共预算财政拨款“三公” 经费支出决算情况说明</w:t>
      </w:r>
    </w:p>
    <w:p>
      <w:pPr>
        <w:adjustRightInd w:val="0"/>
        <w:snapToGrid w:val="0"/>
        <w:spacing w:line="584" w:lineRule="exact"/>
        <w:ind w:firstLine="640" w:firstLineChars="200"/>
        <w:rPr>
          <w:rFonts w:eastAsia="仿宋"/>
          <w:sz w:val="32"/>
          <w:szCs w:val="32"/>
          <w:highlight w:val="yellow"/>
        </w:rPr>
      </w:pPr>
      <w:r>
        <w:rPr>
          <w:rFonts w:eastAsia="仿宋"/>
          <w:sz w:val="32"/>
          <w:szCs w:val="32"/>
        </w:rPr>
        <w:t>本部门2018年度一般公共预算财政拨款“三公”经费支出共计8.93万元，比年初预算减少4.87万元，降低35.3%，主要原因是单位</w:t>
      </w:r>
      <w:r>
        <w:rPr>
          <w:rFonts w:eastAsia="仿宋"/>
          <w:color w:val="000000"/>
          <w:kern w:val="0"/>
          <w:sz w:val="32"/>
          <w:szCs w:val="32"/>
        </w:rPr>
        <w:t>切实压缩公务用车费用支出，采取绿色出行，低碳环保节约。</w:t>
      </w:r>
      <w:r>
        <w:rPr>
          <w:rFonts w:eastAsia="仿宋"/>
          <w:sz w:val="32"/>
          <w:szCs w:val="32"/>
        </w:rPr>
        <w:t>比2017年度决算增加3.19万元，增长55.</w:t>
      </w:r>
      <w:r>
        <w:rPr>
          <w:rFonts w:hint="eastAsia" w:eastAsia="仿宋"/>
          <w:sz w:val="32"/>
          <w:szCs w:val="32"/>
        </w:rPr>
        <w:t>6</w:t>
      </w:r>
      <w:r>
        <w:rPr>
          <w:rFonts w:eastAsia="仿宋"/>
          <w:sz w:val="32"/>
          <w:szCs w:val="32"/>
        </w:rPr>
        <w:t>%，主要原因是2018年水利工程及农村饮水安全项目较多,且比较分散,用车较频繁,因此公车运行费偏高。具体情况如下：</w:t>
      </w:r>
    </w:p>
    <w:p>
      <w:pPr>
        <w:adjustRightInd w:val="0"/>
        <w:snapToGrid w:val="0"/>
        <w:spacing w:line="584" w:lineRule="exact"/>
        <w:ind w:firstLine="643" w:firstLineChars="200"/>
        <w:rPr>
          <w:rFonts w:eastAsia="仿宋"/>
          <w:sz w:val="32"/>
          <w:szCs w:val="32"/>
          <w:highlight w:val="yellow"/>
        </w:rPr>
      </w:pPr>
      <w:r>
        <w:rPr>
          <w:rFonts w:eastAsia="仿宋"/>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
          <w:b/>
          <w:bCs/>
          <w:sz w:val="32"/>
          <w:szCs w:val="32"/>
        </w:rPr>
      </w:pPr>
      <w:r>
        <w:rPr>
          <w:rFonts w:eastAsia="仿宋"/>
          <w:b/>
          <w:bCs/>
          <w:sz w:val="32"/>
          <w:szCs w:val="32"/>
        </w:rPr>
        <w:t>（二）公务用车购置及运行维护费支出8.93万元。</w:t>
      </w:r>
      <w:r>
        <w:rPr>
          <w:rFonts w:eastAsia="仿宋"/>
          <w:sz w:val="32"/>
          <w:szCs w:val="32"/>
        </w:rPr>
        <w:t>本部门2018年度公务用车购置及运行维护费比年初预算减少4.87万元，降低35.3%,主要原因是单位</w:t>
      </w:r>
      <w:r>
        <w:rPr>
          <w:rFonts w:eastAsia="仿宋"/>
          <w:color w:val="000000"/>
          <w:kern w:val="0"/>
          <w:sz w:val="32"/>
          <w:szCs w:val="32"/>
        </w:rPr>
        <w:t>切实压缩公务用车费用支出，采取绿色出行，拼车出行,低碳环保节约</w:t>
      </w:r>
      <w:r>
        <w:rPr>
          <w:rFonts w:eastAsia="仿宋"/>
          <w:sz w:val="32"/>
          <w:szCs w:val="32"/>
        </w:rPr>
        <w:t>；比2017年度决算增加3.19万元，增长55.</w:t>
      </w:r>
      <w:r>
        <w:rPr>
          <w:rFonts w:hint="eastAsia" w:eastAsia="仿宋"/>
          <w:sz w:val="32"/>
          <w:szCs w:val="32"/>
        </w:rPr>
        <w:t>6</w:t>
      </w:r>
      <w:r>
        <w:rPr>
          <w:rFonts w:eastAsia="仿宋"/>
          <w:sz w:val="32"/>
          <w:szCs w:val="32"/>
        </w:rPr>
        <w:t>%，主要原因是2018年水利工程及农村饮水安全项目较多,且比较分散,用车较频繁,因此公车运行费偏高。</w:t>
      </w:r>
      <w:r>
        <w:rPr>
          <w:rFonts w:eastAsia="仿宋"/>
          <w:b/>
          <w:bCs/>
          <w:sz w:val="32"/>
          <w:szCs w:val="32"/>
        </w:rPr>
        <w:t>其中：</w:t>
      </w:r>
    </w:p>
    <w:p>
      <w:pPr>
        <w:adjustRightInd w:val="0"/>
        <w:snapToGrid w:val="0"/>
        <w:spacing w:line="584" w:lineRule="exact"/>
        <w:ind w:firstLine="643" w:firstLineChars="200"/>
        <w:rPr>
          <w:rFonts w:eastAsia="仿宋"/>
          <w:sz w:val="32"/>
          <w:szCs w:val="32"/>
          <w:highlight w:val="yellow"/>
        </w:rPr>
      </w:pPr>
      <w:r>
        <w:rPr>
          <w:rFonts w:eastAsia="仿宋"/>
          <w:b/>
          <w:sz w:val="32"/>
          <w:szCs w:val="32"/>
        </w:rPr>
        <w:t>公务用车购置费支出0万元。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
          <w:sz w:val="32"/>
          <w:szCs w:val="32"/>
          <w:highlight w:val="yellow"/>
        </w:rPr>
      </w:pPr>
      <w:r>
        <w:rPr>
          <w:rFonts w:eastAsia="仿宋"/>
          <w:b/>
          <w:sz w:val="32"/>
          <w:szCs w:val="32"/>
        </w:rPr>
        <w:t>公务用车运行维护费支出8.93万元。</w:t>
      </w:r>
      <w:r>
        <w:rPr>
          <w:rFonts w:eastAsia="仿宋"/>
          <w:sz w:val="32"/>
          <w:szCs w:val="32"/>
        </w:rPr>
        <w:t>本部门2018年末单位公务用车保有量7辆。公车运行维护费支出比年初预算减少4.87万元，降低35.3%，主要原因是单位</w:t>
      </w:r>
      <w:r>
        <w:rPr>
          <w:rFonts w:eastAsia="仿宋"/>
          <w:color w:val="000000"/>
          <w:kern w:val="0"/>
          <w:sz w:val="32"/>
          <w:szCs w:val="32"/>
        </w:rPr>
        <w:t>切实压缩公务用车费用支出，采取绿色出行，低碳环保节约</w:t>
      </w:r>
      <w:r>
        <w:rPr>
          <w:rFonts w:eastAsia="仿宋"/>
          <w:sz w:val="32"/>
          <w:szCs w:val="32"/>
        </w:rPr>
        <w:t>；比2017年度决算增加3.19万元，增长55.57%，主要原因是2018年水利工程及农村饮水安全项目较多,且比较分散,用车较频繁,因此公车运行费偏高。</w:t>
      </w:r>
    </w:p>
    <w:p>
      <w:pPr>
        <w:adjustRightInd w:val="0"/>
        <w:snapToGrid w:val="0"/>
        <w:spacing w:line="584" w:lineRule="exact"/>
        <w:ind w:firstLine="643" w:firstLineChars="200"/>
        <w:rPr>
          <w:rFonts w:eastAsia="仿宋_GB2312"/>
          <w:sz w:val="32"/>
          <w:szCs w:val="32"/>
          <w:highlight w:val="yellow"/>
        </w:rPr>
      </w:pPr>
      <w:r>
        <w:rPr>
          <w:rFonts w:eastAsia="仿宋"/>
          <w:b/>
          <w:bCs/>
          <w:sz w:val="32"/>
          <w:szCs w:val="32"/>
        </w:rPr>
        <w:t>（三）公务接待费支出0万元。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cs="黑体"/>
          <w:sz w:val="32"/>
          <w:szCs w:val="40"/>
        </w:rPr>
      </w:pPr>
      <w:r>
        <w:rPr>
          <w:rFonts w:hint="eastAsia" w:ascii="黑体" w:eastAsia="黑体" w:cs="黑体"/>
          <w:sz w:val="32"/>
          <w:szCs w:val="40"/>
        </w:rPr>
        <w:t>六、预算绩效情况说明</w:t>
      </w:r>
    </w:p>
    <w:p>
      <w:pPr>
        <w:numPr>
          <w:ilvl w:val="0"/>
          <w:numId w:val="2"/>
        </w:numPr>
        <w:adjustRightInd w:val="0"/>
        <w:snapToGrid w:val="0"/>
        <w:spacing w:after="0" w:line="580" w:lineRule="exact"/>
        <w:ind w:left="0" w:firstLine="640" w:firstLineChars="200"/>
        <w:rPr>
          <w:rFonts w:ascii="黑体" w:eastAsia="黑体" w:cs="黑体"/>
          <w:sz w:val="32"/>
          <w:szCs w:val="32"/>
        </w:rPr>
      </w:pPr>
      <w:r>
        <w:rPr>
          <w:rFonts w:hint="eastAsia" w:ascii="黑体" w:eastAsia="黑体" w:cs="黑体"/>
          <w:sz w:val="32"/>
          <w:szCs w:val="32"/>
        </w:rPr>
        <w:t>预算绩效管理工作开展情况。</w:t>
      </w:r>
    </w:p>
    <w:p>
      <w:pPr>
        <w:adjustRightInd w:val="0"/>
        <w:snapToGrid w:val="0"/>
        <w:spacing w:line="584" w:lineRule="exact"/>
        <w:ind w:firstLine="640" w:firstLineChars="200"/>
        <w:rPr>
          <w:rFonts w:eastAsia="仿宋"/>
          <w:sz w:val="32"/>
          <w:szCs w:val="32"/>
        </w:rPr>
      </w:pPr>
      <w:r>
        <w:rPr>
          <w:rFonts w:eastAsia="仿宋"/>
          <w:sz w:val="32"/>
          <w:szCs w:val="32"/>
        </w:rPr>
        <w:t>我单位按照预算绩效管理改革要求，以绩效为导向，严格执行绩效预算管理。2018年，廊坊市广阳区水务局在省市财政部门的指导下，进一步开展预算绩效管理工作，对中央、省及市下达的项目均列入绩效评价范围，做好预算绩效管理的宣传工作，建立健全贯穿预算管理全过程的绩效管理制，并将绩效评价结果应用到实际工作中去，加大预算绩效评价结果的应用，切实提高预算管理的科学化、精细化水平，提高财政资金使用效益，进一步提升了部门预算绩效管理工作水平。</w:t>
      </w:r>
    </w:p>
    <w:p>
      <w:pPr>
        <w:numPr>
          <w:ilvl w:val="0"/>
          <w:numId w:val="2"/>
        </w:numPr>
        <w:adjustRightInd w:val="0"/>
        <w:snapToGrid w:val="0"/>
        <w:spacing w:after="0" w:line="580" w:lineRule="exact"/>
        <w:ind w:left="0" w:firstLine="640" w:firstLineChars="200"/>
        <w:rPr>
          <w:rFonts w:ascii="黑体" w:eastAsia="黑体" w:cs="黑体"/>
          <w:sz w:val="32"/>
          <w:szCs w:val="32"/>
        </w:rPr>
      </w:pPr>
      <w:r>
        <w:rPr>
          <w:rFonts w:hint="eastAsia" w:ascii="黑体" w:eastAsia="黑体" w:cs="黑体"/>
          <w:sz w:val="32"/>
          <w:szCs w:val="32"/>
        </w:rPr>
        <w:t>项目绩效自评结果。</w:t>
      </w:r>
    </w:p>
    <w:p>
      <w:pPr>
        <w:spacing w:line="580" w:lineRule="exact"/>
        <w:ind w:firstLine="640" w:firstLineChars="200"/>
        <w:rPr>
          <w:rFonts w:eastAsia="仿宋"/>
          <w:sz w:val="32"/>
          <w:szCs w:val="32"/>
        </w:rPr>
      </w:pPr>
      <w:r>
        <w:rPr>
          <w:rFonts w:eastAsia="仿宋"/>
          <w:sz w:val="32"/>
          <w:szCs w:val="32"/>
        </w:rPr>
        <w:t>我单位本年度专项项目有2项，分别为50万防汛经费和23万广阳区河长制“一河一策”编制费，资金总量为73万元，资金来源为区级资金。防汛经费项目评价等级为优，评优率50%；广阳区河长制“一河一策”项目评价等级为良，评良率50%。</w:t>
      </w:r>
    </w:p>
    <w:p>
      <w:pPr>
        <w:numPr>
          <w:ilvl w:val="0"/>
          <w:numId w:val="2"/>
        </w:numPr>
        <w:adjustRightInd w:val="0"/>
        <w:snapToGrid w:val="0"/>
        <w:spacing w:after="0" w:line="580" w:lineRule="exact"/>
        <w:ind w:left="0" w:firstLine="640" w:firstLineChars="200"/>
        <w:rPr>
          <w:rFonts w:ascii="黑体" w:eastAsia="黑体" w:cs="黑体"/>
          <w:sz w:val="32"/>
          <w:szCs w:val="32"/>
        </w:rPr>
      </w:pPr>
      <w:r>
        <w:rPr>
          <w:rFonts w:hint="eastAsia" w:ascii="黑体" w:eastAsia="黑体" w:cs="黑体"/>
          <w:sz w:val="32"/>
          <w:szCs w:val="32"/>
        </w:rPr>
        <w:t>重点项目绩效评价结果。</w:t>
      </w:r>
    </w:p>
    <w:p>
      <w:pPr>
        <w:spacing w:line="580" w:lineRule="exact"/>
        <w:ind w:firstLine="640" w:firstLineChars="200"/>
        <w:rPr>
          <w:rFonts w:eastAsia="仿宋"/>
          <w:sz w:val="32"/>
          <w:szCs w:val="32"/>
        </w:rPr>
      </w:pPr>
      <w:r>
        <w:rPr>
          <w:rFonts w:eastAsia="仿宋"/>
          <w:sz w:val="32"/>
          <w:szCs w:val="32"/>
        </w:rPr>
        <w:t>我单位本年度重点项目有2项，防汛经费项目评价等级为优，评优率50%；广阳区河长制“一河一策”项目评价等级为良，评良率50%。</w:t>
      </w:r>
    </w:p>
    <w:p>
      <w:pPr>
        <w:pStyle w:val="3"/>
        <w:spacing w:before="0" w:after="0" w:line="580" w:lineRule="exact"/>
        <w:ind w:firstLine="640" w:firstLineChars="200"/>
        <w:rPr>
          <w:rFonts w:ascii="黑体" w:eastAsia="黑体" w:cs="黑体"/>
          <w:b w:val="0"/>
          <w:bCs w:val="0"/>
        </w:rPr>
      </w:pPr>
      <w:r>
        <w:rPr>
          <w:rFonts w:hint="eastAsia" w:ascii="黑体" w:eastAsia="黑体" w:cs="黑体"/>
          <w:b w:val="0"/>
          <w:bCs w:val="0"/>
        </w:rPr>
        <w:t>七、其他重要事项的说明</w:t>
      </w:r>
    </w:p>
    <w:p>
      <w:pPr>
        <w:pStyle w:val="4"/>
        <w:spacing w:before="0" w:after="0" w:line="580" w:lineRule="exact"/>
        <w:ind w:firstLine="643" w:firstLineChars="200"/>
        <w:rPr>
          <w:rFonts w:eastAsia="仿宋"/>
        </w:rPr>
      </w:pPr>
      <w:r>
        <w:rPr>
          <w:rFonts w:eastAsia="仿宋"/>
        </w:rPr>
        <w:t>（一）机关运行经费情况</w:t>
      </w:r>
    </w:p>
    <w:p>
      <w:pPr>
        <w:adjustRightInd w:val="0"/>
        <w:snapToGrid w:val="0"/>
        <w:spacing w:after="0" w:line="580" w:lineRule="exact"/>
        <w:ind w:firstLine="640" w:firstLineChars="200"/>
        <w:rPr>
          <w:rFonts w:eastAsia="仿宋"/>
          <w:sz w:val="32"/>
          <w:szCs w:val="32"/>
        </w:rPr>
      </w:pPr>
      <w:r>
        <w:rPr>
          <w:rFonts w:eastAsia="仿宋"/>
          <w:sz w:val="32"/>
          <w:szCs w:val="32"/>
        </w:rPr>
        <w:t>本部门2018年度机关运行经费支出181.76万元，比年初预算数增加85.2万元，增长88.2 %。主要原因是一次性支出较2017年多，如2018年机关办公楼、停车场维修等。较2017年度决算减少342.18万元，降低65.3%，主要原因是我单位积极响映党中央号召,节约不必要的</w:t>
      </w:r>
    </w:p>
    <w:p>
      <w:pPr>
        <w:pStyle w:val="4"/>
        <w:spacing w:before="0" w:after="0" w:line="580" w:lineRule="exact"/>
        <w:ind w:firstLine="643" w:firstLineChars="200"/>
        <w:rPr>
          <w:rFonts w:eastAsia="仿宋"/>
        </w:rPr>
      </w:pPr>
      <w:r>
        <w:rPr>
          <w:rFonts w:eastAsia="仿宋"/>
        </w:rPr>
        <w:t>（二）政府采购情况</w:t>
      </w:r>
    </w:p>
    <w:p>
      <w:pPr>
        <w:widowControl/>
        <w:spacing w:after="0" w:line="580" w:lineRule="exact"/>
        <w:ind w:firstLine="640" w:firstLineChars="200"/>
        <w:jc w:val="left"/>
        <w:rPr>
          <w:rFonts w:ascii="仿宋_GB2312" w:eastAsia="仿宋_GB2312" w:cs="DengXian-Regular"/>
          <w:sz w:val="32"/>
          <w:szCs w:val="32"/>
        </w:rPr>
      </w:pPr>
      <w:r>
        <w:rPr>
          <w:rFonts w:eastAsia="仿宋"/>
          <w:sz w:val="32"/>
          <w:szCs w:val="32"/>
        </w:rPr>
        <w:t>本部门2018年度政府采购支出总额529.77万元，从采购类型来看，</w:t>
      </w:r>
      <w:r>
        <w:rPr>
          <w:rFonts w:eastAsia="仿宋"/>
          <w:color w:val="000000"/>
          <w:kern w:val="0"/>
          <w:sz w:val="32"/>
          <w:szCs w:val="32"/>
        </w:rPr>
        <w:t>政府采购货物支出92.62 万元、政府采购工程支出359.27万元、政府采购服务支出 77.88万元</w:t>
      </w:r>
      <w:r>
        <w:rPr>
          <w:rFonts w:hint="eastAsia" w:eastAsia="仿宋"/>
          <w:color w:val="000000"/>
          <w:kern w:val="0"/>
          <w:sz w:val="32"/>
          <w:szCs w:val="32"/>
          <w:lang w:eastAsia="zh-CN"/>
        </w:rPr>
        <w:t>。</w:t>
      </w:r>
      <w:r>
        <w:rPr>
          <w:rFonts w:hint="eastAsia" w:eastAsia="仿宋"/>
          <w:color w:val="000000"/>
          <w:kern w:val="0"/>
          <w:sz w:val="32"/>
          <w:szCs w:val="32"/>
          <w:lang w:val="en-US" w:eastAsia="zh-CN"/>
        </w:rPr>
        <w:t>其中</w:t>
      </w:r>
      <w:r>
        <w:rPr>
          <w:rFonts w:ascii="仿宋_GB2312" w:hAnsi="仿宋_GB2312" w:eastAsia="仿宋_GB2312" w:cs="仿宋_GB2312"/>
          <w:color w:val="000000"/>
          <w:kern w:val="0"/>
          <w:sz w:val="32"/>
          <w:szCs w:val="32"/>
        </w:rPr>
        <w:t>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其中授予小微企业合同金额</w:t>
      </w:r>
      <w:r>
        <w:rPr>
          <w:rFonts w:hint="eastAsia" w:ascii="仿宋_GB2312" w:eastAsia="仿宋_GB2312" w:cs="DengXian-Regular"/>
          <w:sz w:val="32"/>
          <w:szCs w:val="32"/>
          <w:lang w:val="en-US" w:eastAsia="zh-CN"/>
        </w:rPr>
        <w:t>529.77</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rPr>
        <w:t>100</w:t>
      </w:r>
      <w:r>
        <w:rPr>
          <w:rFonts w:ascii="仿宋_GB2312" w:hAnsi="仿宋_GB2312" w:eastAsia="仿宋_GB2312" w:cs="仿宋_GB2312"/>
          <w:color w:val="000000"/>
          <w:kern w:val="0"/>
          <w:sz w:val="32"/>
          <w:szCs w:val="32"/>
        </w:rPr>
        <w:t>%。</w:t>
      </w:r>
    </w:p>
    <w:p>
      <w:pPr>
        <w:widowControl/>
        <w:spacing w:after="0" w:line="580" w:lineRule="exact"/>
        <w:ind w:firstLine="640" w:firstLineChars="200"/>
        <w:jc w:val="left"/>
        <w:rPr>
          <w:rFonts w:hint="eastAsia" w:eastAsia="仿宋"/>
          <w:sz w:val="32"/>
          <w:szCs w:val="32"/>
          <w:lang w:eastAsia="zh-CN"/>
        </w:rPr>
      </w:pPr>
    </w:p>
    <w:p>
      <w:pPr>
        <w:pStyle w:val="4"/>
        <w:spacing w:before="0" w:after="0" w:line="580" w:lineRule="exact"/>
        <w:ind w:firstLine="643" w:firstLineChars="200"/>
        <w:rPr>
          <w:rFonts w:eastAsia="仿宋"/>
        </w:rPr>
      </w:pPr>
      <w:r>
        <w:rPr>
          <w:rFonts w:eastAsia="仿宋"/>
        </w:rPr>
        <w:t>（三）国有资产占用情况</w:t>
      </w:r>
    </w:p>
    <w:p>
      <w:pPr>
        <w:adjustRightInd w:val="0"/>
        <w:snapToGrid w:val="0"/>
        <w:spacing w:after="0" w:line="580" w:lineRule="exact"/>
        <w:ind w:firstLine="640" w:firstLineChars="200"/>
        <w:rPr>
          <w:rFonts w:eastAsia="仿宋"/>
          <w:sz w:val="32"/>
          <w:szCs w:val="32"/>
        </w:rPr>
      </w:pPr>
      <w:r>
        <w:rPr>
          <w:rFonts w:eastAsia="仿宋"/>
          <w:sz w:val="32"/>
          <w:szCs w:val="32"/>
        </w:rPr>
        <w:t>截至2018年12月31日，本部门共有车辆5辆，比上年增加（减少</w:t>
      </w:r>
      <w:bookmarkStart w:id="0" w:name="_GoBack"/>
      <w:bookmarkEnd w:id="0"/>
      <w:r>
        <w:rPr>
          <w:rFonts w:eastAsia="仿宋"/>
          <w:sz w:val="32"/>
          <w:szCs w:val="32"/>
        </w:rPr>
        <w:t>）0辆，较2017年度决算无增减变化。其中，副部（省）级及以上领导用车0辆，主要领导干部用车0辆，机要通信用车0辆，应急保障用车0辆，执法执勤用车0辆，特种专业技术用车0辆，离退休干部用车0辆，其他用车5辆，其他用车主要有3辆防汛专用车,2辆普桑 轿车用于机关办公出行；单位价值50万元以上通用设备0台（套），比上年增加（减少）0套，较2017年度决算无增减变化 ，单位价值100万元以上专用设备0台（套）比上年增加（减少）0套,较2017年度决算无增减变化。</w:t>
      </w:r>
    </w:p>
    <w:p>
      <w:pPr>
        <w:pStyle w:val="4"/>
        <w:spacing w:before="0" w:after="0" w:line="580" w:lineRule="exact"/>
        <w:ind w:firstLine="643" w:firstLineChars="200"/>
        <w:rPr>
          <w:rFonts w:eastAsia="仿宋"/>
        </w:rPr>
      </w:pPr>
      <w:r>
        <w:rPr>
          <w:rFonts w:eastAsia="仿宋"/>
        </w:rPr>
        <w:t>（四）其他需要说明的情况</w:t>
      </w:r>
    </w:p>
    <w:p>
      <w:pPr>
        <w:adjustRightInd w:val="0"/>
        <w:snapToGrid w:val="0"/>
        <w:spacing w:after="0" w:line="580" w:lineRule="exact"/>
        <w:ind w:firstLine="640" w:firstLineChars="200"/>
        <w:rPr>
          <w:rFonts w:eastAsia="仿宋"/>
          <w:sz w:val="32"/>
          <w:szCs w:val="32"/>
        </w:rPr>
      </w:pPr>
      <w:r>
        <w:rPr>
          <w:rFonts w:eastAsia="仿宋"/>
          <w:sz w:val="32"/>
          <w:szCs w:val="32"/>
        </w:rPr>
        <w:t>1、本部门2018年度国有资本经营预算收入无收支及结转结余情况，故国有资本经营预算收入表以空表列示。</w:t>
      </w:r>
    </w:p>
    <w:p>
      <w:pPr>
        <w:adjustRightInd w:val="0"/>
        <w:snapToGrid w:val="0"/>
        <w:spacing w:after="0" w:line="580" w:lineRule="exact"/>
        <w:ind w:firstLine="640" w:firstLineChars="200"/>
        <w:rPr>
          <w:rFonts w:eastAsia="仿宋"/>
          <w:sz w:val="32"/>
          <w:szCs w:val="32"/>
        </w:rPr>
      </w:pPr>
      <w:r>
        <w:rPr>
          <w:rFonts w:eastAsia="仿宋"/>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eastAsia="仿宋"/>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eastAsia="仿宋"/>
          <w:color w:val="000000"/>
          <w:sz w:val="96"/>
          <w:szCs w:val="96"/>
        </w:rPr>
      </w:pPr>
    </w:p>
    <w:p>
      <w:pPr>
        <w:widowControl/>
        <w:spacing w:line="1200" w:lineRule="exact"/>
        <w:jc w:val="center"/>
        <w:rPr>
          <w:rFonts w:eastAsia="仿宋"/>
          <w:color w:val="000000"/>
          <w:sz w:val="96"/>
          <w:szCs w:val="96"/>
        </w:rPr>
      </w:pPr>
    </w:p>
    <w:p>
      <w:pPr>
        <w:widowControl/>
        <w:spacing w:line="1200" w:lineRule="exact"/>
        <w:jc w:val="center"/>
        <w:rPr>
          <w:rFonts w:eastAsia="仿宋"/>
          <w:color w:val="000000"/>
          <w:sz w:val="96"/>
          <w:szCs w:val="96"/>
        </w:rPr>
      </w:pPr>
    </w:p>
    <w:p>
      <w:pPr>
        <w:widowControl/>
        <w:spacing w:line="1200" w:lineRule="exact"/>
        <w:jc w:val="center"/>
        <w:rPr>
          <w:rFonts w:hint="eastAsia"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rFonts w:hint="eastAsia" w:ascii="黑体" w:eastAsia="黑体"/>
          <w:color w:val="000000"/>
          <w:sz w:val="96"/>
          <w:szCs w:val="96"/>
        </w:rPr>
      </w:pPr>
      <w:r>
        <w:rPr>
          <w:rFonts w:hint="eastAsia" w:ascii="黑体" w:eastAsia="黑体"/>
          <w:color w:val="000000"/>
          <w:sz w:val="96"/>
          <w:szCs w:val="96"/>
        </w:rPr>
        <w:t>名词解释</w:t>
      </w:r>
    </w:p>
    <w:p>
      <w:pPr>
        <w:rPr>
          <w:rFonts w:eastAsia="仿宋"/>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（一）财政拨款收入：</w:t>
      </w:r>
      <w:r>
        <w:rPr>
          <w:rFonts w:eastAsia="仿宋"/>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（二）事业收入：</w:t>
      </w:r>
      <w:r>
        <w:rPr>
          <w:rFonts w:eastAsia="仿宋"/>
          <w:color w:val="000000"/>
          <w:kern w:val="0"/>
          <w:sz w:val="32"/>
          <w:szCs w:val="32"/>
        </w:rPr>
        <w:t>指事业单位开展专业业务活动及辅助活动所取得的收入。</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（三）其他收入：</w:t>
      </w:r>
      <w:r>
        <w:rPr>
          <w:rFonts w:eastAsia="仿宋"/>
          <w:color w:val="000000"/>
          <w:kern w:val="0"/>
          <w:sz w:val="32"/>
          <w:szCs w:val="32"/>
        </w:rPr>
        <w:t>指除上述“财政拨款收入”“事业收入”“经营收入”等以外的收入。</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（四）用事业基金弥补收支差额：</w:t>
      </w:r>
      <w:r>
        <w:rPr>
          <w:rFonts w:eastAsia="仿宋"/>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（五）年初结转和结余：</w:t>
      </w:r>
      <w:r>
        <w:rPr>
          <w:rFonts w:eastAsia="仿宋"/>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（六）结余分配：</w:t>
      </w:r>
      <w:r>
        <w:rPr>
          <w:rFonts w:eastAsia="仿宋"/>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（七）年末结转和结余：</w:t>
      </w:r>
      <w:r>
        <w:rPr>
          <w:rFonts w:eastAsia="仿宋"/>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（八）基本支出：</w:t>
      </w:r>
      <w:r>
        <w:rPr>
          <w:rFonts w:eastAsia="仿宋"/>
          <w:color w:val="000000"/>
          <w:kern w:val="0"/>
          <w:sz w:val="32"/>
          <w:szCs w:val="32"/>
        </w:rPr>
        <w:t>填列单位为保障机构正常运转、完成日常工作任务而发生的各项支出。</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（九）项目支出：</w:t>
      </w:r>
      <w:r>
        <w:rPr>
          <w:rFonts w:eastAsia="仿宋"/>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（十）资本性支出（基本建设）：</w:t>
      </w:r>
      <w:r>
        <w:rPr>
          <w:rFonts w:eastAsia="仿宋"/>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（十一）资本性支出：</w:t>
      </w:r>
      <w:r>
        <w:rPr>
          <w:rFonts w:eastAsia="仿宋"/>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（十二）“三公”经费：</w:t>
      </w:r>
      <w:r>
        <w:rPr>
          <w:rFonts w:eastAsia="仿宋"/>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（十三）其他交通费用：</w:t>
      </w:r>
      <w:r>
        <w:rPr>
          <w:rFonts w:eastAsia="仿宋"/>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（十四）公务用车购置：</w:t>
      </w:r>
      <w:r>
        <w:rPr>
          <w:rFonts w:eastAsia="仿宋"/>
          <w:color w:val="000000"/>
          <w:kern w:val="0"/>
          <w:sz w:val="32"/>
          <w:szCs w:val="32"/>
        </w:rPr>
        <w:t>填列单位公务用车购置支出（含车辆购置税、牌照费）。</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（十五）其他交通工具购置：</w:t>
      </w:r>
      <w:r>
        <w:rPr>
          <w:rFonts w:eastAsia="仿宋"/>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eastAsia="仿宋"/>
          <w:color w:val="000000"/>
          <w:kern w:val="0"/>
          <w:sz w:val="32"/>
          <w:szCs w:val="32"/>
        </w:rPr>
      </w:pPr>
      <w:r>
        <w:rPr>
          <w:rFonts w:eastAsia="仿宋"/>
          <w:b/>
          <w:bCs/>
          <w:color w:val="000000"/>
          <w:kern w:val="0"/>
          <w:sz w:val="32"/>
          <w:szCs w:val="32"/>
        </w:rPr>
        <w:t>（十六）机关运行经费：</w:t>
      </w:r>
      <w:r>
        <w:rPr>
          <w:rFonts w:eastAsia="仿宋"/>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eastAsia="仿宋"/>
          <w:kern w:val="0"/>
          <w:sz w:val="32"/>
          <w:szCs w:val="32"/>
        </w:rPr>
      </w:pPr>
      <w:r>
        <w:rPr>
          <w:rFonts w:eastAsia="仿宋"/>
          <w:b/>
          <w:bCs/>
          <w:color w:val="000000"/>
          <w:kern w:val="0"/>
          <w:sz w:val="32"/>
          <w:szCs w:val="32"/>
        </w:rPr>
        <w:t>（十七）经费形式:</w:t>
      </w:r>
      <w:r>
        <w:rPr>
          <w:rFonts w:eastAsia="仿宋"/>
          <w:color w:val="000000"/>
          <w:kern w:val="0"/>
          <w:sz w:val="32"/>
          <w:szCs w:val="32"/>
        </w:rPr>
        <w:t>按照经费来源，</w:t>
      </w:r>
      <w:r>
        <w:rPr>
          <w:rFonts w:eastAsia="仿宋"/>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ind w:firstLine="640" w:firstLineChars="200"/>
        <w:rPr>
          <w:rFonts w:eastAsia="仿宋"/>
          <w:kern w:val="0"/>
          <w:sz w:val="32"/>
          <w:szCs w:val="32"/>
        </w:rPr>
      </w:pPr>
    </w:p>
    <w:p>
      <w:pPr>
        <w:widowControl/>
        <w:spacing w:after="0" w:line="560" w:lineRule="exact"/>
        <w:rPr>
          <w:rFonts w:eastAsia="仿宋"/>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B7F62"/>
    <w:multiLevelType w:val="singleLevel"/>
    <w:tmpl w:val="B12B7F62"/>
    <w:lvl w:ilvl="0" w:tentative="0">
      <w:start w:val="1"/>
      <w:numFmt w:val="chineseCounting"/>
      <w:suff w:val="nothing"/>
      <w:lvlText w:val="（%1）"/>
      <w:lvlJc w:val="left"/>
      <w:pPr>
        <w:tabs>
          <w:tab w:val="left" w:pos="0"/>
        </w:tabs>
        <w:ind w:left="0" w:firstLine="0"/>
      </w:pPr>
      <w:rPr>
        <w:rFonts w:hint="eastAsia"/>
      </w:rPr>
    </w:lvl>
  </w:abstractNum>
  <w:abstractNum w:abstractNumId="1">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rsids>
    <w:rsidRoot w:val="00000000"/>
    <w:rsid w:val="02C035C1"/>
    <w:rsid w:val="0B3B3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qFormat/>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4">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qFormat/>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Normal (Web)"/>
    <w:basedOn w:val="1"/>
    <w:qFormat/>
    <w:uiPriority w:val="0"/>
    <w:pPr>
      <w:widowControl/>
      <w:spacing w:before="100" w:beforeAutospacing="1" w:after="100" w:afterAutospacing="1"/>
      <w:jc w:val="left"/>
    </w:pPr>
    <w:rPr>
      <w:rFonts w:ascii="宋体" w:cs="宋体"/>
      <w:kern w:val="0"/>
      <w:sz w:val="24"/>
    </w:rPr>
  </w:style>
  <w:style w:type="paragraph" w:styleId="12">
    <w:name w:val="Title"/>
    <w:basedOn w:val="1"/>
    <w:next w:val="1"/>
    <w:qFormat/>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5">
    <w:name w:val="No Spacing"/>
    <w:qFormat/>
    <w:uiPriority w:val="0"/>
    <w:pPr>
      <w:spacing w:after="160" w:line="480" w:lineRule="auto"/>
    </w:pPr>
    <w:rPr>
      <w:rFonts w:ascii="Cambria" w:hAnsi="Cambria" w:eastAsia="黑体" w:cs="Times New Roman"/>
      <w:sz w:val="22"/>
      <w:szCs w:val="22"/>
      <w:lang w:val="en-US" w:eastAsia="zh-CN" w:bidi="ar-SA"/>
    </w:rPr>
  </w:style>
  <w:style w:type="character" w:customStyle="1" w:styleId="16">
    <w:name w:val="Style1"/>
    <w:basedOn w:val="14"/>
    <w:qFormat/>
    <w:uiPriority w:val="0"/>
    <w:rPr>
      <w:rFonts w:ascii="Cambria" w:hAnsi="Cambria" w:eastAsia="黑体" w:cs="Times New Roman"/>
      <w:sz w:val="22"/>
      <w:szCs w:val="22"/>
      <w:lang w:eastAsia="zh-CN"/>
    </w:rPr>
  </w:style>
  <w:style w:type="character" w:customStyle="1" w:styleId="17">
    <w:name w:val="Style2"/>
    <w:basedOn w:val="14"/>
    <w:qFormat/>
    <w:uiPriority w:val="0"/>
    <w:rPr>
      <w:rFonts w:ascii="Cambria" w:hAnsi="Cambria" w:eastAsia="黑体" w:cs="Times New Roman"/>
      <w:sz w:val="22"/>
      <w:szCs w:val="22"/>
      <w:lang w:eastAsia="zh-CN"/>
    </w:rPr>
  </w:style>
  <w:style w:type="character" w:customStyle="1" w:styleId="18">
    <w:name w:val="Style3"/>
    <w:basedOn w:val="14"/>
    <w:qFormat/>
    <w:uiPriority w:val="0"/>
    <w:rPr>
      <w:rFonts w:ascii="Cambria" w:hAnsi="Cambria" w:eastAsia="黑体" w:cs="Times New Roman"/>
      <w:szCs w:val="22"/>
      <w:lang w:eastAsia="zh-CN"/>
    </w:rPr>
  </w:style>
  <w:style w:type="character" w:customStyle="1" w:styleId="19">
    <w:name w:val="Style4"/>
    <w:basedOn w:val="14"/>
    <w:qFormat/>
    <w:uiPriority w:val="0"/>
    <w:rPr>
      <w:rFonts w:ascii="Cambria" w:hAnsi="Cambria" w:eastAsia="黑体" w:cs="Times New Roman"/>
      <w:szCs w:val="22"/>
      <w:lang w:eastAsia="zh-CN"/>
    </w:rPr>
  </w:style>
  <w:style w:type="character" w:customStyle="1" w:styleId="20">
    <w:name w:val="Style5"/>
    <w:basedOn w:val="14"/>
    <w:qFormat/>
    <w:uiPriority w:val="0"/>
    <w:rPr>
      <w:rFonts w:ascii="Cambria" w:hAnsi="Cambria" w:eastAsia="黑体" w:cs="Times New Roman"/>
      <w:sz w:val="22"/>
      <w:szCs w:val="22"/>
      <w:lang w:eastAsia="zh-CN"/>
    </w:rPr>
  </w:style>
  <w:style w:type="paragraph" w:customStyle="1" w:styleId="21">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18</Pages>
  <Words>5349</Words>
  <Characters>5915</Characters>
  <Lines>310</Lines>
  <Paragraphs>102</Paragraphs>
  <TotalTime>1</TotalTime>
  <ScaleCrop>false</ScaleCrop>
  <LinksUpToDate>false</LinksUpToDate>
  <CharactersWithSpaces>5927</CharactersWithSpaces>
  <Application>WPS Office_11.1.0.10578_F1E327BC-269C-435d-A152-05C5408002CA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水晶石榴</cp:lastModifiedBy>
  <cp:lastPrinted>2019-10-31T01:35:00Z</cp:lastPrinted>
  <dcterms:modified xsi:type="dcterms:W3CDTF">2021-06-22T03:26:00Z</dcterms:modified>
  <dc:subject>石家庄市xxx部门</dc:subject>
  <dc:title>2017年度部门决算</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9330F5CF80CC4DF3B56EDE7240926D56</vt:lpwstr>
  </property>
</Properties>
</file>