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D0BD4" w:rsidRDefault="002D0BD4">
      <w:pPr>
        <w:widowControl/>
        <w:spacing w:line="1200" w:lineRule="exact"/>
        <w:jc w:val="center"/>
        <w:rPr>
          <w:rFonts w:ascii="黑体" w:eastAsia="黑体"/>
          <w:color w:val="000000"/>
          <w:sz w:val="96"/>
          <w:szCs w:val="96"/>
        </w:rPr>
      </w:pPr>
    </w:p>
    <w:p w:rsidR="002D0BD4" w:rsidRDefault="002D0BD4">
      <w:pPr>
        <w:widowControl/>
        <w:spacing w:line="1200" w:lineRule="exact"/>
        <w:jc w:val="center"/>
        <w:rPr>
          <w:rFonts w:ascii="黑体" w:eastAsia="黑体"/>
          <w:color w:val="000000"/>
          <w:sz w:val="96"/>
          <w:szCs w:val="96"/>
        </w:rPr>
      </w:pPr>
    </w:p>
    <w:p w:rsidR="002D0BD4" w:rsidRDefault="00E93A5A">
      <w:pPr>
        <w:widowControl/>
        <w:spacing w:line="1200" w:lineRule="exact"/>
        <w:jc w:val="center"/>
        <w:rPr>
          <w:color w:val="000000"/>
          <w:sz w:val="96"/>
          <w:szCs w:val="96"/>
        </w:rPr>
      </w:pPr>
      <w:r>
        <w:rPr>
          <w:sz w:val="84"/>
          <w:szCs w:val="84"/>
        </w:rPr>
        <w:t>2018</w:t>
      </w:r>
      <w:r>
        <w:rPr>
          <w:rFonts w:hint="eastAsia"/>
          <w:sz w:val="84"/>
          <w:szCs w:val="84"/>
        </w:rPr>
        <w:t>年度部门决算公开</w:t>
      </w:r>
    </w:p>
    <w:p w:rsidR="002D0BD4" w:rsidRDefault="002D0BD4">
      <w:pPr>
        <w:widowControl/>
        <w:jc w:val="center"/>
        <w:rPr>
          <w:rFonts w:ascii="黑体" w:eastAsia="黑体"/>
          <w:color w:val="002060"/>
          <w:sz w:val="72"/>
          <w:szCs w:val="72"/>
        </w:rPr>
      </w:pPr>
    </w:p>
    <w:p w:rsidR="002D0BD4" w:rsidRDefault="002D0BD4">
      <w:pPr>
        <w:widowControl/>
        <w:jc w:val="center"/>
        <w:rPr>
          <w:rFonts w:ascii="黑体" w:eastAsia="黑体"/>
          <w:b/>
          <w:sz w:val="72"/>
          <w:szCs w:val="72"/>
        </w:rPr>
      </w:pPr>
    </w:p>
    <w:p w:rsidR="002D0BD4" w:rsidRDefault="002D0BD4">
      <w:pPr>
        <w:widowControl/>
        <w:jc w:val="center"/>
        <w:rPr>
          <w:rFonts w:ascii="黑体" w:eastAsia="黑体"/>
          <w:b/>
          <w:sz w:val="72"/>
          <w:szCs w:val="72"/>
        </w:rPr>
      </w:pPr>
    </w:p>
    <w:p w:rsidR="002D0BD4" w:rsidRDefault="002D0BD4">
      <w:pPr>
        <w:widowControl/>
        <w:jc w:val="center"/>
        <w:rPr>
          <w:rFonts w:ascii="黑体" w:eastAsia="黑体"/>
          <w:b/>
          <w:sz w:val="72"/>
          <w:szCs w:val="72"/>
        </w:rPr>
      </w:pPr>
    </w:p>
    <w:p w:rsidR="002D0BD4" w:rsidRDefault="002D0BD4">
      <w:pPr>
        <w:widowControl/>
        <w:jc w:val="center"/>
        <w:rPr>
          <w:rFonts w:ascii="黑体" w:eastAsia="黑体"/>
          <w:b/>
          <w:sz w:val="72"/>
          <w:szCs w:val="72"/>
        </w:rPr>
      </w:pPr>
    </w:p>
    <w:p w:rsidR="002D0BD4" w:rsidRDefault="002D0BD4">
      <w:pPr>
        <w:widowControl/>
        <w:jc w:val="center"/>
        <w:rPr>
          <w:rFonts w:ascii="黑体" w:eastAsia="黑体"/>
          <w:b/>
          <w:sz w:val="72"/>
          <w:szCs w:val="72"/>
        </w:rPr>
      </w:pPr>
    </w:p>
    <w:p w:rsidR="002D0BD4" w:rsidRDefault="00E93A5A">
      <w:pPr>
        <w:jc w:val="center"/>
      </w:pPr>
      <w:r>
        <w:rPr>
          <w:rFonts w:hint="eastAsia"/>
          <w:b/>
          <w:sz w:val="44"/>
          <w:szCs w:val="44"/>
        </w:rPr>
        <w:t>廊坊市广阳</w:t>
      </w:r>
      <w:proofErr w:type="gramStart"/>
      <w:r>
        <w:rPr>
          <w:rFonts w:hint="eastAsia"/>
          <w:b/>
          <w:sz w:val="44"/>
          <w:szCs w:val="44"/>
        </w:rPr>
        <w:t>区万庄镇</w:t>
      </w:r>
      <w:proofErr w:type="gramEnd"/>
      <w:r>
        <w:rPr>
          <w:rFonts w:hint="eastAsia"/>
          <w:b/>
          <w:sz w:val="44"/>
          <w:szCs w:val="44"/>
        </w:rPr>
        <w:t>人民政府</w:t>
      </w:r>
    </w:p>
    <w:p w:rsidR="002D0BD4" w:rsidRDefault="002D0BD4"/>
    <w:p w:rsidR="002D0BD4" w:rsidRDefault="002D0BD4"/>
    <w:p w:rsidR="002D0BD4" w:rsidRDefault="002D0BD4"/>
    <w:p w:rsidR="002D0BD4" w:rsidRDefault="002D0BD4"/>
    <w:p w:rsidR="002D0BD4" w:rsidRDefault="002D0BD4"/>
    <w:p w:rsidR="002D0BD4" w:rsidRDefault="00E93A5A">
      <w:pPr>
        <w:widowControl/>
        <w:jc w:val="center"/>
        <w:rPr>
          <w:color w:val="000000"/>
          <w:sz w:val="72"/>
          <w:szCs w:val="72"/>
        </w:rPr>
      </w:pPr>
      <w:r>
        <w:rPr>
          <w:rFonts w:ascii="黑体" w:eastAsia="黑体" w:hint="eastAsia"/>
          <w:color w:val="000000"/>
          <w:sz w:val="72"/>
          <w:szCs w:val="72"/>
        </w:rPr>
        <w:t>第一部分</w:t>
      </w:r>
      <w:r>
        <w:rPr>
          <w:rFonts w:ascii="黑体" w:eastAsia="黑体"/>
          <w:color w:val="000000"/>
          <w:sz w:val="72"/>
          <w:szCs w:val="72"/>
        </w:rPr>
        <w:t xml:space="preserve">  </w:t>
      </w:r>
      <w:r>
        <w:rPr>
          <w:rFonts w:ascii="黑体" w:eastAsia="黑体" w:hint="eastAsia"/>
          <w:color w:val="000000"/>
          <w:sz w:val="72"/>
          <w:szCs w:val="72"/>
        </w:rPr>
        <w:t>部门概况</w:t>
      </w:r>
    </w:p>
    <w:p w:rsidR="002D0BD4" w:rsidRDefault="002D0BD4"/>
    <w:p w:rsidR="002D0BD4" w:rsidRDefault="002D0BD4"/>
    <w:p w:rsidR="002D0BD4" w:rsidRDefault="002D0BD4"/>
    <w:p w:rsidR="002D0BD4" w:rsidRDefault="002D0BD4"/>
    <w:p w:rsidR="002D0BD4" w:rsidRDefault="002D0BD4"/>
    <w:p w:rsidR="002D0BD4" w:rsidRDefault="002D0BD4"/>
    <w:p w:rsidR="002D0BD4" w:rsidRDefault="002D0BD4"/>
    <w:p w:rsidR="002D0BD4" w:rsidRDefault="002D0BD4"/>
    <w:p w:rsidR="002D0BD4" w:rsidRDefault="002D0BD4"/>
    <w:p w:rsidR="002D0BD4" w:rsidRDefault="002D0BD4"/>
    <w:p w:rsidR="002D0BD4" w:rsidRDefault="002D0BD4"/>
    <w:p w:rsidR="002D0BD4" w:rsidRDefault="002D0BD4"/>
    <w:p w:rsidR="002D0BD4" w:rsidRDefault="00E93A5A">
      <w:pPr>
        <w:pStyle w:val="1"/>
        <w:spacing w:before="0" w:after="0" w:line="60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lastRenderedPageBreak/>
        <w:t>一、部门职责</w:t>
      </w:r>
    </w:p>
    <w:p w:rsidR="002D0BD4" w:rsidRDefault="00E93A5A">
      <w:pPr>
        <w:widowControl/>
        <w:spacing w:line="360" w:lineRule="atLeast"/>
        <w:ind w:firstLineChars="147" w:firstLine="472"/>
        <w:jc w:val="left"/>
        <w:rPr>
          <w:rFonts w:ascii="仿宋_GB2312" w:eastAsia="仿宋_GB2312" w:cs="宋体"/>
          <w:b/>
          <w:bCs/>
          <w:color w:val="000000"/>
          <w:kern w:val="0"/>
          <w:sz w:val="32"/>
          <w:szCs w:val="32"/>
        </w:rPr>
      </w:pPr>
      <w:r>
        <w:rPr>
          <w:rFonts w:ascii="仿宋_GB2312" w:eastAsia="仿宋_GB2312" w:cs="宋体" w:hint="eastAsia"/>
          <w:b/>
          <w:color w:val="000000"/>
          <w:kern w:val="0"/>
          <w:sz w:val="32"/>
          <w:szCs w:val="32"/>
        </w:rPr>
        <w:t>（一）转变乡镇职能，明确乡镇工作重点。</w:t>
      </w:r>
      <w:r>
        <w:rPr>
          <w:rFonts w:ascii="仿宋_GB2312" w:eastAsia="仿宋_GB2312" w:cs="宋体" w:hint="eastAsia"/>
          <w:color w:val="000000"/>
          <w:kern w:val="0"/>
          <w:sz w:val="32"/>
          <w:szCs w:val="32"/>
        </w:rPr>
        <w:t>改革中要着力推进职能转变，乡镇党委、政府在履行好法律赋予职责的基础上，重点强化一下职责。</w:t>
      </w:r>
      <w:r>
        <w:rPr>
          <w:rFonts w:ascii="仿宋_GB2312" w:eastAsia="仿宋_GB2312" w:cs="宋体" w:hint="eastAsia"/>
          <w:b/>
          <w:color w:val="000000"/>
          <w:kern w:val="0"/>
          <w:sz w:val="32"/>
          <w:szCs w:val="32"/>
        </w:rPr>
        <w:t>第一，促进经济发展、增加农民收入。</w:t>
      </w:r>
      <w:r>
        <w:rPr>
          <w:rFonts w:ascii="仿宋_GB2312" w:eastAsia="仿宋_GB2312" w:cs="宋体" w:hint="eastAsia"/>
          <w:color w:val="000000"/>
          <w:kern w:val="0"/>
          <w:sz w:val="32"/>
          <w:szCs w:val="32"/>
        </w:rPr>
        <w:t>认真贯彻落实党和国家在农村的方针政策和强农惠农措施，坚持科学发展，积极转变经济发展方式，推动产业结构调整。结合实际制定本地产业发展规划，培育特色优势产业和特色经济，</w:t>
      </w:r>
      <w:proofErr w:type="gramStart"/>
      <w:r>
        <w:rPr>
          <w:rFonts w:ascii="仿宋_GB2312" w:eastAsia="仿宋_GB2312" w:cs="宋体" w:hint="eastAsia"/>
          <w:color w:val="000000"/>
          <w:kern w:val="0"/>
          <w:sz w:val="32"/>
          <w:szCs w:val="32"/>
        </w:rPr>
        <w:t>扶持壮大</w:t>
      </w:r>
      <w:proofErr w:type="gramEnd"/>
      <w:r>
        <w:rPr>
          <w:rFonts w:ascii="仿宋_GB2312" w:eastAsia="仿宋_GB2312" w:cs="宋体" w:hint="eastAsia"/>
          <w:color w:val="000000"/>
          <w:kern w:val="0"/>
          <w:sz w:val="32"/>
          <w:szCs w:val="32"/>
        </w:rPr>
        <w:t>龙头企业，促进现代农业发展。稳定和完善农村基本经营制度，支持农民专业合作经济组织发展，健全农村市场和农业服务体系。大力推广先进科学技术，强化劳动力技能培训，做好农村剩余劳动力转移输出，促进农民增产增收。</w:t>
      </w:r>
      <w:r>
        <w:rPr>
          <w:rFonts w:ascii="仿宋_GB2312" w:eastAsia="仿宋_GB2312" w:cs="宋体" w:hint="eastAsia"/>
          <w:b/>
          <w:color w:val="000000"/>
          <w:kern w:val="0"/>
          <w:sz w:val="32"/>
          <w:szCs w:val="32"/>
        </w:rPr>
        <w:t>第二，强化公共服务、着力改善民生。</w:t>
      </w:r>
      <w:r>
        <w:rPr>
          <w:rFonts w:ascii="仿宋_GB2312" w:eastAsia="仿宋_GB2312" w:cs="宋体" w:hint="eastAsia"/>
          <w:color w:val="000000"/>
          <w:kern w:val="0"/>
          <w:sz w:val="32"/>
          <w:szCs w:val="32"/>
        </w:rPr>
        <w:t>做好农村社会保障工作，加快新型农村公共服务体系建设，着力解决群众最关心、最直接、最现实的利益问题。推进新</w:t>
      </w:r>
      <w:r>
        <w:rPr>
          <w:rFonts w:ascii="仿宋_GB2312" w:eastAsia="仿宋_GB2312" w:cs="宋体" w:hint="eastAsia"/>
          <w:color w:val="000000"/>
          <w:kern w:val="0"/>
          <w:sz w:val="32"/>
          <w:szCs w:val="32"/>
        </w:rPr>
        <w:t>农村建设，不断完善公益设施和基础设施。加强教育、科技、卫生和精神文明建设，繁荣发展农村文化，提高农村人口素质。落实计划生育政策，稳定农村低生育水平。加强生态建设和环境保护，努力改善农村人居环境，不断提高农民生活质量</w:t>
      </w:r>
      <w:r>
        <w:rPr>
          <w:rFonts w:ascii="仿宋_GB2312" w:eastAsia="仿宋_GB2312" w:cs="宋体" w:hint="eastAsia"/>
          <w:b/>
          <w:color w:val="000000"/>
          <w:kern w:val="0"/>
          <w:sz w:val="32"/>
          <w:szCs w:val="32"/>
        </w:rPr>
        <w:t>。第三，加强社会管理、维护农村稳定。</w:t>
      </w:r>
      <w:r>
        <w:rPr>
          <w:rFonts w:ascii="仿宋_GB2312" w:eastAsia="仿宋_GB2312" w:cs="宋体" w:hint="eastAsia"/>
          <w:color w:val="000000"/>
          <w:kern w:val="0"/>
          <w:sz w:val="32"/>
          <w:szCs w:val="32"/>
        </w:rPr>
        <w:t>普及农村法制教育，强化社会治安综合治理，加强信访和</w:t>
      </w:r>
      <w:proofErr w:type="gramStart"/>
      <w:r>
        <w:rPr>
          <w:rFonts w:ascii="仿宋_GB2312" w:eastAsia="仿宋_GB2312" w:cs="宋体" w:hint="eastAsia"/>
          <w:color w:val="000000"/>
          <w:kern w:val="0"/>
          <w:sz w:val="32"/>
          <w:szCs w:val="32"/>
        </w:rPr>
        <w:t>民师</w:t>
      </w:r>
      <w:proofErr w:type="gramEnd"/>
      <w:r>
        <w:rPr>
          <w:rFonts w:ascii="仿宋_GB2312" w:eastAsia="仿宋_GB2312" w:cs="宋体" w:hint="eastAsia"/>
          <w:color w:val="000000"/>
          <w:kern w:val="0"/>
          <w:sz w:val="32"/>
          <w:szCs w:val="32"/>
        </w:rPr>
        <w:t>纠纷调解，维护农村公共秩序和社会稳定。加强安全生产、市场监管、疾病防控和农畜产品治</w:t>
      </w:r>
      <w:r>
        <w:rPr>
          <w:rFonts w:ascii="仿宋_GB2312" w:eastAsia="仿宋_GB2312" w:cs="宋体" w:hint="eastAsia"/>
          <w:color w:val="000000"/>
          <w:kern w:val="0"/>
          <w:sz w:val="32"/>
          <w:szCs w:val="32"/>
        </w:rPr>
        <w:lastRenderedPageBreak/>
        <w:t>理监控等社会管理，健全农民权益保障机制，维护农村社会公平正义。建立健全应急保障体系，加强突发事件预警和管理，做好防灾减灾工作。</w:t>
      </w:r>
      <w:r>
        <w:rPr>
          <w:rFonts w:ascii="仿宋_GB2312" w:eastAsia="仿宋_GB2312" w:cs="宋体" w:hint="eastAsia"/>
          <w:color w:val="000000"/>
          <w:kern w:val="0"/>
          <w:sz w:val="32"/>
          <w:szCs w:val="32"/>
        </w:rPr>
        <w:t>第四，推进基层民主、祖静农村和谐。加强农村党的基层组织建设，不断提高党组织领导农村经济社会发展的能力和水平。重视群众组织建设，依法推进村民组织自治，引导农民有序参与村级事务管理，增强农村社会自治功能。</w:t>
      </w:r>
    </w:p>
    <w:p w:rsidR="002D0BD4" w:rsidRDefault="00E93A5A">
      <w:pPr>
        <w:widowControl/>
        <w:spacing w:line="360" w:lineRule="atLeast"/>
        <w:ind w:firstLineChars="196" w:firstLine="630"/>
        <w:jc w:val="left"/>
        <w:rPr>
          <w:rFonts w:ascii="仿宋_GB2312" w:eastAsia="仿宋_GB2312" w:cs="宋体"/>
          <w:color w:val="000000"/>
          <w:kern w:val="0"/>
          <w:sz w:val="32"/>
          <w:szCs w:val="32"/>
        </w:rPr>
      </w:pPr>
      <w:r>
        <w:rPr>
          <w:rFonts w:ascii="仿宋_GB2312" w:eastAsia="仿宋_GB2312" w:cs="宋体" w:hint="eastAsia"/>
          <w:b/>
          <w:color w:val="000000"/>
          <w:kern w:val="0"/>
          <w:sz w:val="32"/>
          <w:szCs w:val="32"/>
        </w:rPr>
        <w:t>（二）理顺职责，合理界定责任。</w:t>
      </w:r>
      <w:r>
        <w:rPr>
          <w:rFonts w:ascii="仿宋_GB2312" w:eastAsia="仿宋_GB2312" w:cs="宋体" w:hint="eastAsia"/>
          <w:color w:val="000000"/>
          <w:kern w:val="0"/>
          <w:sz w:val="32"/>
          <w:szCs w:val="32"/>
        </w:rPr>
        <w:t>进一步明确区和乡镇的事权、财权及相应承担的责任，对等配置区乡权责，赋予乡镇必要的行政管理权。在事权上，以乡镇政府的职能职责为准，该乡镇管的乡镇管，该上级管的上级管。在财权上，为乡镇履职配置相应财力，加大对乡镇财政支付力度，使乡镇有财力兴办公益事业，开展公共服务。乡镇所属机构，在乡</w:t>
      </w:r>
      <w:r>
        <w:rPr>
          <w:rFonts w:ascii="仿宋_GB2312" w:eastAsia="仿宋_GB2312" w:cs="宋体" w:hint="eastAsia"/>
          <w:color w:val="000000"/>
          <w:kern w:val="0"/>
          <w:sz w:val="32"/>
          <w:szCs w:val="32"/>
        </w:rPr>
        <w:t>镇党委、政府的直接领导下开展工作，人、财、物由乡镇统一管理，区直主管部门加强业务指导。上级派驻乡镇的机构，主动接受乡镇党委、政府的监督管理和考核评议，其部门负责人调动、任免和考核要征求乡镇党委的意见。加强农村民间组织、经济中介组织建设，减少乡镇政府对市场的行政干预。充分发挥村民自治组织的作用，切实指导好村民自治组织建设，实现政府行政管理与基层群众自治有效衔接和良性互动。</w:t>
      </w:r>
    </w:p>
    <w:p w:rsidR="002D0BD4" w:rsidRDefault="00E93A5A">
      <w:pPr>
        <w:widowControl/>
        <w:spacing w:line="360" w:lineRule="atLeast"/>
        <w:ind w:firstLineChars="200" w:firstLine="640"/>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lastRenderedPageBreak/>
        <w:t>（三）</w:t>
      </w:r>
      <w:r>
        <w:rPr>
          <w:rFonts w:ascii="仿宋_GB2312" w:eastAsia="仿宋_GB2312" w:cs="宋体" w:hint="eastAsia"/>
          <w:b/>
          <w:color w:val="000000"/>
          <w:kern w:val="0"/>
          <w:sz w:val="32"/>
          <w:szCs w:val="32"/>
        </w:rPr>
        <w:t>创新体制机制，转变乡镇工作方式。</w:t>
      </w:r>
      <w:r>
        <w:rPr>
          <w:rFonts w:ascii="仿宋_GB2312" w:eastAsia="仿宋_GB2312" w:cs="宋体" w:hint="eastAsia"/>
          <w:color w:val="000000"/>
          <w:kern w:val="0"/>
          <w:sz w:val="32"/>
          <w:szCs w:val="32"/>
        </w:rPr>
        <w:t>适应新形势、新任</w:t>
      </w:r>
      <w:proofErr w:type="gramStart"/>
      <w:r>
        <w:rPr>
          <w:rFonts w:ascii="仿宋_GB2312" w:eastAsia="仿宋_GB2312" w:cs="宋体" w:hint="eastAsia"/>
          <w:color w:val="000000"/>
          <w:kern w:val="0"/>
          <w:sz w:val="32"/>
          <w:szCs w:val="32"/>
        </w:rPr>
        <w:t>务需</w:t>
      </w:r>
      <w:proofErr w:type="gramEnd"/>
      <w:r>
        <w:rPr>
          <w:rFonts w:ascii="仿宋_GB2312" w:eastAsia="仿宋_GB2312" w:cs="宋体" w:hint="eastAsia"/>
          <w:color w:val="000000"/>
          <w:kern w:val="0"/>
          <w:sz w:val="32"/>
          <w:szCs w:val="32"/>
        </w:rPr>
        <w:t>要，不断解放思想，改进方法，切实履行好各项职能。</w:t>
      </w:r>
      <w:r>
        <w:rPr>
          <w:rFonts w:ascii="仿宋_GB2312" w:eastAsia="仿宋_GB2312" w:cs="宋体" w:hint="eastAsia"/>
          <w:b/>
          <w:color w:val="000000"/>
          <w:kern w:val="0"/>
          <w:sz w:val="32"/>
          <w:szCs w:val="32"/>
        </w:rPr>
        <w:t>一是切实转变乡镇工作的方式方法。</w:t>
      </w:r>
      <w:r>
        <w:rPr>
          <w:rFonts w:ascii="仿宋_GB2312" w:eastAsia="仿宋_GB2312" w:cs="宋体" w:hint="eastAsia"/>
          <w:color w:val="000000"/>
          <w:kern w:val="0"/>
          <w:sz w:val="32"/>
          <w:szCs w:val="32"/>
        </w:rPr>
        <w:t>努力拓宽服务渠道，改进服务方式，积极探索方便群众办事的措施方法，大力推行“一站式”服务、办事代理制、远程信息技术指导等多种形式的便民服务措施，最大限度地满足农民群众的需求。</w:t>
      </w:r>
      <w:r>
        <w:rPr>
          <w:rFonts w:ascii="仿宋_GB2312" w:eastAsia="仿宋_GB2312" w:cs="宋体" w:hint="eastAsia"/>
          <w:b/>
          <w:color w:val="000000"/>
          <w:kern w:val="0"/>
          <w:sz w:val="32"/>
          <w:szCs w:val="32"/>
        </w:rPr>
        <w:t>二是</w:t>
      </w:r>
      <w:proofErr w:type="gramStart"/>
      <w:r>
        <w:rPr>
          <w:rFonts w:ascii="仿宋_GB2312" w:eastAsia="仿宋_GB2312" w:cs="宋体" w:hint="eastAsia"/>
          <w:b/>
          <w:color w:val="000000"/>
          <w:kern w:val="0"/>
          <w:sz w:val="32"/>
          <w:szCs w:val="32"/>
        </w:rPr>
        <w:t>转变抓</w:t>
      </w:r>
      <w:proofErr w:type="gramEnd"/>
      <w:r>
        <w:rPr>
          <w:rFonts w:ascii="仿宋_GB2312" w:eastAsia="仿宋_GB2312" w:cs="宋体" w:hint="eastAsia"/>
          <w:b/>
          <w:color w:val="000000"/>
          <w:kern w:val="0"/>
          <w:sz w:val="32"/>
          <w:szCs w:val="32"/>
        </w:rPr>
        <w:t>经济工作的方式。</w:t>
      </w:r>
      <w:r>
        <w:rPr>
          <w:rFonts w:ascii="仿宋_GB2312" w:eastAsia="仿宋_GB2312" w:cs="宋体" w:hint="eastAsia"/>
          <w:color w:val="000000"/>
          <w:kern w:val="0"/>
          <w:sz w:val="32"/>
          <w:szCs w:val="32"/>
        </w:rPr>
        <w:t>把经济工作的着力电放在政策引导、规划指导、扶持典型、带动示范和营造发展环境上来，尊重农民的生产经营自主权，不干预具体生产经营活动，积极搭建服务平台，提高农村经济发展的质量和水平。</w:t>
      </w:r>
      <w:r>
        <w:rPr>
          <w:rFonts w:ascii="仿宋_GB2312" w:eastAsia="仿宋_GB2312" w:cs="宋体" w:hint="eastAsia"/>
          <w:b/>
          <w:color w:val="000000"/>
          <w:kern w:val="0"/>
          <w:sz w:val="32"/>
          <w:szCs w:val="32"/>
        </w:rPr>
        <w:t>三是强化社会管理和公共服务职能。</w:t>
      </w:r>
      <w:r>
        <w:rPr>
          <w:rFonts w:ascii="仿宋_GB2312" w:eastAsia="仿宋_GB2312" w:cs="宋体" w:hint="eastAsia"/>
          <w:color w:val="000000"/>
          <w:kern w:val="0"/>
          <w:sz w:val="32"/>
          <w:szCs w:val="32"/>
        </w:rPr>
        <w:t>将乡镇工作中心转移到加强社会管理和更好地提供公共服务上来，不断增强服务意识，始终围绕农民群众的愿望和要求</w:t>
      </w:r>
      <w:r>
        <w:rPr>
          <w:rFonts w:ascii="仿宋_GB2312" w:eastAsia="仿宋_GB2312" w:cs="宋体" w:hint="eastAsia"/>
          <w:color w:val="000000"/>
          <w:kern w:val="0"/>
          <w:sz w:val="32"/>
          <w:szCs w:val="32"/>
        </w:rPr>
        <w:t>开展工作，切实把维护好农村经济社会发展秩序，保护好农民合法权益，解决好农村民生问题作为乡镇重要工作来抓。</w:t>
      </w:r>
      <w:r>
        <w:rPr>
          <w:rFonts w:ascii="仿宋_GB2312" w:eastAsia="仿宋_GB2312" w:cs="宋体" w:hint="eastAsia"/>
          <w:b/>
          <w:color w:val="000000"/>
          <w:kern w:val="0"/>
          <w:sz w:val="32"/>
          <w:szCs w:val="32"/>
        </w:rPr>
        <w:t>四是合理调整职能，推动行政管理与基层群众自治有效衔接。</w:t>
      </w:r>
      <w:r>
        <w:rPr>
          <w:rFonts w:ascii="仿宋_GB2312" w:eastAsia="仿宋_GB2312" w:cs="宋体" w:hint="eastAsia"/>
          <w:color w:val="000000"/>
          <w:kern w:val="0"/>
          <w:sz w:val="32"/>
          <w:szCs w:val="32"/>
        </w:rPr>
        <w:t>将承担的行业性服务职能交给社会中介组织，切实加强公益性职能，用主要精力发展农村经济，抓好农村社会管理。将应该属于村街组织的权利和事务，交给村级组织，充分发挥农村基础自治组织的作用。</w:t>
      </w:r>
    </w:p>
    <w:p w:rsidR="002D0BD4" w:rsidRDefault="00E93A5A">
      <w:pPr>
        <w:widowControl/>
        <w:spacing w:line="360" w:lineRule="atLeast"/>
        <w:ind w:firstLineChars="200" w:firstLine="640"/>
        <w:jc w:val="left"/>
        <w:rPr>
          <w:rFonts w:ascii="黑体" w:eastAsia="黑体" w:cs="黑体"/>
          <w:b/>
          <w:bCs/>
          <w:kern w:val="0"/>
          <w:sz w:val="32"/>
          <w:szCs w:val="32"/>
        </w:rPr>
      </w:pPr>
      <w:r>
        <w:rPr>
          <w:rFonts w:ascii="黑体" w:eastAsia="黑体" w:cs="黑体" w:hint="eastAsia"/>
          <w:kern w:val="0"/>
          <w:sz w:val="32"/>
          <w:szCs w:val="32"/>
        </w:rPr>
        <w:t>二、机构设置</w:t>
      </w:r>
    </w:p>
    <w:p w:rsidR="002D0BD4" w:rsidRDefault="00E93A5A">
      <w:pPr>
        <w:spacing w:after="0" w:line="560" w:lineRule="exact"/>
        <w:ind w:firstLineChars="200" w:firstLine="640"/>
        <w:rPr>
          <w:rFonts w:ascii="仿宋_GB2312" w:eastAsia="仿宋_GB2312" w:cs="ArialUnicodeMS"/>
          <w:kern w:val="0"/>
          <w:sz w:val="32"/>
          <w:szCs w:val="32"/>
        </w:rPr>
      </w:pPr>
      <w:r>
        <w:rPr>
          <w:rFonts w:ascii="仿宋_GB2312" w:eastAsia="仿宋_GB2312" w:cs="ArialUnicodeMS" w:hint="eastAsia"/>
          <w:kern w:val="0"/>
          <w:sz w:val="32"/>
          <w:szCs w:val="32"/>
        </w:rPr>
        <w:t>从决算编报单位构成看，纳入</w:t>
      </w:r>
      <w:r>
        <w:rPr>
          <w:rFonts w:ascii="仿宋_GB2312" w:eastAsia="仿宋_GB2312" w:cs="ArialUnicodeMS"/>
          <w:kern w:val="0"/>
          <w:sz w:val="32"/>
          <w:szCs w:val="32"/>
        </w:rPr>
        <w:t xml:space="preserve">2018 </w:t>
      </w:r>
      <w:r>
        <w:rPr>
          <w:rFonts w:ascii="仿宋_GB2312" w:eastAsia="仿宋_GB2312" w:cs="ArialUnicodeMS" w:hint="eastAsia"/>
          <w:kern w:val="0"/>
          <w:sz w:val="32"/>
          <w:szCs w:val="32"/>
        </w:rPr>
        <w:t>年度本部门决算汇编范</w:t>
      </w:r>
      <w:r>
        <w:rPr>
          <w:rFonts w:ascii="仿宋_GB2312" w:eastAsia="仿宋_GB2312" w:cs="ArialUnicodeMS" w:hint="eastAsia"/>
          <w:kern w:val="0"/>
          <w:sz w:val="32"/>
          <w:szCs w:val="32"/>
        </w:rPr>
        <w:lastRenderedPageBreak/>
        <w:t>围的独立核算单位（以下简称“单位”）共</w:t>
      </w:r>
      <w:r>
        <w:rPr>
          <w:rFonts w:ascii="仿宋_GB2312" w:eastAsia="仿宋_GB2312" w:cs="ArialUnicodeMS"/>
          <w:kern w:val="0"/>
          <w:sz w:val="32"/>
          <w:szCs w:val="32"/>
        </w:rPr>
        <w:t>1</w:t>
      </w:r>
      <w:r>
        <w:rPr>
          <w:rFonts w:ascii="仿宋_GB2312" w:eastAsia="仿宋_GB2312" w:cs="ArialUnicodeMS" w:hint="eastAsia"/>
          <w:kern w:val="0"/>
          <w:sz w:val="32"/>
          <w:szCs w:val="32"/>
        </w:rPr>
        <w:t>个，具体情况如下：</w:t>
      </w:r>
    </w:p>
    <w:tbl>
      <w:tblPr>
        <w:tblpPr w:leftFromText="180" w:rightFromText="180" w:vertAnchor="text" w:horzAnchor="page" w:tblpXSpec="center" w:tblpY="10"/>
        <w:tblOverlap w:val="neve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3485"/>
        <w:gridCol w:w="2445"/>
        <w:gridCol w:w="2748"/>
      </w:tblGrid>
      <w:tr w:rsidR="002D0BD4">
        <w:trPr>
          <w:trHeight w:val="811"/>
        </w:trPr>
        <w:tc>
          <w:tcPr>
            <w:tcW w:w="985" w:type="dxa"/>
            <w:vAlign w:val="center"/>
          </w:tcPr>
          <w:p w:rsidR="002D0BD4" w:rsidRDefault="00E93A5A">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序号</w:t>
            </w:r>
          </w:p>
        </w:tc>
        <w:tc>
          <w:tcPr>
            <w:tcW w:w="3485" w:type="dxa"/>
            <w:vAlign w:val="center"/>
          </w:tcPr>
          <w:p w:rsidR="002D0BD4" w:rsidRDefault="00E93A5A">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单位名称</w:t>
            </w:r>
          </w:p>
        </w:tc>
        <w:tc>
          <w:tcPr>
            <w:tcW w:w="2445" w:type="dxa"/>
            <w:vAlign w:val="center"/>
          </w:tcPr>
          <w:p w:rsidR="002D0BD4" w:rsidRDefault="00E93A5A">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单位基本性质</w:t>
            </w:r>
          </w:p>
        </w:tc>
        <w:tc>
          <w:tcPr>
            <w:tcW w:w="2748" w:type="dxa"/>
            <w:vAlign w:val="center"/>
          </w:tcPr>
          <w:p w:rsidR="002D0BD4" w:rsidRDefault="00E93A5A">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经费形式</w:t>
            </w:r>
          </w:p>
        </w:tc>
      </w:tr>
      <w:tr w:rsidR="002D0BD4">
        <w:trPr>
          <w:trHeight w:val="596"/>
        </w:trPr>
        <w:tc>
          <w:tcPr>
            <w:tcW w:w="985" w:type="dxa"/>
          </w:tcPr>
          <w:p w:rsidR="002D0BD4" w:rsidRDefault="00E93A5A">
            <w:pPr>
              <w:spacing w:after="0" w:line="560" w:lineRule="exact"/>
              <w:jc w:val="center"/>
              <w:rPr>
                <w:rFonts w:ascii="仿宋_GB2312" w:eastAsia="仿宋_GB2312" w:cs="ArialUnicodeMS"/>
                <w:kern w:val="0"/>
                <w:sz w:val="28"/>
                <w:szCs w:val="28"/>
              </w:rPr>
            </w:pPr>
            <w:r>
              <w:rPr>
                <w:rFonts w:ascii="仿宋_GB2312" w:eastAsia="仿宋_GB2312" w:cs="ArialUnicodeMS"/>
                <w:kern w:val="0"/>
                <w:sz w:val="28"/>
                <w:szCs w:val="28"/>
              </w:rPr>
              <w:t>1</w:t>
            </w:r>
          </w:p>
        </w:tc>
        <w:tc>
          <w:tcPr>
            <w:tcW w:w="3485" w:type="dxa"/>
            <w:vAlign w:val="center"/>
          </w:tcPr>
          <w:p w:rsidR="002D0BD4" w:rsidRDefault="00E93A5A">
            <w:pPr>
              <w:spacing w:line="584" w:lineRule="exact"/>
              <w:jc w:val="left"/>
              <w:rPr>
                <w:rFonts w:ascii="仿宋_GB2312" w:eastAsia="仿宋_GB2312"/>
                <w:sz w:val="28"/>
                <w:szCs w:val="28"/>
              </w:rPr>
            </w:pPr>
            <w:r>
              <w:rPr>
                <w:rFonts w:ascii="仿宋_GB2312" w:eastAsia="仿宋_GB2312" w:hint="eastAsia"/>
                <w:sz w:val="28"/>
                <w:szCs w:val="28"/>
              </w:rPr>
              <w:t>廊坊市广阳</w:t>
            </w:r>
            <w:proofErr w:type="gramStart"/>
            <w:r>
              <w:rPr>
                <w:rFonts w:ascii="仿宋_GB2312" w:eastAsia="仿宋_GB2312" w:hint="eastAsia"/>
                <w:sz w:val="28"/>
                <w:szCs w:val="28"/>
              </w:rPr>
              <w:t>区万庄镇</w:t>
            </w:r>
            <w:proofErr w:type="gramEnd"/>
            <w:r>
              <w:rPr>
                <w:rFonts w:ascii="仿宋_GB2312" w:eastAsia="仿宋_GB2312" w:hint="eastAsia"/>
                <w:sz w:val="28"/>
                <w:szCs w:val="28"/>
              </w:rPr>
              <w:t>人民政府</w:t>
            </w:r>
          </w:p>
        </w:tc>
        <w:tc>
          <w:tcPr>
            <w:tcW w:w="2445" w:type="dxa"/>
          </w:tcPr>
          <w:p w:rsidR="002D0BD4" w:rsidRDefault="00E93A5A">
            <w:pPr>
              <w:spacing w:after="0" w:line="560" w:lineRule="exact"/>
              <w:ind w:firstLineChars="300" w:firstLine="840"/>
              <w:rPr>
                <w:rFonts w:ascii="仿宋_GB2312" w:eastAsia="仿宋_GB2312" w:cs="ArialUnicodeMS"/>
                <w:kern w:val="0"/>
                <w:sz w:val="28"/>
                <w:szCs w:val="28"/>
              </w:rPr>
            </w:pPr>
            <w:r>
              <w:rPr>
                <w:rFonts w:ascii="仿宋_GB2312" w:eastAsia="仿宋_GB2312" w:cs="ArialUnicodeMS" w:hint="eastAsia"/>
                <w:kern w:val="0"/>
                <w:sz w:val="28"/>
                <w:szCs w:val="28"/>
              </w:rPr>
              <w:t>行政</w:t>
            </w:r>
            <w:r w:rsidR="003B227A">
              <w:rPr>
                <w:rFonts w:ascii="仿宋_GB2312" w:eastAsia="仿宋_GB2312" w:cs="ArialUnicodeMS" w:hint="eastAsia"/>
                <w:kern w:val="0"/>
                <w:sz w:val="28"/>
                <w:szCs w:val="28"/>
              </w:rPr>
              <w:t>单位</w:t>
            </w:r>
          </w:p>
        </w:tc>
        <w:tc>
          <w:tcPr>
            <w:tcW w:w="2748" w:type="dxa"/>
          </w:tcPr>
          <w:p w:rsidR="002D0BD4" w:rsidRDefault="00E93A5A">
            <w:pPr>
              <w:spacing w:after="0"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财政拨款</w:t>
            </w:r>
          </w:p>
        </w:tc>
      </w:tr>
      <w:tr w:rsidR="002D0BD4">
        <w:trPr>
          <w:trHeight w:val="606"/>
        </w:trPr>
        <w:tc>
          <w:tcPr>
            <w:tcW w:w="9663" w:type="dxa"/>
            <w:gridSpan w:val="4"/>
            <w:tcBorders>
              <w:left w:val="nil"/>
              <w:bottom w:val="nil"/>
              <w:right w:val="nil"/>
            </w:tcBorders>
          </w:tcPr>
          <w:p w:rsidR="002D0BD4" w:rsidRDefault="002D0BD4">
            <w:pPr>
              <w:spacing w:after="0" w:line="560" w:lineRule="exact"/>
              <w:ind w:firstLineChars="200" w:firstLine="560"/>
              <w:jc w:val="left"/>
              <w:rPr>
                <w:rFonts w:ascii="仿宋_GB2312" w:eastAsia="仿宋_GB2312" w:cs="ArialUnicodeMS"/>
                <w:kern w:val="0"/>
                <w:sz w:val="28"/>
                <w:szCs w:val="28"/>
              </w:rPr>
            </w:pPr>
          </w:p>
        </w:tc>
      </w:tr>
    </w:tbl>
    <w:p w:rsidR="002D0BD4" w:rsidRDefault="002D0BD4">
      <w:pPr>
        <w:widowControl/>
        <w:spacing w:line="560" w:lineRule="exact"/>
        <w:rPr>
          <w:rFonts w:ascii="黑体" w:eastAsia="黑体" w:cs="MS-UIGothic,Bold"/>
          <w:bCs/>
          <w:kern w:val="0"/>
          <w:sz w:val="52"/>
          <w:szCs w:val="52"/>
        </w:rPr>
      </w:pPr>
    </w:p>
    <w:p w:rsidR="002D0BD4" w:rsidRDefault="002D0BD4">
      <w:pPr>
        <w:widowControl/>
        <w:spacing w:line="560" w:lineRule="exact"/>
        <w:jc w:val="center"/>
        <w:rPr>
          <w:rFonts w:ascii="黑体" w:eastAsia="黑体" w:cs="MS-UIGothic,Bold"/>
          <w:bCs/>
          <w:kern w:val="0"/>
          <w:sz w:val="52"/>
          <w:szCs w:val="52"/>
        </w:rPr>
        <w:sectPr w:rsidR="002D0BD4">
          <w:pgSz w:w="11906" w:h="16838"/>
          <w:pgMar w:top="2098" w:right="1474" w:bottom="1984" w:left="1588" w:header="851" w:footer="992" w:gutter="0"/>
          <w:cols w:space="720"/>
          <w:docGrid w:type="lines" w:linePitch="312"/>
        </w:sectPr>
      </w:pPr>
    </w:p>
    <w:p w:rsidR="002D0BD4" w:rsidRDefault="002D0BD4">
      <w:pPr>
        <w:widowControl/>
        <w:spacing w:line="1200" w:lineRule="exact"/>
        <w:jc w:val="center"/>
        <w:rPr>
          <w:rFonts w:ascii="黑体" w:eastAsia="黑体"/>
          <w:color w:val="000000"/>
          <w:sz w:val="72"/>
          <w:szCs w:val="96"/>
        </w:rPr>
      </w:pPr>
    </w:p>
    <w:p w:rsidR="002D0BD4" w:rsidRDefault="002D0BD4">
      <w:pPr>
        <w:widowControl/>
        <w:spacing w:line="1200" w:lineRule="exact"/>
        <w:jc w:val="center"/>
        <w:rPr>
          <w:rFonts w:ascii="黑体" w:eastAsia="黑体"/>
          <w:color w:val="000000"/>
          <w:sz w:val="72"/>
          <w:szCs w:val="96"/>
        </w:rPr>
      </w:pPr>
    </w:p>
    <w:p w:rsidR="002D0BD4" w:rsidRDefault="002D0BD4">
      <w:pPr>
        <w:widowControl/>
        <w:spacing w:line="1200" w:lineRule="exact"/>
        <w:jc w:val="center"/>
        <w:rPr>
          <w:rFonts w:ascii="黑体" w:eastAsia="黑体"/>
          <w:color w:val="000000"/>
          <w:sz w:val="72"/>
          <w:szCs w:val="96"/>
        </w:rPr>
      </w:pPr>
    </w:p>
    <w:p w:rsidR="002D0BD4" w:rsidRDefault="00E93A5A">
      <w:pPr>
        <w:widowControl/>
        <w:spacing w:line="1200" w:lineRule="exact"/>
        <w:jc w:val="center"/>
        <w:rPr>
          <w:rFonts w:ascii="黑体" w:eastAsia="黑体"/>
          <w:color w:val="000000"/>
          <w:sz w:val="72"/>
          <w:szCs w:val="96"/>
        </w:rPr>
      </w:pPr>
      <w:r>
        <w:rPr>
          <w:rFonts w:ascii="黑体" w:eastAsia="黑体" w:hint="eastAsia"/>
          <w:color w:val="000000"/>
          <w:sz w:val="72"/>
          <w:szCs w:val="96"/>
        </w:rPr>
        <w:t>第二部分</w:t>
      </w:r>
    </w:p>
    <w:p w:rsidR="002D0BD4" w:rsidRDefault="00E93A5A">
      <w:pPr>
        <w:widowControl/>
        <w:spacing w:line="1200" w:lineRule="exact"/>
        <w:jc w:val="center"/>
        <w:rPr>
          <w:color w:val="000000"/>
          <w:sz w:val="72"/>
          <w:szCs w:val="96"/>
        </w:rPr>
      </w:pPr>
      <w:r>
        <w:rPr>
          <w:rFonts w:ascii="黑体" w:eastAsia="黑体"/>
          <w:color w:val="000000"/>
          <w:sz w:val="72"/>
          <w:szCs w:val="96"/>
        </w:rPr>
        <w:t>2018</w:t>
      </w:r>
      <w:r>
        <w:rPr>
          <w:rFonts w:ascii="黑体" w:eastAsia="黑体" w:hint="eastAsia"/>
          <w:color w:val="000000"/>
          <w:sz w:val="72"/>
          <w:szCs w:val="96"/>
        </w:rPr>
        <w:t>年度部门决算报表</w:t>
      </w:r>
    </w:p>
    <w:p w:rsidR="002D0BD4" w:rsidRDefault="002D0BD4">
      <w:pPr>
        <w:widowControl/>
        <w:spacing w:line="560" w:lineRule="exact"/>
        <w:jc w:val="center"/>
        <w:rPr>
          <w:rFonts w:ascii="黑体" w:eastAsia="黑体" w:cs="MS-UIGothic,Bold"/>
          <w:bCs/>
          <w:kern w:val="0"/>
          <w:sz w:val="52"/>
          <w:szCs w:val="52"/>
        </w:rPr>
      </w:pPr>
    </w:p>
    <w:p w:rsidR="002D0BD4" w:rsidRDefault="002D0BD4">
      <w:pPr>
        <w:widowControl/>
        <w:spacing w:line="560" w:lineRule="exact"/>
        <w:jc w:val="center"/>
        <w:rPr>
          <w:rFonts w:ascii="黑体" w:eastAsia="黑体" w:cs="MS-UIGothic,Bold"/>
          <w:bCs/>
          <w:kern w:val="0"/>
          <w:sz w:val="52"/>
          <w:szCs w:val="52"/>
        </w:rPr>
      </w:pPr>
    </w:p>
    <w:p w:rsidR="002D0BD4" w:rsidRDefault="002D0BD4">
      <w:pPr>
        <w:widowControl/>
        <w:spacing w:line="560" w:lineRule="exact"/>
        <w:jc w:val="center"/>
        <w:rPr>
          <w:rFonts w:ascii="黑体" w:eastAsia="黑体" w:cs="MS-UIGothic,Bold"/>
          <w:bCs/>
          <w:kern w:val="0"/>
          <w:sz w:val="52"/>
          <w:szCs w:val="52"/>
        </w:rPr>
      </w:pPr>
    </w:p>
    <w:p w:rsidR="002D0BD4" w:rsidRDefault="002D0BD4">
      <w:pPr>
        <w:widowControl/>
        <w:spacing w:line="560" w:lineRule="exact"/>
        <w:jc w:val="center"/>
        <w:rPr>
          <w:rFonts w:ascii="黑体" w:eastAsia="黑体" w:cs="MS-UIGothic,Bold"/>
          <w:bCs/>
          <w:kern w:val="0"/>
          <w:sz w:val="52"/>
          <w:szCs w:val="52"/>
        </w:rPr>
      </w:pPr>
    </w:p>
    <w:p w:rsidR="002D0BD4" w:rsidRDefault="002D0BD4">
      <w:pPr>
        <w:widowControl/>
        <w:spacing w:line="560" w:lineRule="exact"/>
        <w:jc w:val="center"/>
        <w:rPr>
          <w:rFonts w:ascii="黑体" w:eastAsia="黑体" w:cs="MS-UIGothic,Bold"/>
          <w:bCs/>
          <w:kern w:val="0"/>
          <w:sz w:val="52"/>
          <w:szCs w:val="52"/>
        </w:rPr>
      </w:pPr>
    </w:p>
    <w:p w:rsidR="002D0BD4" w:rsidRDefault="002D0BD4">
      <w:pPr>
        <w:widowControl/>
        <w:spacing w:line="560" w:lineRule="exact"/>
        <w:jc w:val="center"/>
        <w:rPr>
          <w:rFonts w:ascii="黑体" w:eastAsia="黑体" w:cs="MS-UIGothic,Bold"/>
          <w:bCs/>
          <w:kern w:val="0"/>
          <w:sz w:val="52"/>
          <w:szCs w:val="52"/>
        </w:rPr>
      </w:pPr>
    </w:p>
    <w:p w:rsidR="002D0BD4" w:rsidRDefault="002D0BD4">
      <w:pPr>
        <w:widowControl/>
        <w:spacing w:line="560" w:lineRule="exact"/>
        <w:jc w:val="center"/>
        <w:rPr>
          <w:rFonts w:ascii="黑体" w:eastAsia="黑体" w:cs="MS-UIGothic,Bold"/>
          <w:bCs/>
          <w:kern w:val="0"/>
          <w:sz w:val="52"/>
          <w:szCs w:val="52"/>
        </w:rPr>
      </w:pPr>
    </w:p>
    <w:p w:rsidR="002D0BD4" w:rsidRDefault="002D0BD4">
      <w:pPr>
        <w:widowControl/>
        <w:spacing w:line="560" w:lineRule="exact"/>
        <w:jc w:val="center"/>
        <w:rPr>
          <w:rFonts w:ascii="黑体" w:eastAsia="黑体" w:cs="MS-UIGothic,Bold"/>
          <w:bCs/>
          <w:kern w:val="0"/>
          <w:sz w:val="52"/>
          <w:szCs w:val="52"/>
        </w:rPr>
      </w:pPr>
    </w:p>
    <w:p w:rsidR="002D0BD4" w:rsidRDefault="00E93A5A">
      <w:pPr>
        <w:widowControl/>
        <w:spacing w:line="580" w:lineRule="exact"/>
        <w:ind w:firstLineChars="200" w:firstLine="640"/>
        <w:rPr>
          <w:rFonts w:eastAsia="仿宋_GB2312"/>
          <w:sz w:val="20"/>
          <w:szCs w:val="32"/>
        </w:rPr>
      </w:pPr>
      <w:r>
        <w:rPr>
          <w:rFonts w:eastAsia="黑体" w:hint="eastAsia"/>
          <w:sz w:val="32"/>
          <w:szCs w:val="32"/>
        </w:rPr>
        <w:lastRenderedPageBreak/>
        <w:t>第二部分</w:t>
      </w:r>
      <w:r>
        <w:rPr>
          <w:rFonts w:eastAsia="黑体"/>
          <w:sz w:val="32"/>
          <w:szCs w:val="32"/>
        </w:rPr>
        <w:t xml:space="preserve">   2018</w:t>
      </w:r>
      <w:r>
        <w:rPr>
          <w:rFonts w:eastAsia="黑体" w:hint="eastAsia"/>
          <w:sz w:val="32"/>
          <w:szCs w:val="32"/>
        </w:rPr>
        <w:t>年度部门决算报表</w:t>
      </w:r>
    </w:p>
    <w:p w:rsidR="002D0BD4" w:rsidRDefault="00E93A5A">
      <w:pPr>
        <w:widowControl/>
        <w:spacing w:line="580" w:lineRule="exact"/>
        <w:ind w:left="640" w:firstLineChars="200" w:firstLine="640"/>
        <w:rPr>
          <w:rFonts w:eastAsia="仿宋_GB2312"/>
          <w:sz w:val="32"/>
          <w:szCs w:val="32"/>
        </w:rPr>
      </w:pPr>
      <w:r>
        <w:rPr>
          <w:rFonts w:eastAsia="仿宋_GB2312" w:hint="eastAsia"/>
          <w:sz w:val="32"/>
          <w:szCs w:val="32"/>
        </w:rPr>
        <w:t>一、收入支出决算总表</w:t>
      </w:r>
    </w:p>
    <w:p w:rsidR="002D0BD4" w:rsidRDefault="00E93A5A">
      <w:pPr>
        <w:widowControl/>
        <w:spacing w:line="580" w:lineRule="exact"/>
        <w:ind w:left="640" w:firstLineChars="200" w:firstLine="640"/>
        <w:rPr>
          <w:rFonts w:eastAsia="仿宋_GB2312"/>
          <w:sz w:val="32"/>
          <w:szCs w:val="32"/>
        </w:rPr>
      </w:pPr>
      <w:r>
        <w:rPr>
          <w:rFonts w:eastAsia="仿宋_GB2312" w:hint="eastAsia"/>
          <w:sz w:val="32"/>
          <w:szCs w:val="32"/>
        </w:rPr>
        <w:t>二、收入决算表</w:t>
      </w:r>
    </w:p>
    <w:p w:rsidR="002D0BD4" w:rsidRDefault="00E93A5A">
      <w:pPr>
        <w:widowControl/>
        <w:spacing w:line="580" w:lineRule="exact"/>
        <w:ind w:left="640" w:firstLineChars="200" w:firstLine="640"/>
        <w:rPr>
          <w:rFonts w:eastAsia="仿宋_GB2312"/>
          <w:sz w:val="32"/>
          <w:szCs w:val="32"/>
        </w:rPr>
      </w:pPr>
      <w:r>
        <w:rPr>
          <w:rFonts w:eastAsia="仿宋_GB2312" w:hint="eastAsia"/>
          <w:sz w:val="32"/>
          <w:szCs w:val="32"/>
        </w:rPr>
        <w:t>三、支出决算表</w:t>
      </w:r>
    </w:p>
    <w:p w:rsidR="002D0BD4" w:rsidRDefault="00E93A5A">
      <w:pPr>
        <w:widowControl/>
        <w:spacing w:line="580" w:lineRule="exact"/>
        <w:ind w:left="640" w:firstLineChars="200" w:firstLine="640"/>
        <w:rPr>
          <w:rFonts w:eastAsia="仿宋_GB2312"/>
          <w:sz w:val="32"/>
          <w:szCs w:val="32"/>
        </w:rPr>
      </w:pPr>
      <w:r>
        <w:rPr>
          <w:rFonts w:eastAsia="仿宋_GB2312" w:hint="eastAsia"/>
          <w:sz w:val="32"/>
          <w:szCs w:val="32"/>
        </w:rPr>
        <w:t>四、财政拨款收入支出决算总表</w:t>
      </w:r>
    </w:p>
    <w:p w:rsidR="002D0BD4" w:rsidRDefault="00E93A5A">
      <w:pPr>
        <w:widowControl/>
        <w:spacing w:line="580" w:lineRule="exact"/>
        <w:ind w:left="640" w:firstLineChars="200" w:firstLine="640"/>
        <w:rPr>
          <w:rFonts w:eastAsia="仿宋_GB2312"/>
          <w:sz w:val="32"/>
          <w:szCs w:val="32"/>
        </w:rPr>
      </w:pPr>
      <w:r>
        <w:rPr>
          <w:rFonts w:eastAsia="仿宋_GB2312" w:hint="eastAsia"/>
          <w:sz w:val="32"/>
          <w:szCs w:val="32"/>
        </w:rPr>
        <w:t>五、一般公共预算财政拨款支出决算表</w:t>
      </w:r>
    </w:p>
    <w:p w:rsidR="002D0BD4" w:rsidRDefault="00E93A5A">
      <w:pPr>
        <w:widowControl/>
        <w:spacing w:line="580" w:lineRule="exact"/>
        <w:ind w:left="640" w:firstLineChars="200" w:firstLine="640"/>
        <w:rPr>
          <w:rFonts w:eastAsia="仿宋_GB2312"/>
          <w:sz w:val="32"/>
          <w:szCs w:val="32"/>
        </w:rPr>
      </w:pPr>
      <w:r>
        <w:rPr>
          <w:rFonts w:eastAsia="仿宋_GB2312" w:hint="eastAsia"/>
          <w:sz w:val="32"/>
          <w:szCs w:val="32"/>
        </w:rPr>
        <w:t>六、一般公共预算财政拨款基本支出决算表</w:t>
      </w:r>
    </w:p>
    <w:p w:rsidR="002D0BD4" w:rsidRDefault="00E93A5A">
      <w:pPr>
        <w:widowControl/>
        <w:spacing w:line="580" w:lineRule="exact"/>
        <w:ind w:left="640" w:firstLineChars="200" w:firstLine="640"/>
        <w:rPr>
          <w:rFonts w:eastAsia="仿宋_GB2312"/>
          <w:sz w:val="32"/>
          <w:szCs w:val="32"/>
        </w:rPr>
      </w:pPr>
      <w:r>
        <w:rPr>
          <w:rFonts w:eastAsia="仿宋_GB2312" w:hint="eastAsia"/>
          <w:sz w:val="32"/>
          <w:szCs w:val="32"/>
        </w:rPr>
        <w:t>七、一般公共预算财政拨款</w:t>
      </w:r>
      <w:r>
        <w:rPr>
          <w:rFonts w:eastAsia="仿宋_GB2312"/>
          <w:sz w:val="32"/>
          <w:szCs w:val="32"/>
        </w:rPr>
        <w:t>“</w:t>
      </w:r>
      <w:r>
        <w:rPr>
          <w:rFonts w:eastAsia="仿宋_GB2312" w:hint="eastAsia"/>
          <w:sz w:val="32"/>
          <w:szCs w:val="32"/>
        </w:rPr>
        <w:t>三公</w:t>
      </w:r>
      <w:r>
        <w:rPr>
          <w:rFonts w:eastAsia="仿宋_GB2312"/>
          <w:sz w:val="32"/>
          <w:szCs w:val="32"/>
        </w:rPr>
        <w:t>”</w:t>
      </w:r>
      <w:r>
        <w:rPr>
          <w:rFonts w:eastAsia="仿宋_GB2312" w:hint="eastAsia"/>
          <w:sz w:val="32"/>
          <w:szCs w:val="32"/>
        </w:rPr>
        <w:t>经费支出决算表</w:t>
      </w:r>
    </w:p>
    <w:p w:rsidR="002D0BD4" w:rsidRDefault="00E93A5A">
      <w:pPr>
        <w:widowControl/>
        <w:spacing w:line="580" w:lineRule="exact"/>
        <w:ind w:left="640" w:firstLineChars="200" w:firstLine="640"/>
        <w:rPr>
          <w:rFonts w:eastAsia="仿宋_GB2312"/>
          <w:sz w:val="32"/>
          <w:szCs w:val="32"/>
        </w:rPr>
      </w:pPr>
      <w:r>
        <w:rPr>
          <w:rFonts w:eastAsia="仿宋_GB2312" w:hint="eastAsia"/>
          <w:sz w:val="32"/>
          <w:szCs w:val="32"/>
        </w:rPr>
        <w:t>八、政府性基金预算财政拨款收入支出决算表</w:t>
      </w:r>
    </w:p>
    <w:p w:rsidR="002D0BD4" w:rsidRDefault="00E93A5A">
      <w:pPr>
        <w:widowControl/>
        <w:spacing w:line="580" w:lineRule="exact"/>
        <w:ind w:left="640" w:firstLineChars="200" w:firstLine="640"/>
        <w:rPr>
          <w:rFonts w:eastAsia="仿宋_GB2312"/>
          <w:sz w:val="32"/>
          <w:szCs w:val="32"/>
        </w:rPr>
      </w:pPr>
      <w:r>
        <w:rPr>
          <w:rFonts w:eastAsia="仿宋_GB2312" w:hint="eastAsia"/>
          <w:sz w:val="32"/>
          <w:szCs w:val="32"/>
        </w:rPr>
        <w:t>九、国有资本经营预算财政拨款支出决算表</w:t>
      </w:r>
    </w:p>
    <w:p w:rsidR="002D0BD4" w:rsidRDefault="00E93A5A">
      <w:pPr>
        <w:widowControl/>
        <w:spacing w:line="580" w:lineRule="exact"/>
        <w:ind w:left="640" w:firstLineChars="200" w:firstLine="640"/>
        <w:rPr>
          <w:rFonts w:eastAsia="仿宋_GB2312"/>
          <w:sz w:val="32"/>
          <w:szCs w:val="32"/>
        </w:rPr>
      </w:pPr>
      <w:r>
        <w:rPr>
          <w:rFonts w:eastAsia="仿宋_GB2312" w:hint="eastAsia"/>
          <w:sz w:val="32"/>
          <w:szCs w:val="32"/>
        </w:rPr>
        <w:t>十、政府采购情况表</w:t>
      </w:r>
    </w:p>
    <w:p w:rsidR="002D0BD4" w:rsidRDefault="002D0BD4">
      <w:pPr>
        <w:rPr>
          <w:rFonts w:ascii="宋体" w:cs="ArialUnicodeMS"/>
          <w:color w:val="000000"/>
          <w:kern w:val="0"/>
        </w:rPr>
      </w:pPr>
    </w:p>
    <w:p w:rsidR="002D0BD4" w:rsidRDefault="00E93A5A">
      <w:pPr>
        <w:tabs>
          <w:tab w:val="left" w:pos="1086"/>
        </w:tabs>
        <w:jc w:val="left"/>
        <w:rPr>
          <w:rFonts w:ascii="仿宋_GB2312" w:eastAsia="仿宋_GB2312"/>
          <w:b/>
          <w:sz w:val="28"/>
          <w:szCs w:val="28"/>
          <w:highlight w:val="yellow"/>
        </w:rPr>
        <w:sectPr w:rsidR="002D0BD4">
          <w:pgSz w:w="11906" w:h="16838"/>
          <w:pgMar w:top="2098" w:right="1474" w:bottom="1984" w:left="1588" w:header="851" w:footer="992" w:gutter="0"/>
          <w:cols w:space="720"/>
          <w:docGrid w:type="lines" w:linePitch="312"/>
        </w:sectPr>
      </w:pPr>
      <w:r>
        <w:tab/>
      </w:r>
    </w:p>
    <w:p w:rsidR="002D0BD4" w:rsidRDefault="002D0BD4">
      <w:pPr>
        <w:widowControl/>
        <w:spacing w:line="1200" w:lineRule="exact"/>
        <w:jc w:val="center"/>
        <w:rPr>
          <w:rFonts w:ascii="黑体" w:eastAsia="黑体"/>
          <w:color w:val="000000"/>
          <w:sz w:val="96"/>
          <w:szCs w:val="96"/>
        </w:rPr>
      </w:pPr>
    </w:p>
    <w:p w:rsidR="002D0BD4" w:rsidRDefault="002D0BD4">
      <w:pPr>
        <w:widowControl/>
        <w:spacing w:line="1200" w:lineRule="exact"/>
        <w:jc w:val="center"/>
        <w:rPr>
          <w:rFonts w:ascii="黑体" w:eastAsia="黑体"/>
          <w:color w:val="000000"/>
          <w:sz w:val="96"/>
          <w:szCs w:val="96"/>
        </w:rPr>
      </w:pPr>
    </w:p>
    <w:p w:rsidR="002D0BD4" w:rsidRDefault="002D0BD4">
      <w:pPr>
        <w:widowControl/>
        <w:spacing w:line="1200" w:lineRule="exact"/>
        <w:jc w:val="center"/>
        <w:rPr>
          <w:rFonts w:ascii="黑体" w:eastAsia="黑体"/>
          <w:color w:val="000000"/>
          <w:sz w:val="96"/>
          <w:szCs w:val="96"/>
        </w:rPr>
      </w:pPr>
    </w:p>
    <w:p w:rsidR="002D0BD4" w:rsidRDefault="00E93A5A">
      <w:pPr>
        <w:widowControl/>
        <w:spacing w:line="1200" w:lineRule="exact"/>
        <w:jc w:val="center"/>
        <w:rPr>
          <w:rFonts w:ascii="黑体" w:eastAsia="黑体"/>
          <w:color w:val="000000"/>
          <w:sz w:val="72"/>
          <w:szCs w:val="72"/>
        </w:rPr>
      </w:pPr>
      <w:r>
        <w:rPr>
          <w:rFonts w:ascii="黑体" w:eastAsia="黑体" w:hint="eastAsia"/>
          <w:color w:val="000000"/>
          <w:sz w:val="72"/>
          <w:szCs w:val="72"/>
        </w:rPr>
        <w:t>第三部分</w:t>
      </w:r>
    </w:p>
    <w:p w:rsidR="002D0BD4" w:rsidRDefault="00E93A5A">
      <w:pPr>
        <w:widowControl/>
        <w:spacing w:line="1200" w:lineRule="exact"/>
        <w:jc w:val="center"/>
        <w:rPr>
          <w:color w:val="000000"/>
          <w:sz w:val="72"/>
          <w:szCs w:val="72"/>
        </w:rPr>
      </w:pPr>
      <w:r>
        <w:rPr>
          <w:rFonts w:ascii="黑体" w:eastAsia="黑体" w:hint="eastAsia"/>
          <w:color w:val="000000"/>
          <w:sz w:val="72"/>
          <w:szCs w:val="72"/>
        </w:rPr>
        <w:t>部门决算情况说明</w:t>
      </w:r>
    </w:p>
    <w:p w:rsidR="002D0BD4" w:rsidRDefault="002D0BD4">
      <w:pPr>
        <w:rPr>
          <w:rFonts w:ascii="宋体" w:cs="ArialUnicodeMS"/>
          <w:color w:val="000000"/>
          <w:kern w:val="0"/>
        </w:rPr>
        <w:sectPr w:rsidR="002D0BD4">
          <w:pgSz w:w="11906" w:h="16838"/>
          <w:pgMar w:top="2098" w:right="1474" w:bottom="1984" w:left="1588" w:header="851" w:footer="992" w:gutter="0"/>
          <w:cols w:space="720"/>
          <w:docGrid w:type="lines" w:linePitch="312"/>
        </w:sectPr>
      </w:pPr>
    </w:p>
    <w:p w:rsidR="002D0BD4" w:rsidRDefault="00E93A5A">
      <w:pPr>
        <w:pStyle w:val="2"/>
        <w:spacing w:before="0" w:after="0" w:line="580" w:lineRule="exact"/>
        <w:ind w:firstLineChars="200" w:firstLine="640"/>
        <w:rPr>
          <w:rFonts w:ascii="黑体" w:eastAsia="黑体"/>
          <w:b w:val="0"/>
          <w:bCs w:val="0"/>
        </w:rPr>
      </w:pPr>
      <w:r>
        <w:rPr>
          <w:rFonts w:ascii="黑体" w:eastAsia="黑体" w:hint="eastAsia"/>
          <w:b w:val="0"/>
          <w:bCs w:val="0"/>
        </w:rPr>
        <w:lastRenderedPageBreak/>
        <w:t>一、收入</w:t>
      </w:r>
      <w:r>
        <w:rPr>
          <w:rFonts w:ascii="黑体" w:eastAsia="黑体" w:cs="黑体" w:hint="eastAsia"/>
          <w:b w:val="0"/>
          <w:bCs w:val="0"/>
          <w:kern w:val="0"/>
        </w:rPr>
        <w:t>支出</w:t>
      </w:r>
      <w:r>
        <w:rPr>
          <w:rFonts w:ascii="黑体" w:eastAsia="黑体" w:hint="eastAsia"/>
          <w:b w:val="0"/>
          <w:bCs w:val="0"/>
        </w:rPr>
        <w:t>决算总体情况说明</w:t>
      </w:r>
    </w:p>
    <w:p w:rsidR="002D0BD4" w:rsidRDefault="00E93A5A">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hint="eastAsia"/>
          <w:sz w:val="32"/>
          <w:szCs w:val="32"/>
        </w:rPr>
        <w:t>2018</w:t>
      </w:r>
      <w:r>
        <w:rPr>
          <w:rFonts w:ascii="仿宋_GB2312" w:eastAsia="仿宋_GB2312" w:cs="DengXian-Regular" w:hint="eastAsia"/>
          <w:sz w:val="32"/>
          <w:szCs w:val="32"/>
        </w:rPr>
        <w:t>年度收支总计（含结转和结余）</w:t>
      </w:r>
      <w:r>
        <w:rPr>
          <w:rFonts w:ascii="仿宋_GB2312" w:eastAsia="仿宋_GB2312" w:cs="DengXian-Regular"/>
          <w:sz w:val="32"/>
          <w:szCs w:val="32"/>
        </w:rPr>
        <w:t>6745.81</w:t>
      </w:r>
      <w:r>
        <w:rPr>
          <w:rFonts w:ascii="仿宋_GB2312" w:eastAsia="仿宋_GB2312" w:cs="DengXian-Regular" w:hint="eastAsia"/>
          <w:sz w:val="32"/>
          <w:szCs w:val="32"/>
        </w:rPr>
        <w:t>万元。与</w:t>
      </w:r>
      <w:r>
        <w:rPr>
          <w:rFonts w:ascii="仿宋_GB2312" w:eastAsia="仿宋_GB2312" w:cs="DengXian-Regular" w:hint="eastAsia"/>
          <w:sz w:val="32"/>
          <w:szCs w:val="32"/>
        </w:rPr>
        <w:t>2017</w:t>
      </w:r>
      <w:r>
        <w:rPr>
          <w:rFonts w:ascii="仿宋_GB2312" w:eastAsia="仿宋_GB2312" w:cs="DengXian-Regular" w:hint="eastAsia"/>
          <w:sz w:val="32"/>
          <w:szCs w:val="32"/>
        </w:rPr>
        <w:t>年度决算相比，收支各增加</w:t>
      </w:r>
      <w:r>
        <w:rPr>
          <w:rFonts w:ascii="仿宋_GB2312" w:eastAsia="仿宋_GB2312" w:cs="DengXian-Regular"/>
          <w:sz w:val="32"/>
          <w:szCs w:val="32"/>
        </w:rPr>
        <w:t>1308</w:t>
      </w:r>
      <w:r>
        <w:rPr>
          <w:rFonts w:ascii="仿宋_GB2312" w:eastAsia="仿宋_GB2312" w:cs="DengXian-Regular" w:hint="eastAsia"/>
          <w:sz w:val="32"/>
          <w:szCs w:val="32"/>
        </w:rPr>
        <w:t>万元，增长</w:t>
      </w:r>
      <w:r>
        <w:rPr>
          <w:rFonts w:ascii="仿宋_GB2312" w:eastAsia="仿宋_GB2312" w:cs="DengXian-Regular"/>
          <w:sz w:val="32"/>
          <w:szCs w:val="32"/>
        </w:rPr>
        <w:t>24.1</w:t>
      </w:r>
      <w:r>
        <w:rPr>
          <w:rFonts w:ascii="仿宋_GB2312" w:eastAsia="仿宋_GB2312" w:cs="DengXian-Regular" w:hint="eastAsia"/>
          <w:sz w:val="32"/>
          <w:szCs w:val="32"/>
        </w:rPr>
        <w:t>%</w:t>
      </w:r>
      <w:r>
        <w:rPr>
          <w:rFonts w:ascii="仿宋_GB2312" w:eastAsia="仿宋_GB2312" w:cs="DengXian-Regular" w:hint="eastAsia"/>
          <w:sz w:val="32"/>
          <w:szCs w:val="32"/>
        </w:rPr>
        <w:t>，主要原因是新增选调生，调资等。</w:t>
      </w:r>
    </w:p>
    <w:p w:rsidR="002D0BD4" w:rsidRDefault="00E93A5A">
      <w:pPr>
        <w:pStyle w:val="2"/>
        <w:spacing w:before="0" w:after="0" w:line="580" w:lineRule="exact"/>
        <w:ind w:firstLineChars="200" w:firstLine="640"/>
        <w:rPr>
          <w:rFonts w:ascii="黑体" w:eastAsia="黑体"/>
          <w:b w:val="0"/>
          <w:bCs w:val="0"/>
        </w:rPr>
      </w:pPr>
      <w:r>
        <w:rPr>
          <w:rFonts w:ascii="黑体" w:eastAsia="黑体" w:hint="eastAsia"/>
          <w:b w:val="0"/>
          <w:bCs w:val="0"/>
        </w:rPr>
        <w:t>二、收入决算情况说明</w:t>
      </w:r>
    </w:p>
    <w:p w:rsidR="002D0BD4" w:rsidRDefault="00E93A5A">
      <w:pPr>
        <w:adjustRightInd w:val="0"/>
        <w:snapToGrid w:val="0"/>
        <w:spacing w:after="0" w:line="580" w:lineRule="exact"/>
        <w:ind w:firstLineChars="200" w:firstLine="640"/>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年度本年收入合计</w:t>
      </w:r>
      <w:r>
        <w:rPr>
          <w:rFonts w:ascii="仿宋_GB2312" w:eastAsia="仿宋_GB2312" w:cs="DengXian-Regular"/>
          <w:sz w:val="32"/>
          <w:szCs w:val="32"/>
        </w:rPr>
        <w:t>6745.81</w:t>
      </w:r>
      <w:r>
        <w:rPr>
          <w:rFonts w:ascii="仿宋_GB2312" w:eastAsia="仿宋_GB2312" w:cs="DengXian-Regular" w:hint="eastAsia"/>
          <w:sz w:val="32"/>
          <w:szCs w:val="32"/>
        </w:rPr>
        <w:t>万元，其中：财政拨款收入</w:t>
      </w:r>
      <w:r>
        <w:rPr>
          <w:rFonts w:ascii="仿宋_GB2312" w:eastAsia="仿宋_GB2312" w:cs="DengXian-Regular"/>
          <w:sz w:val="32"/>
          <w:szCs w:val="32"/>
        </w:rPr>
        <w:t>6745.81</w:t>
      </w:r>
      <w:r>
        <w:rPr>
          <w:rFonts w:ascii="仿宋_GB2312" w:eastAsia="仿宋_GB2312" w:cs="DengXian-Regular" w:hint="eastAsia"/>
          <w:sz w:val="32"/>
          <w:szCs w:val="32"/>
        </w:rPr>
        <w:t>万元，占</w:t>
      </w:r>
      <w:r>
        <w:rPr>
          <w:rFonts w:ascii="仿宋_GB2312" w:eastAsia="仿宋_GB2312" w:cs="DengXian-Regular"/>
          <w:sz w:val="32"/>
          <w:szCs w:val="32"/>
        </w:rPr>
        <w:t>100%</w:t>
      </w:r>
      <w:r>
        <w:rPr>
          <w:rFonts w:ascii="仿宋_GB2312" w:eastAsia="仿宋_GB2312" w:cs="DengXian-Regular" w:hint="eastAsia"/>
          <w:sz w:val="32"/>
          <w:szCs w:val="32"/>
        </w:rPr>
        <w:t>；事业收入</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；经营收入</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；其他收入</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w:t>
      </w:r>
    </w:p>
    <w:p w:rsidR="002D0BD4" w:rsidRDefault="00E93A5A">
      <w:pPr>
        <w:pStyle w:val="2"/>
        <w:spacing w:before="0" w:after="0" w:line="580" w:lineRule="exact"/>
        <w:ind w:firstLineChars="200" w:firstLine="640"/>
        <w:rPr>
          <w:rFonts w:ascii="黑体" w:eastAsia="黑体"/>
          <w:b w:val="0"/>
          <w:bCs w:val="0"/>
        </w:rPr>
      </w:pPr>
      <w:r>
        <w:rPr>
          <w:rFonts w:ascii="黑体" w:eastAsia="黑体" w:hint="eastAsia"/>
          <w:b w:val="0"/>
          <w:bCs w:val="0"/>
        </w:rPr>
        <w:t>三、支出决算情况说明</w:t>
      </w:r>
    </w:p>
    <w:p w:rsidR="002D0BD4" w:rsidRDefault="00E93A5A">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年度本年支出合计</w:t>
      </w:r>
      <w:r>
        <w:rPr>
          <w:rFonts w:ascii="仿宋_GB2312" w:eastAsia="仿宋_GB2312" w:cs="DengXian-Regular"/>
          <w:sz w:val="32"/>
          <w:szCs w:val="32"/>
        </w:rPr>
        <w:t>6745.81</w:t>
      </w:r>
      <w:r>
        <w:rPr>
          <w:rFonts w:ascii="仿宋_GB2312" w:eastAsia="仿宋_GB2312" w:cs="DengXian-Regular" w:hint="eastAsia"/>
          <w:sz w:val="32"/>
          <w:szCs w:val="32"/>
        </w:rPr>
        <w:t>万元，其中：基本支出</w:t>
      </w:r>
      <w:r>
        <w:rPr>
          <w:rFonts w:ascii="仿宋_GB2312" w:eastAsia="仿宋_GB2312" w:cs="DengXian-Regular"/>
          <w:sz w:val="32"/>
          <w:szCs w:val="32"/>
        </w:rPr>
        <w:t>6745.81</w:t>
      </w:r>
      <w:r>
        <w:rPr>
          <w:rFonts w:ascii="仿宋_GB2312" w:eastAsia="仿宋_GB2312" w:cs="DengXian-Regular" w:hint="eastAsia"/>
          <w:sz w:val="32"/>
          <w:szCs w:val="32"/>
        </w:rPr>
        <w:t>万元，占</w:t>
      </w:r>
      <w:r>
        <w:rPr>
          <w:rFonts w:ascii="仿宋_GB2312" w:eastAsia="仿宋_GB2312" w:cs="DengXian-Regular"/>
          <w:sz w:val="32"/>
          <w:szCs w:val="32"/>
        </w:rPr>
        <w:t>100%</w:t>
      </w:r>
      <w:r>
        <w:rPr>
          <w:rFonts w:ascii="仿宋_GB2312" w:eastAsia="仿宋_GB2312" w:cs="DengXian-Regular" w:hint="eastAsia"/>
          <w:sz w:val="32"/>
          <w:szCs w:val="32"/>
        </w:rPr>
        <w:t>；项目支出</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；经营支出</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w:t>
      </w:r>
    </w:p>
    <w:p w:rsidR="002D0BD4" w:rsidRDefault="00E93A5A">
      <w:pPr>
        <w:pStyle w:val="2"/>
        <w:spacing w:before="0" w:after="0" w:line="580" w:lineRule="exact"/>
        <w:ind w:firstLineChars="200" w:firstLine="640"/>
        <w:rPr>
          <w:rFonts w:ascii="黑体" w:eastAsia="黑体"/>
          <w:b w:val="0"/>
          <w:bCs w:val="0"/>
        </w:rPr>
      </w:pPr>
      <w:r>
        <w:rPr>
          <w:rFonts w:ascii="黑体" w:eastAsia="黑体" w:hint="eastAsia"/>
          <w:b w:val="0"/>
          <w:bCs w:val="0"/>
        </w:rPr>
        <w:t>四、</w:t>
      </w:r>
      <w:r>
        <w:rPr>
          <w:rFonts w:ascii="黑体" w:eastAsia="黑体" w:cs="黑体" w:hint="eastAsia"/>
          <w:b w:val="0"/>
          <w:bCs w:val="0"/>
          <w:kern w:val="0"/>
        </w:rPr>
        <w:t>财政</w:t>
      </w:r>
      <w:r>
        <w:rPr>
          <w:rFonts w:ascii="黑体" w:eastAsia="黑体" w:hint="eastAsia"/>
          <w:b w:val="0"/>
          <w:bCs w:val="0"/>
        </w:rPr>
        <w:t>拨款收入支出决算情况说明</w:t>
      </w:r>
    </w:p>
    <w:p w:rsidR="002D0BD4" w:rsidRDefault="00E93A5A">
      <w:pPr>
        <w:spacing w:after="0" w:line="580" w:lineRule="exact"/>
        <w:ind w:firstLineChars="200" w:firstLine="643"/>
        <w:rPr>
          <w:rFonts w:ascii="楷体_GB2312" w:eastAsia="楷体_GB2312" w:cs="DengXian-Bold"/>
          <w:b/>
          <w:bCs/>
          <w:sz w:val="32"/>
          <w:szCs w:val="32"/>
        </w:rPr>
      </w:pPr>
      <w:r>
        <w:rPr>
          <w:rFonts w:ascii="楷体_GB2312" w:eastAsia="楷体_GB2312" w:cs="DengXian-Bold" w:hint="eastAsia"/>
          <w:b/>
          <w:bCs/>
          <w:sz w:val="32"/>
          <w:szCs w:val="32"/>
        </w:rPr>
        <w:t>（一）财政拨款收支与</w:t>
      </w:r>
      <w:r>
        <w:rPr>
          <w:rFonts w:ascii="楷体_GB2312" w:eastAsia="楷体_GB2312" w:cs="DengXian-Bold"/>
          <w:b/>
          <w:bCs/>
          <w:sz w:val="32"/>
          <w:szCs w:val="32"/>
        </w:rPr>
        <w:t xml:space="preserve">2017 </w:t>
      </w:r>
      <w:r>
        <w:rPr>
          <w:rFonts w:ascii="楷体_GB2312" w:eastAsia="楷体_GB2312" w:cs="DengXian-Bold" w:hint="eastAsia"/>
          <w:b/>
          <w:bCs/>
          <w:sz w:val="32"/>
          <w:szCs w:val="32"/>
        </w:rPr>
        <w:t>年度决算对比情况</w:t>
      </w:r>
    </w:p>
    <w:p w:rsidR="002D0BD4" w:rsidRDefault="00E93A5A">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年度形成的财政拨款收支均为一般公共预算财政拨款，其中一般公共预算财政拨款本年收入</w:t>
      </w:r>
      <w:r>
        <w:rPr>
          <w:rFonts w:ascii="仿宋_GB2312" w:eastAsia="仿宋_GB2312" w:cs="DengXian-Regular"/>
          <w:sz w:val="32"/>
          <w:szCs w:val="32"/>
        </w:rPr>
        <w:t>6745.81</w:t>
      </w:r>
      <w:r>
        <w:rPr>
          <w:rFonts w:ascii="仿宋_GB2312" w:eastAsia="仿宋_GB2312" w:cs="DengXian-Regular" w:hint="eastAsia"/>
          <w:sz w:val="32"/>
          <w:szCs w:val="32"/>
        </w:rPr>
        <w:t>万元</w:t>
      </w:r>
      <w:r>
        <w:rPr>
          <w:rFonts w:ascii="仿宋_GB2312" w:eastAsia="仿宋_GB2312" w:cs="DengXian-Regular"/>
          <w:sz w:val="32"/>
          <w:szCs w:val="32"/>
        </w:rPr>
        <w:t>,</w:t>
      </w:r>
      <w:r>
        <w:rPr>
          <w:rFonts w:ascii="仿宋_GB2312" w:eastAsia="仿宋_GB2312" w:cs="DengXian-Regular" w:hint="eastAsia"/>
          <w:sz w:val="32"/>
          <w:szCs w:val="32"/>
        </w:rPr>
        <w:t>比</w:t>
      </w:r>
      <w:r>
        <w:rPr>
          <w:rFonts w:ascii="仿宋_GB2312" w:eastAsia="仿宋_GB2312" w:cs="DengXian-Regular"/>
          <w:sz w:val="32"/>
          <w:szCs w:val="32"/>
        </w:rPr>
        <w:t>2017</w:t>
      </w:r>
      <w:r>
        <w:rPr>
          <w:rFonts w:ascii="仿宋_GB2312" w:eastAsia="仿宋_GB2312" w:cs="DengXian-Regular" w:hint="eastAsia"/>
          <w:sz w:val="32"/>
          <w:szCs w:val="32"/>
        </w:rPr>
        <w:t>年度增加</w:t>
      </w:r>
      <w:r>
        <w:rPr>
          <w:rFonts w:ascii="仿宋_GB2312" w:eastAsia="仿宋_GB2312" w:cs="DengXian-Regular"/>
          <w:sz w:val="32"/>
          <w:szCs w:val="32"/>
        </w:rPr>
        <w:t>1308</w:t>
      </w:r>
      <w:r>
        <w:rPr>
          <w:rFonts w:ascii="仿宋_GB2312" w:eastAsia="仿宋_GB2312" w:cs="DengXian-Regular" w:hint="eastAsia"/>
          <w:sz w:val="32"/>
          <w:szCs w:val="32"/>
        </w:rPr>
        <w:t>万元，增长</w:t>
      </w:r>
      <w:r>
        <w:rPr>
          <w:rFonts w:ascii="仿宋_GB2312" w:eastAsia="仿宋_GB2312" w:cs="DengXian-Regular"/>
          <w:sz w:val="32"/>
          <w:szCs w:val="32"/>
        </w:rPr>
        <w:t>24.1%</w:t>
      </w:r>
      <w:r>
        <w:rPr>
          <w:rFonts w:ascii="仿宋_GB2312" w:eastAsia="仿宋_GB2312" w:cs="DengXian-Regular" w:hint="eastAsia"/>
          <w:sz w:val="32"/>
          <w:szCs w:val="32"/>
        </w:rPr>
        <w:t>，主要原因是新增选调生，调资等；本年支出</w:t>
      </w:r>
      <w:r>
        <w:rPr>
          <w:rFonts w:ascii="仿宋_GB2312" w:eastAsia="仿宋_GB2312" w:cs="DengXian-Regular"/>
          <w:sz w:val="32"/>
          <w:szCs w:val="32"/>
        </w:rPr>
        <w:t>6745.81</w:t>
      </w:r>
      <w:r>
        <w:rPr>
          <w:rFonts w:ascii="仿宋_GB2312" w:eastAsia="仿宋_GB2312" w:cs="DengXian-Regular" w:hint="eastAsia"/>
          <w:sz w:val="32"/>
          <w:szCs w:val="32"/>
        </w:rPr>
        <w:t>万元，增加</w:t>
      </w:r>
      <w:r>
        <w:rPr>
          <w:rFonts w:ascii="仿宋_GB2312" w:eastAsia="仿宋_GB2312" w:cs="DengXian-Regular"/>
          <w:sz w:val="32"/>
          <w:szCs w:val="32"/>
        </w:rPr>
        <w:t>1308</w:t>
      </w:r>
      <w:r>
        <w:rPr>
          <w:rFonts w:ascii="仿宋_GB2312" w:eastAsia="仿宋_GB2312" w:cs="DengXian-Regular" w:hint="eastAsia"/>
          <w:sz w:val="32"/>
          <w:szCs w:val="32"/>
        </w:rPr>
        <w:t>万元，增长</w:t>
      </w:r>
      <w:r>
        <w:rPr>
          <w:rFonts w:ascii="仿宋_GB2312" w:eastAsia="仿宋_GB2312" w:cs="DengXian-Regular"/>
          <w:sz w:val="32"/>
          <w:szCs w:val="32"/>
        </w:rPr>
        <w:t>24.1%</w:t>
      </w:r>
      <w:r>
        <w:rPr>
          <w:rFonts w:ascii="仿宋_GB2312" w:eastAsia="仿宋_GB2312" w:cs="DengXian-Regular" w:hint="eastAsia"/>
          <w:sz w:val="32"/>
          <w:szCs w:val="32"/>
        </w:rPr>
        <w:t>，主要原因是新增选调生，调资等。</w:t>
      </w:r>
    </w:p>
    <w:p w:rsidR="002D0BD4" w:rsidRDefault="00E93A5A">
      <w:pPr>
        <w:spacing w:after="0" w:line="580" w:lineRule="exact"/>
        <w:ind w:firstLineChars="200" w:firstLine="643"/>
        <w:rPr>
          <w:rFonts w:ascii="仿宋_GB2312" w:eastAsia="仿宋_GB2312" w:cs="DengXian-Bold"/>
          <w:b/>
          <w:bCs/>
          <w:sz w:val="32"/>
          <w:szCs w:val="32"/>
        </w:rPr>
      </w:pPr>
      <w:r>
        <w:rPr>
          <w:rFonts w:ascii="楷体_GB2312" w:eastAsia="楷体_GB2312" w:cs="DengXian-Bold" w:hint="eastAsia"/>
          <w:b/>
          <w:bCs/>
          <w:sz w:val="32"/>
          <w:szCs w:val="32"/>
        </w:rPr>
        <w:t>（二）财政拨款收支与年初预算数对比情况</w:t>
      </w:r>
    </w:p>
    <w:p w:rsidR="002D0BD4" w:rsidRDefault="00E93A5A">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年度一般公共预算财政拨款收入</w:t>
      </w:r>
      <w:r>
        <w:rPr>
          <w:rFonts w:ascii="仿宋_GB2312" w:eastAsia="仿宋_GB2312" w:cs="DengXian-Regular"/>
          <w:sz w:val="32"/>
          <w:szCs w:val="32"/>
        </w:rPr>
        <w:t>6745.81</w:t>
      </w:r>
      <w:r>
        <w:rPr>
          <w:rFonts w:ascii="仿宋_GB2312" w:eastAsia="仿宋_GB2312" w:cs="DengXian-Regular" w:hint="eastAsia"/>
          <w:sz w:val="32"/>
          <w:szCs w:val="32"/>
        </w:rPr>
        <w:t>万元，</w:t>
      </w:r>
      <w:r>
        <w:rPr>
          <w:rFonts w:ascii="仿宋_GB2312" w:eastAsia="仿宋_GB2312" w:cs="DengXian-Regular" w:hint="eastAsia"/>
          <w:sz w:val="32"/>
          <w:szCs w:val="32"/>
        </w:rPr>
        <w:lastRenderedPageBreak/>
        <w:t>完成年初预算的</w:t>
      </w:r>
      <w:r>
        <w:rPr>
          <w:rFonts w:ascii="仿宋_GB2312" w:eastAsia="仿宋_GB2312" w:cs="DengXian-Regular"/>
          <w:sz w:val="32"/>
          <w:szCs w:val="32"/>
        </w:rPr>
        <w:t>115.9%,</w:t>
      </w:r>
      <w:r>
        <w:rPr>
          <w:rFonts w:ascii="仿宋_GB2312" w:eastAsia="仿宋_GB2312" w:cs="DengXian-Regular" w:hint="eastAsia"/>
          <w:sz w:val="32"/>
          <w:szCs w:val="32"/>
        </w:rPr>
        <w:t>比年初预算增加</w:t>
      </w:r>
      <w:r>
        <w:rPr>
          <w:rFonts w:ascii="仿宋_GB2312" w:eastAsia="仿宋_GB2312" w:cs="DengXian-Regular"/>
          <w:sz w:val="32"/>
          <w:szCs w:val="32"/>
        </w:rPr>
        <w:t>926.72</w:t>
      </w:r>
      <w:r>
        <w:rPr>
          <w:rFonts w:ascii="仿宋_GB2312" w:eastAsia="仿宋_GB2312" w:cs="DengXian-Regular" w:hint="eastAsia"/>
          <w:sz w:val="32"/>
          <w:szCs w:val="32"/>
        </w:rPr>
        <w:t>万元，决算数大于预算数，主要原因是新增选调生，调资等；本年支出</w:t>
      </w:r>
      <w:r>
        <w:rPr>
          <w:rFonts w:ascii="仿宋_GB2312" w:eastAsia="仿宋_GB2312" w:cs="DengXian-Regular"/>
          <w:sz w:val="32"/>
          <w:szCs w:val="32"/>
        </w:rPr>
        <w:t>6745.81</w:t>
      </w:r>
      <w:r>
        <w:rPr>
          <w:rFonts w:ascii="仿宋_GB2312" w:eastAsia="仿宋_GB2312" w:cs="DengXian-Regular" w:hint="eastAsia"/>
          <w:sz w:val="32"/>
          <w:szCs w:val="32"/>
        </w:rPr>
        <w:t>万元，完成年初预算的</w:t>
      </w:r>
      <w:r>
        <w:rPr>
          <w:rFonts w:ascii="仿宋_GB2312" w:eastAsia="仿宋_GB2312" w:cs="DengXian-Regular"/>
          <w:sz w:val="32"/>
          <w:szCs w:val="32"/>
        </w:rPr>
        <w:t>115.9%,</w:t>
      </w:r>
      <w:r>
        <w:rPr>
          <w:rFonts w:ascii="仿宋_GB2312" w:eastAsia="仿宋_GB2312" w:cs="DengXian-Regular" w:hint="eastAsia"/>
          <w:sz w:val="32"/>
          <w:szCs w:val="32"/>
        </w:rPr>
        <w:t>比年初预算增加</w:t>
      </w:r>
      <w:r>
        <w:rPr>
          <w:rFonts w:ascii="仿宋_GB2312" w:eastAsia="仿宋_GB2312" w:cs="DengXian-Regular"/>
          <w:sz w:val="32"/>
          <w:szCs w:val="32"/>
        </w:rPr>
        <w:t>926.72</w:t>
      </w:r>
      <w:r>
        <w:rPr>
          <w:rFonts w:ascii="仿宋_GB2312" w:eastAsia="仿宋_GB2312" w:cs="DengXian-Regular" w:hint="eastAsia"/>
          <w:sz w:val="32"/>
          <w:szCs w:val="32"/>
        </w:rPr>
        <w:t>万元，决算数大于预算数，主要原因是新增选调生，调资等。</w:t>
      </w:r>
    </w:p>
    <w:p w:rsidR="002D0BD4" w:rsidRDefault="00E93A5A">
      <w:pPr>
        <w:numPr>
          <w:ilvl w:val="0"/>
          <w:numId w:val="1"/>
        </w:num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财政拨款支出决算结构情况。</w:t>
      </w:r>
    </w:p>
    <w:p w:rsidR="002D0BD4" w:rsidRDefault="00E93A5A">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 xml:space="preserve">2018 </w:t>
      </w:r>
      <w:r>
        <w:rPr>
          <w:rFonts w:ascii="仿宋_GB2312" w:eastAsia="仿宋_GB2312" w:cs="DengXian-Regular" w:hint="eastAsia"/>
          <w:sz w:val="32"/>
          <w:szCs w:val="32"/>
        </w:rPr>
        <w:t>年度财政拨款支出</w:t>
      </w:r>
      <w:r>
        <w:rPr>
          <w:rFonts w:ascii="仿宋_GB2312" w:eastAsia="仿宋_GB2312" w:cs="DengXian-Regular"/>
          <w:sz w:val="32"/>
          <w:szCs w:val="32"/>
        </w:rPr>
        <w:t>6745.81</w:t>
      </w:r>
      <w:r>
        <w:rPr>
          <w:rFonts w:ascii="仿宋_GB2312" w:eastAsia="仿宋_GB2312" w:cs="DengXian-Regular" w:hint="eastAsia"/>
          <w:sz w:val="32"/>
          <w:szCs w:val="32"/>
        </w:rPr>
        <w:t>万元，主要用于以下方面：一般公共服务（类）支出</w:t>
      </w:r>
      <w:r>
        <w:rPr>
          <w:rFonts w:ascii="仿宋_GB2312" w:eastAsia="仿宋_GB2312" w:cs="DengXian-Regular"/>
          <w:sz w:val="32"/>
          <w:szCs w:val="32"/>
        </w:rPr>
        <w:t>2296.60</w:t>
      </w:r>
      <w:r>
        <w:rPr>
          <w:rFonts w:ascii="仿宋_GB2312" w:eastAsia="仿宋_GB2312" w:cs="DengXian-Regular" w:hint="eastAsia"/>
          <w:sz w:val="32"/>
          <w:szCs w:val="32"/>
        </w:rPr>
        <w:t>万元，占</w:t>
      </w:r>
      <w:r>
        <w:rPr>
          <w:rFonts w:ascii="仿宋_GB2312" w:eastAsia="仿宋_GB2312" w:cs="DengXian-Regular"/>
          <w:sz w:val="32"/>
          <w:szCs w:val="32"/>
        </w:rPr>
        <w:t>34%</w:t>
      </w:r>
      <w:r>
        <w:rPr>
          <w:rFonts w:ascii="仿宋_GB2312" w:eastAsia="仿宋_GB2312" w:cs="DengXian-Regular" w:hint="eastAsia"/>
          <w:sz w:val="32"/>
          <w:szCs w:val="32"/>
        </w:rPr>
        <w:t>；教育（类）支出</w:t>
      </w:r>
      <w:r>
        <w:rPr>
          <w:rFonts w:ascii="仿宋_GB2312" w:eastAsia="仿宋_GB2312" w:cs="DengXian-Regular"/>
          <w:sz w:val="32"/>
          <w:szCs w:val="32"/>
        </w:rPr>
        <w:t>4370.84</w:t>
      </w:r>
      <w:r>
        <w:rPr>
          <w:rFonts w:ascii="仿宋_GB2312" w:eastAsia="仿宋_GB2312" w:cs="DengXian-Regular" w:hint="eastAsia"/>
          <w:sz w:val="32"/>
          <w:szCs w:val="32"/>
        </w:rPr>
        <w:t>万元，占</w:t>
      </w:r>
      <w:r>
        <w:rPr>
          <w:rFonts w:ascii="仿宋_GB2312" w:eastAsia="仿宋_GB2312" w:cs="DengXian-Regular"/>
          <w:sz w:val="32"/>
          <w:szCs w:val="32"/>
        </w:rPr>
        <w:t>64.8%</w:t>
      </w:r>
      <w:r>
        <w:rPr>
          <w:rFonts w:ascii="仿宋_GB2312" w:eastAsia="仿宋_GB2312" w:cs="DengXian-Regular" w:hint="eastAsia"/>
          <w:sz w:val="32"/>
          <w:szCs w:val="32"/>
        </w:rPr>
        <w:t>；医疗卫生与计划生育支出</w:t>
      </w:r>
      <w:r>
        <w:rPr>
          <w:rFonts w:ascii="仿宋_GB2312" w:eastAsia="仿宋_GB2312" w:cs="DengXian-Regular"/>
          <w:sz w:val="32"/>
          <w:szCs w:val="32"/>
        </w:rPr>
        <w:t>49.70</w:t>
      </w:r>
      <w:r>
        <w:rPr>
          <w:rFonts w:ascii="仿宋_GB2312" w:eastAsia="仿宋_GB2312" w:cs="DengXian-Regular" w:hint="eastAsia"/>
          <w:sz w:val="32"/>
          <w:szCs w:val="32"/>
        </w:rPr>
        <w:t>万元，占</w:t>
      </w:r>
      <w:r>
        <w:rPr>
          <w:rFonts w:ascii="仿宋_GB2312" w:eastAsia="仿宋_GB2312" w:cs="DengXian-Regular"/>
          <w:sz w:val="32"/>
          <w:szCs w:val="32"/>
        </w:rPr>
        <w:t>0.7%</w:t>
      </w:r>
      <w:r>
        <w:rPr>
          <w:rFonts w:ascii="仿宋_GB2312" w:eastAsia="仿宋_GB2312" w:cs="DengXian-Regular" w:hint="eastAsia"/>
          <w:sz w:val="32"/>
          <w:szCs w:val="32"/>
        </w:rPr>
        <w:t>；农林水支出</w:t>
      </w:r>
      <w:r>
        <w:rPr>
          <w:rFonts w:ascii="仿宋_GB2312" w:eastAsia="仿宋_GB2312" w:cs="DengXian-Regular"/>
          <w:sz w:val="32"/>
          <w:szCs w:val="32"/>
        </w:rPr>
        <w:t>28.67</w:t>
      </w:r>
      <w:r>
        <w:rPr>
          <w:rFonts w:ascii="仿宋_GB2312" w:eastAsia="仿宋_GB2312" w:cs="DengXian-Regular" w:hint="eastAsia"/>
          <w:sz w:val="32"/>
          <w:szCs w:val="32"/>
        </w:rPr>
        <w:t>万元，占</w:t>
      </w:r>
      <w:r>
        <w:rPr>
          <w:rFonts w:ascii="仿宋_GB2312" w:eastAsia="仿宋_GB2312" w:cs="DengXian-Regular"/>
          <w:sz w:val="32"/>
          <w:szCs w:val="32"/>
        </w:rPr>
        <w:t>0.4%</w:t>
      </w:r>
      <w:r>
        <w:rPr>
          <w:rFonts w:ascii="仿宋_GB2312" w:eastAsia="仿宋_GB2312" w:cs="DengXian-Regular" w:hint="eastAsia"/>
          <w:sz w:val="32"/>
          <w:szCs w:val="32"/>
        </w:rPr>
        <w:t>。</w:t>
      </w:r>
    </w:p>
    <w:p w:rsidR="002D0BD4" w:rsidRDefault="00E93A5A">
      <w:p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（四）一般公共预算财政拨款基本支出决算情况说明</w:t>
      </w:r>
    </w:p>
    <w:p w:rsidR="002D0BD4" w:rsidRDefault="00E93A5A">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 xml:space="preserve">2018 </w:t>
      </w:r>
      <w:r>
        <w:rPr>
          <w:rFonts w:ascii="仿宋_GB2312" w:eastAsia="仿宋_GB2312" w:cs="DengXian-Regular" w:hint="eastAsia"/>
          <w:sz w:val="32"/>
          <w:szCs w:val="32"/>
        </w:rPr>
        <w:t>年度一般公共预算财政拨款基本支出</w:t>
      </w:r>
      <w:r>
        <w:rPr>
          <w:rFonts w:ascii="仿宋_GB2312" w:eastAsia="仿宋_GB2312" w:cs="DengXian-Regular"/>
          <w:sz w:val="32"/>
          <w:szCs w:val="32"/>
        </w:rPr>
        <w:t>6745.81</w:t>
      </w:r>
      <w:r>
        <w:rPr>
          <w:rFonts w:ascii="仿宋_GB2312" w:eastAsia="仿宋_GB2312" w:cs="DengXian-Regular" w:hint="eastAsia"/>
          <w:sz w:val="32"/>
          <w:szCs w:val="32"/>
        </w:rPr>
        <w:t>万元，其中：人员经费</w:t>
      </w:r>
      <w:r>
        <w:rPr>
          <w:rFonts w:ascii="仿宋_GB2312" w:eastAsia="仿宋_GB2312" w:cs="DengXian-Regular"/>
          <w:sz w:val="32"/>
          <w:szCs w:val="32"/>
        </w:rPr>
        <w:t>6203.72</w:t>
      </w:r>
      <w:r>
        <w:rPr>
          <w:rFonts w:ascii="仿宋_GB2312" w:eastAsia="仿宋_GB2312" w:cs="DengXian-Regular" w:hint="eastAsia"/>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等；公用经费</w:t>
      </w:r>
      <w:r>
        <w:rPr>
          <w:rFonts w:ascii="仿宋_GB2312" w:eastAsia="仿宋_GB2312" w:cs="DengXian-Regular"/>
          <w:sz w:val="32"/>
          <w:szCs w:val="32"/>
        </w:rPr>
        <w:t>542.09</w:t>
      </w:r>
      <w:r>
        <w:rPr>
          <w:rFonts w:ascii="仿宋_GB2312" w:eastAsia="仿宋_GB2312" w:cs="DengXian-Regular" w:hint="eastAsia"/>
          <w:sz w:val="32"/>
          <w:szCs w:val="32"/>
        </w:rPr>
        <w:t>万元，主要包括办公费、印刷费、咨询费、手续费、水费、电费、邮电费、取暖费、物业管理费、差旅费、维修（护）费、租赁费、会议费、培训费、专用材料费、劳务费、委托业务费、工会经费、福利费、公务用车运行维护费、其</w:t>
      </w:r>
      <w:r>
        <w:rPr>
          <w:rFonts w:ascii="仿宋_GB2312" w:eastAsia="仿宋_GB2312" w:cs="DengXian-Regular" w:hint="eastAsia"/>
          <w:sz w:val="32"/>
          <w:szCs w:val="32"/>
        </w:rPr>
        <w:t>他交通费用、税金及附加费用、其他商</w:t>
      </w:r>
      <w:r>
        <w:rPr>
          <w:rFonts w:ascii="仿宋_GB2312" w:eastAsia="仿宋_GB2312" w:cs="DengXian-Regular" w:hint="eastAsia"/>
          <w:sz w:val="32"/>
          <w:szCs w:val="32"/>
        </w:rPr>
        <w:lastRenderedPageBreak/>
        <w:t>品和服务支出、办公设备购置、专用设备购置、信息网络及软件购置更新、公务用车购置、其他资本性支出等。</w:t>
      </w:r>
    </w:p>
    <w:p w:rsidR="002D0BD4" w:rsidRDefault="00E93A5A">
      <w:pPr>
        <w:pStyle w:val="2"/>
        <w:spacing w:before="0" w:after="0" w:line="580" w:lineRule="exact"/>
        <w:ind w:firstLineChars="200" w:firstLine="640"/>
        <w:rPr>
          <w:rFonts w:ascii="黑体" w:eastAsia="黑体"/>
          <w:b w:val="0"/>
          <w:bCs w:val="0"/>
        </w:rPr>
      </w:pPr>
      <w:r>
        <w:rPr>
          <w:rFonts w:ascii="黑体" w:eastAsia="黑体" w:hint="eastAsia"/>
          <w:b w:val="0"/>
          <w:bCs w:val="0"/>
        </w:rPr>
        <w:t>五、一般公共预算财政拨款“三公”</w:t>
      </w:r>
      <w:r>
        <w:rPr>
          <w:rFonts w:ascii="黑体" w:eastAsia="黑体"/>
          <w:b w:val="0"/>
          <w:bCs w:val="0"/>
        </w:rPr>
        <w:t xml:space="preserve"> </w:t>
      </w:r>
      <w:r>
        <w:rPr>
          <w:rFonts w:ascii="黑体" w:eastAsia="黑体" w:hint="eastAsia"/>
          <w:b w:val="0"/>
          <w:bCs w:val="0"/>
        </w:rPr>
        <w:t>经费支出决算情况说明</w:t>
      </w:r>
    </w:p>
    <w:p w:rsidR="002D0BD4" w:rsidRDefault="00E93A5A">
      <w:pPr>
        <w:adjustRightInd w:val="0"/>
        <w:snapToGrid w:val="0"/>
        <w:spacing w:line="584" w:lineRule="exact"/>
        <w:ind w:firstLineChars="200" w:firstLine="640"/>
        <w:rPr>
          <w:rFonts w:eastAsia="仿宋_GB2312"/>
          <w:sz w:val="32"/>
          <w:szCs w:val="32"/>
          <w:highlight w:val="yellow"/>
        </w:rPr>
      </w:pPr>
      <w:r>
        <w:rPr>
          <w:rFonts w:eastAsia="仿宋_GB2312" w:hint="eastAsia"/>
          <w:sz w:val="32"/>
          <w:szCs w:val="32"/>
        </w:rPr>
        <w:t>本部门</w:t>
      </w:r>
      <w:r>
        <w:rPr>
          <w:rFonts w:eastAsia="仿宋_GB2312"/>
          <w:sz w:val="32"/>
          <w:szCs w:val="32"/>
        </w:rPr>
        <w:t>2018</w:t>
      </w:r>
      <w:r>
        <w:rPr>
          <w:rFonts w:eastAsia="仿宋_GB2312" w:hint="eastAsia"/>
          <w:sz w:val="32"/>
          <w:szCs w:val="32"/>
        </w:rPr>
        <w:t>年度一般公共预算财政拨款</w:t>
      </w:r>
      <w:r>
        <w:rPr>
          <w:rFonts w:eastAsia="仿宋_GB2312"/>
          <w:sz w:val="32"/>
          <w:szCs w:val="32"/>
        </w:rPr>
        <w:t>“</w:t>
      </w:r>
      <w:r>
        <w:rPr>
          <w:rFonts w:eastAsia="仿宋_GB2312" w:hint="eastAsia"/>
          <w:sz w:val="32"/>
          <w:szCs w:val="32"/>
        </w:rPr>
        <w:t>三公</w:t>
      </w:r>
      <w:r>
        <w:rPr>
          <w:rFonts w:eastAsia="仿宋_GB2312"/>
          <w:sz w:val="32"/>
          <w:szCs w:val="32"/>
        </w:rPr>
        <w:t>”</w:t>
      </w:r>
      <w:r>
        <w:rPr>
          <w:rFonts w:eastAsia="仿宋_GB2312" w:hint="eastAsia"/>
          <w:sz w:val="32"/>
          <w:szCs w:val="32"/>
        </w:rPr>
        <w:t>经费支出共计</w:t>
      </w:r>
      <w:r>
        <w:rPr>
          <w:rFonts w:eastAsia="仿宋_GB2312"/>
          <w:sz w:val="32"/>
          <w:szCs w:val="32"/>
        </w:rPr>
        <w:t>6.92</w:t>
      </w:r>
      <w:r>
        <w:rPr>
          <w:rFonts w:eastAsia="仿宋_GB2312" w:hint="eastAsia"/>
          <w:sz w:val="32"/>
          <w:szCs w:val="32"/>
        </w:rPr>
        <w:t>万元，比年初预算增加</w:t>
      </w:r>
      <w:r>
        <w:rPr>
          <w:rFonts w:eastAsia="仿宋_GB2312"/>
          <w:sz w:val="32"/>
          <w:szCs w:val="32"/>
        </w:rPr>
        <w:t>2.32</w:t>
      </w:r>
      <w:r>
        <w:rPr>
          <w:rFonts w:eastAsia="仿宋_GB2312" w:hint="eastAsia"/>
          <w:sz w:val="32"/>
          <w:szCs w:val="32"/>
        </w:rPr>
        <w:t>万元，增长</w:t>
      </w:r>
      <w:r>
        <w:rPr>
          <w:rFonts w:eastAsia="仿宋_GB2312"/>
          <w:sz w:val="32"/>
          <w:szCs w:val="32"/>
        </w:rPr>
        <w:t>50.4%</w:t>
      </w:r>
      <w:r>
        <w:rPr>
          <w:rFonts w:eastAsia="仿宋_GB2312" w:hint="eastAsia"/>
          <w:sz w:val="32"/>
          <w:szCs w:val="32"/>
        </w:rPr>
        <w:t>，主要</w:t>
      </w:r>
      <w:r>
        <w:rPr>
          <w:rFonts w:ascii="仿宋_GB2312" w:eastAsia="仿宋_GB2312" w:cs="DengXian-Regular" w:hint="eastAsia"/>
          <w:sz w:val="32"/>
          <w:szCs w:val="32"/>
        </w:rPr>
        <w:t>原因</w:t>
      </w:r>
      <w:r>
        <w:rPr>
          <w:rFonts w:eastAsia="仿宋_GB2312" w:hint="eastAsia"/>
          <w:sz w:val="32"/>
          <w:szCs w:val="32"/>
        </w:rPr>
        <w:t>是车辆老化，维修费用增加；比</w:t>
      </w:r>
      <w:r>
        <w:rPr>
          <w:rFonts w:eastAsia="仿宋_GB2312"/>
          <w:sz w:val="32"/>
          <w:szCs w:val="32"/>
        </w:rPr>
        <w:t>2017</w:t>
      </w:r>
      <w:r>
        <w:rPr>
          <w:rFonts w:eastAsia="仿宋_GB2312" w:hint="eastAsia"/>
          <w:sz w:val="32"/>
          <w:szCs w:val="32"/>
        </w:rPr>
        <w:t>年度决算增加</w:t>
      </w:r>
      <w:r>
        <w:rPr>
          <w:rFonts w:eastAsia="仿宋_GB2312"/>
          <w:sz w:val="32"/>
          <w:szCs w:val="32"/>
        </w:rPr>
        <w:t>0.82</w:t>
      </w:r>
      <w:r>
        <w:rPr>
          <w:rFonts w:eastAsia="仿宋_GB2312" w:hint="eastAsia"/>
          <w:sz w:val="32"/>
          <w:szCs w:val="32"/>
        </w:rPr>
        <w:t>万元，增长</w:t>
      </w:r>
      <w:r>
        <w:rPr>
          <w:rFonts w:eastAsia="仿宋_GB2312"/>
          <w:sz w:val="32"/>
          <w:szCs w:val="32"/>
        </w:rPr>
        <w:t>13.4%</w:t>
      </w:r>
      <w:r>
        <w:rPr>
          <w:rFonts w:eastAsia="仿宋_GB2312" w:hint="eastAsia"/>
          <w:sz w:val="32"/>
          <w:szCs w:val="32"/>
        </w:rPr>
        <w:t>，主要</w:t>
      </w:r>
      <w:r>
        <w:rPr>
          <w:rFonts w:ascii="仿宋_GB2312" w:eastAsia="仿宋_GB2312" w:cs="DengXian-Regular" w:hint="eastAsia"/>
          <w:sz w:val="32"/>
          <w:szCs w:val="32"/>
        </w:rPr>
        <w:t>原因</w:t>
      </w:r>
      <w:r>
        <w:rPr>
          <w:rFonts w:eastAsia="仿宋_GB2312" w:hint="eastAsia"/>
          <w:sz w:val="32"/>
          <w:szCs w:val="32"/>
        </w:rPr>
        <w:t>是车辆老化，维修费用增加，大气巡查等。具体情况如下：</w:t>
      </w:r>
    </w:p>
    <w:p w:rsidR="002D0BD4" w:rsidRDefault="00E93A5A">
      <w:pPr>
        <w:adjustRightInd w:val="0"/>
        <w:snapToGrid w:val="0"/>
        <w:spacing w:line="584" w:lineRule="exact"/>
        <w:ind w:firstLineChars="200" w:firstLine="643"/>
        <w:rPr>
          <w:rFonts w:eastAsia="仿宋_GB2312"/>
          <w:sz w:val="32"/>
          <w:szCs w:val="32"/>
          <w:highlight w:val="yellow"/>
        </w:rPr>
      </w:pPr>
      <w:r>
        <w:rPr>
          <w:rFonts w:eastAsia="楷体_GB2312" w:hint="eastAsia"/>
          <w:b/>
          <w:bCs/>
          <w:sz w:val="32"/>
          <w:szCs w:val="32"/>
        </w:rPr>
        <w:t>（一）因公出国（境）费支出</w:t>
      </w:r>
      <w:r>
        <w:rPr>
          <w:rFonts w:eastAsia="楷体_GB2312"/>
          <w:b/>
          <w:bCs/>
          <w:sz w:val="32"/>
          <w:szCs w:val="32"/>
        </w:rPr>
        <w:t>0</w:t>
      </w:r>
      <w:r>
        <w:rPr>
          <w:rFonts w:eastAsia="楷体_GB2312" w:hint="eastAsia"/>
          <w:b/>
          <w:bCs/>
          <w:sz w:val="32"/>
          <w:szCs w:val="32"/>
        </w:rPr>
        <w:t>万元。</w:t>
      </w:r>
      <w:r>
        <w:rPr>
          <w:rFonts w:eastAsia="仿宋_GB2312"/>
          <w:sz w:val="32"/>
          <w:szCs w:val="32"/>
        </w:rPr>
        <w:t>本部门</w:t>
      </w:r>
      <w:r>
        <w:rPr>
          <w:rFonts w:eastAsia="仿宋_GB2312"/>
          <w:sz w:val="32"/>
          <w:szCs w:val="32"/>
        </w:rPr>
        <w:t>201</w:t>
      </w:r>
      <w:r>
        <w:rPr>
          <w:rFonts w:eastAsia="仿宋_GB2312" w:hint="eastAsia"/>
          <w:sz w:val="32"/>
          <w:szCs w:val="32"/>
        </w:rPr>
        <w:t>8</w:t>
      </w:r>
      <w:r>
        <w:rPr>
          <w:rFonts w:eastAsia="仿宋_GB2312"/>
          <w:sz w:val="32"/>
          <w:szCs w:val="32"/>
        </w:rPr>
        <w:t>年度未发生</w:t>
      </w:r>
      <w:r>
        <w:rPr>
          <w:rFonts w:ascii="仿宋_GB2312" w:eastAsia="仿宋_GB2312" w:cs="DengXian-Regular" w:hint="eastAsia"/>
          <w:sz w:val="32"/>
          <w:szCs w:val="32"/>
        </w:rPr>
        <w:t>因公出国（境）</w:t>
      </w:r>
      <w:r>
        <w:rPr>
          <w:rFonts w:ascii="仿宋_GB2312" w:eastAsia="仿宋_GB2312" w:cs="DengXian-Regular"/>
          <w:sz w:val="32"/>
          <w:szCs w:val="32"/>
        </w:rPr>
        <w:t>费支出，</w:t>
      </w:r>
      <w:r>
        <w:rPr>
          <w:rFonts w:eastAsia="仿宋_GB2312"/>
          <w:sz w:val="32"/>
          <w:szCs w:val="32"/>
        </w:rPr>
        <w:t>较年初预算无增减变化；较</w:t>
      </w:r>
      <w:r>
        <w:rPr>
          <w:rFonts w:eastAsia="仿宋_GB2312"/>
          <w:sz w:val="32"/>
          <w:szCs w:val="32"/>
        </w:rPr>
        <w:t>201</w:t>
      </w:r>
      <w:r>
        <w:rPr>
          <w:rFonts w:eastAsia="仿宋_GB2312" w:hint="eastAsia"/>
          <w:sz w:val="32"/>
          <w:szCs w:val="32"/>
        </w:rPr>
        <w:t>7</w:t>
      </w:r>
      <w:r>
        <w:rPr>
          <w:rFonts w:eastAsia="仿宋_GB2312"/>
          <w:sz w:val="32"/>
          <w:szCs w:val="32"/>
        </w:rPr>
        <w:t>年度决算无增减变化</w:t>
      </w:r>
      <w:r>
        <w:rPr>
          <w:rFonts w:eastAsia="仿宋_GB2312" w:hint="eastAsia"/>
          <w:sz w:val="32"/>
          <w:szCs w:val="32"/>
        </w:rPr>
        <w:t>。</w:t>
      </w:r>
    </w:p>
    <w:p w:rsidR="002D0BD4" w:rsidRDefault="00E93A5A">
      <w:pPr>
        <w:adjustRightInd w:val="0"/>
        <w:snapToGrid w:val="0"/>
        <w:spacing w:line="584" w:lineRule="exact"/>
        <w:ind w:firstLineChars="200" w:firstLine="643"/>
        <w:rPr>
          <w:rFonts w:eastAsia="仿宋_GB2312"/>
          <w:b/>
          <w:bCs/>
          <w:sz w:val="32"/>
          <w:szCs w:val="32"/>
        </w:rPr>
      </w:pPr>
      <w:r>
        <w:rPr>
          <w:rFonts w:eastAsia="楷体_GB2312" w:hint="eastAsia"/>
          <w:b/>
          <w:bCs/>
          <w:sz w:val="32"/>
          <w:szCs w:val="32"/>
        </w:rPr>
        <w:t>（二）公务用车购置及运行维护费支出</w:t>
      </w:r>
      <w:r>
        <w:rPr>
          <w:rFonts w:eastAsia="楷体_GB2312"/>
          <w:b/>
          <w:bCs/>
          <w:sz w:val="32"/>
          <w:szCs w:val="32"/>
        </w:rPr>
        <w:t>6.92</w:t>
      </w:r>
      <w:r>
        <w:rPr>
          <w:rFonts w:eastAsia="楷体_GB2312" w:hint="eastAsia"/>
          <w:b/>
          <w:bCs/>
          <w:sz w:val="32"/>
          <w:szCs w:val="32"/>
        </w:rPr>
        <w:t>万元。</w:t>
      </w: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年度公务用车购置及运行维护费比年初预算</w:t>
      </w:r>
      <w:r>
        <w:rPr>
          <w:rFonts w:eastAsia="仿宋_GB2312" w:hint="eastAsia"/>
          <w:sz w:val="32"/>
          <w:szCs w:val="32"/>
        </w:rPr>
        <w:t>增加</w:t>
      </w:r>
      <w:r>
        <w:rPr>
          <w:rFonts w:eastAsia="仿宋_GB2312"/>
          <w:sz w:val="32"/>
          <w:szCs w:val="32"/>
        </w:rPr>
        <w:t>2.32</w:t>
      </w:r>
      <w:r>
        <w:rPr>
          <w:rFonts w:eastAsia="仿宋_GB2312" w:hint="eastAsia"/>
          <w:sz w:val="32"/>
          <w:szCs w:val="32"/>
        </w:rPr>
        <w:t>万元</w:t>
      </w:r>
      <w:r>
        <w:rPr>
          <w:rFonts w:ascii="仿宋_GB2312" w:eastAsia="仿宋_GB2312" w:cs="DengXian-Regular" w:hint="eastAsia"/>
          <w:sz w:val="32"/>
          <w:szCs w:val="32"/>
        </w:rPr>
        <w:t>，</w:t>
      </w:r>
      <w:r>
        <w:rPr>
          <w:rFonts w:eastAsia="仿宋_GB2312" w:hint="eastAsia"/>
          <w:sz w:val="32"/>
          <w:szCs w:val="32"/>
        </w:rPr>
        <w:t>增长</w:t>
      </w:r>
      <w:r>
        <w:rPr>
          <w:rFonts w:eastAsia="仿宋_GB2312"/>
          <w:sz w:val="32"/>
          <w:szCs w:val="32"/>
        </w:rPr>
        <w:t>50.4%</w:t>
      </w:r>
      <w:r>
        <w:rPr>
          <w:rFonts w:ascii="仿宋_GB2312" w:eastAsia="仿宋_GB2312" w:cs="DengXian-Regular"/>
          <w:sz w:val="32"/>
          <w:szCs w:val="32"/>
        </w:rPr>
        <w:t>,</w:t>
      </w:r>
      <w:r>
        <w:rPr>
          <w:rFonts w:ascii="仿宋_GB2312" w:eastAsia="仿宋_GB2312" w:cs="DengXian-Regular" w:hint="eastAsia"/>
          <w:sz w:val="32"/>
          <w:szCs w:val="32"/>
        </w:rPr>
        <w:t>主要原因是车辆老化，维修费用增加，大气巡查等；</w:t>
      </w:r>
      <w:r>
        <w:rPr>
          <w:rFonts w:eastAsia="仿宋_GB2312" w:hint="eastAsia"/>
          <w:sz w:val="32"/>
          <w:szCs w:val="32"/>
        </w:rPr>
        <w:t>比</w:t>
      </w:r>
      <w:r>
        <w:rPr>
          <w:rFonts w:eastAsia="仿宋_GB2312"/>
          <w:sz w:val="32"/>
          <w:szCs w:val="32"/>
        </w:rPr>
        <w:t>2017</w:t>
      </w:r>
      <w:r>
        <w:rPr>
          <w:rFonts w:eastAsia="仿宋_GB2312" w:hint="eastAsia"/>
          <w:sz w:val="32"/>
          <w:szCs w:val="32"/>
        </w:rPr>
        <w:t>年度决算增加</w:t>
      </w:r>
      <w:r>
        <w:rPr>
          <w:rFonts w:eastAsia="仿宋_GB2312"/>
          <w:sz w:val="32"/>
          <w:szCs w:val="32"/>
        </w:rPr>
        <w:t>0.82</w:t>
      </w:r>
      <w:r>
        <w:rPr>
          <w:rFonts w:eastAsia="仿宋_GB2312" w:hint="eastAsia"/>
          <w:sz w:val="32"/>
          <w:szCs w:val="32"/>
        </w:rPr>
        <w:t>万元，增长</w:t>
      </w:r>
      <w:r>
        <w:rPr>
          <w:rFonts w:eastAsia="仿宋_GB2312"/>
          <w:sz w:val="32"/>
          <w:szCs w:val="32"/>
        </w:rPr>
        <w:t>13.4%</w:t>
      </w:r>
      <w:r>
        <w:rPr>
          <w:rFonts w:eastAsia="仿宋_GB2312" w:hint="eastAsia"/>
          <w:sz w:val="32"/>
          <w:szCs w:val="32"/>
        </w:rPr>
        <w:t>，主要</w:t>
      </w:r>
      <w:r>
        <w:rPr>
          <w:rFonts w:ascii="仿宋_GB2312" w:eastAsia="仿宋_GB2312" w:cs="DengXian-Regular" w:hint="eastAsia"/>
          <w:sz w:val="32"/>
          <w:szCs w:val="32"/>
        </w:rPr>
        <w:t>原因</w:t>
      </w:r>
      <w:r>
        <w:rPr>
          <w:rFonts w:eastAsia="仿宋_GB2312" w:hint="eastAsia"/>
          <w:sz w:val="32"/>
          <w:szCs w:val="32"/>
        </w:rPr>
        <w:t>是车辆老化，维修费用增加，大气巡查等。</w:t>
      </w:r>
      <w:r>
        <w:rPr>
          <w:rFonts w:eastAsia="仿宋_GB2312" w:hint="eastAsia"/>
          <w:b/>
          <w:bCs/>
          <w:sz w:val="32"/>
          <w:szCs w:val="32"/>
        </w:rPr>
        <w:t>其中：</w:t>
      </w:r>
    </w:p>
    <w:p w:rsidR="002D0BD4" w:rsidRDefault="00E93A5A">
      <w:pPr>
        <w:adjustRightInd w:val="0"/>
        <w:snapToGrid w:val="0"/>
        <w:spacing w:line="584" w:lineRule="exact"/>
        <w:ind w:firstLineChars="200" w:firstLine="643"/>
        <w:rPr>
          <w:rFonts w:eastAsia="仿宋_GB2312"/>
          <w:sz w:val="32"/>
          <w:szCs w:val="32"/>
          <w:highlight w:val="yellow"/>
        </w:rPr>
      </w:pPr>
      <w:r>
        <w:rPr>
          <w:rFonts w:eastAsia="仿宋_GB2312"/>
          <w:b/>
          <w:sz w:val="32"/>
          <w:szCs w:val="32"/>
        </w:rPr>
        <w:t>公务用车购置费支出</w:t>
      </w:r>
      <w:r>
        <w:rPr>
          <w:rFonts w:eastAsia="仿宋_GB2312"/>
          <w:b/>
          <w:sz w:val="32"/>
          <w:szCs w:val="32"/>
        </w:rPr>
        <w:t>0</w:t>
      </w:r>
      <w:r>
        <w:rPr>
          <w:rFonts w:eastAsia="仿宋_GB2312"/>
          <w:b/>
          <w:sz w:val="32"/>
          <w:szCs w:val="32"/>
        </w:rPr>
        <w:t>万元。</w:t>
      </w:r>
      <w:r>
        <w:rPr>
          <w:rFonts w:eastAsia="仿宋_GB2312"/>
          <w:sz w:val="32"/>
          <w:szCs w:val="32"/>
        </w:rPr>
        <w:t>本部门</w:t>
      </w:r>
      <w:r>
        <w:rPr>
          <w:rFonts w:eastAsia="仿宋_GB2312"/>
          <w:sz w:val="32"/>
          <w:szCs w:val="32"/>
        </w:rPr>
        <w:t>201</w:t>
      </w:r>
      <w:r>
        <w:rPr>
          <w:rFonts w:eastAsia="仿宋_GB2312" w:hint="eastAsia"/>
          <w:sz w:val="32"/>
          <w:szCs w:val="32"/>
        </w:rPr>
        <w:t>8</w:t>
      </w:r>
      <w:r>
        <w:rPr>
          <w:rFonts w:eastAsia="仿宋_GB2312"/>
          <w:sz w:val="32"/>
          <w:szCs w:val="32"/>
        </w:rPr>
        <w:t>年度未发生公务用车购置经费支出。较年初预算无增减变化；较</w:t>
      </w:r>
      <w:r>
        <w:rPr>
          <w:rFonts w:eastAsia="仿宋_GB2312"/>
          <w:sz w:val="32"/>
          <w:szCs w:val="32"/>
        </w:rPr>
        <w:t>201</w:t>
      </w:r>
      <w:r>
        <w:rPr>
          <w:rFonts w:eastAsia="仿宋_GB2312" w:hint="eastAsia"/>
          <w:sz w:val="32"/>
          <w:szCs w:val="32"/>
        </w:rPr>
        <w:t>7</w:t>
      </w:r>
      <w:r>
        <w:rPr>
          <w:rFonts w:eastAsia="仿宋_GB2312"/>
          <w:sz w:val="32"/>
          <w:szCs w:val="32"/>
        </w:rPr>
        <w:t>年度决算无增减变化。</w:t>
      </w:r>
    </w:p>
    <w:p w:rsidR="002D0BD4" w:rsidRDefault="00E93A5A">
      <w:pPr>
        <w:adjustRightInd w:val="0"/>
        <w:snapToGrid w:val="0"/>
        <w:spacing w:line="584" w:lineRule="exact"/>
        <w:ind w:firstLineChars="200" w:firstLine="643"/>
        <w:rPr>
          <w:rFonts w:eastAsia="仿宋_GB2312"/>
          <w:sz w:val="32"/>
          <w:szCs w:val="32"/>
          <w:highlight w:val="yellow"/>
        </w:rPr>
      </w:pPr>
      <w:r>
        <w:rPr>
          <w:rFonts w:eastAsia="仿宋_GB2312" w:hint="eastAsia"/>
          <w:b/>
          <w:sz w:val="32"/>
          <w:szCs w:val="32"/>
        </w:rPr>
        <w:lastRenderedPageBreak/>
        <w:t>公务用车运行维护费支出</w:t>
      </w:r>
      <w:r>
        <w:rPr>
          <w:rFonts w:eastAsia="仿宋_GB2312"/>
          <w:b/>
          <w:sz w:val="32"/>
          <w:szCs w:val="32"/>
        </w:rPr>
        <w:t>6</w:t>
      </w:r>
      <w:r>
        <w:rPr>
          <w:rFonts w:eastAsia="仿宋_GB2312"/>
          <w:b/>
          <w:sz w:val="32"/>
          <w:szCs w:val="32"/>
        </w:rPr>
        <w:t>.92</w:t>
      </w:r>
      <w:r>
        <w:rPr>
          <w:rFonts w:eastAsia="仿宋_GB2312" w:hint="eastAsia"/>
          <w:b/>
          <w:sz w:val="32"/>
          <w:szCs w:val="32"/>
        </w:rPr>
        <w:t>万元。</w:t>
      </w:r>
      <w:r>
        <w:rPr>
          <w:rFonts w:eastAsia="仿宋_GB2312" w:hint="eastAsia"/>
          <w:sz w:val="32"/>
          <w:szCs w:val="32"/>
        </w:rPr>
        <w:t>本部门</w:t>
      </w:r>
      <w:r>
        <w:rPr>
          <w:rFonts w:eastAsia="仿宋_GB2312"/>
          <w:sz w:val="32"/>
          <w:szCs w:val="32"/>
        </w:rPr>
        <w:t>2018</w:t>
      </w:r>
      <w:r>
        <w:rPr>
          <w:rFonts w:eastAsia="仿宋_GB2312" w:hint="eastAsia"/>
          <w:sz w:val="32"/>
          <w:szCs w:val="32"/>
        </w:rPr>
        <w:t>年末单位公务用车保有量</w:t>
      </w:r>
      <w:r>
        <w:rPr>
          <w:rFonts w:eastAsia="仿宋_GB2312"/>
          <w:sz w:val="32"/>
          <w:szCs w:val="32"/>
        </w:rPr>
        <w:t>2</w:t>
      </w:r>
      <w:r>
        <w:rPr>
          <w:rFonts w:eastAsia="仿宋_GB2312" w:hint="eastAsia"/>
          <w:sz w:val="32"/>
          <w:szCs w:val="32"/>
        </w:rPr>
        <w:t>辆。公车运行维护费支出比年初预算增加</w:t>
      </w:r>
      <w:r>
        <w:rPr>
          <w:rFonts w:eastAsia="仿宋_GB2312"/>
          <w:sz w:val="32"/>
          <w:szCs w:val="32"/>
        </w:rPr>
        <w:t>2.32</w:t>
      </w:r>
      <w:r w:rsidR="003B227A">
        <w:rPr>
          <w:rFonts w:eastAsia="仿宋_GB2312" w:hint="eastAsia"/>
          <w:sz w:val="32"/>
          <w:szCs w:val="32"/>
        </w:rPr>
        <w:t>万元，增长</w:t>
      </w:r>
      <w:r>
        <w:rPr>
          <w:rFonts w:eastAsia="仿宋_GB2312"/>
          <w:sz w:val="32"/>
          <w:szCs w:val="32"/>
        </w:rPr>
        <w:t>0.4%</w:t>
      </w:r>
      <w:r>
        <w:rPr>
          <w:rFonts w:eastAsia="仿宋_GB2312" w:hint="eastAsia"/>
          <w:sz w:val="32"/>
          <w:szCs w:val="32"/>
        </w:rPr>
        <w:t>，主要</w:t>
      </w:r>
      <w:r>
        <w:rPr>
          <w:rFonts w:ascii="仿宋_GB2312" w:eastAsia="仿宋_GB2312" w:cs="DengXian-Regular" w:hint="eastAsia"/>
          <w:sz w:val="32"/>
          <w:szCs w:val="32"/>
        </w:rPr>
        <w:t>原因</w:t>
      </w:r>
      <w:r>
        <w:rPr>
          <w:rFonts w:eastAsia="仿宋_GB2312" w:hint="eastAsia"/>
          <w:sz w:val="32"/>
          <w:szCs w:val="32"/>
        </w:rPr>
        <w:t>是</w:t>
      </w:r>
      <w:r>
        <w:rPr>
          <w:rFonts w:ascii="仿宋_GB2312" w:eastAsia="仿宋_GB2312" w:cs="DengXian-Regular" w:hint="eastAsia"/>
          <w:sz w:val="32"/>
          <w:szCs w:val="32"/>
        </w:rPr>
        <w:t>车辆老化，维修费用增加，大气巡查等</w:t>
      </w:r>
      <w:r>
        <w:rPr>
          <w:rFonts w:eastAsia="仿宋_GB2312" w:hint="eastAsia"/>
          <w:sz w:val="32"/>
          <w:szCs w:val="32"/>
        </w:rPr>
        <w:t>；比</w:t>
      </w:r>
      <w:r>
        <w:rPr>
          <w:rFonts w:eastAsia="仿宋_GB2312"/>
          <w:sz w:val="32"/>
          <w:szCs w:val="32"/>
        </w:rPr>
        <w:t>2017</w:t>
      </w:r>
      <w:r>
        <w:rPr>
          <w:rFonts w:eastAsia="仿宋_GB2312" w:hint="eastAsia"/>
          <w:sz w:val="32"/>
          <w:szCs w:val="32"/>
        </w:rPr>
        <w:t>年度决算增加</w:t>
      </w:r>
      <w:r>
        <w:rPr>
          <w:rFonts w:eastAsia="仿宋_GB2312"/>
          <w:sz w:val="32"/>
          <w:szCs w:val="32"/>
        </w:rPr>
        <w:t>0.82</w:t>
      </w:r>
      <w:r>
        <w:rPr>
          <w:rFonts w:eastAsia="仿宋_GB2312" w:hint="eastAsia"/>
          <w:sz w:val="32"/>
          <w:szCs w:val="32"/>
        </w:rPr>
        <w:t>万元，增长</w:t>
      </w:r>
      <w:r>
        <w:rPr>
          <w:rFonts w:eastAsia="仿宋_GB2312"/>
          <w:sz w:val="32"/>
          <w:szCs w:val="32"/>
        </w:rPr>
        <w:t>13.4%</w:t>
      </w:r>
      <w:r>
        <w:rPr>
          <w:rFonts w:eastAsia="仿宋_GB2312" w:hint="eastAsia"/>
          <w:sz w:val="32"/>
          <w:szCs w:val="32"/>
        </w:rPr>
        <w:t>，主要</w:t>
      </w:r>
      <w:r>
        <w:rPr>
          <w:rFonts w:ascii="仿宋_GB2312" w:eastAsia="仿宋_GB2312" w:cs="DengXian-Regular" w:hint="eastAsia"/>
          <w:sz w:val="32"/>
          <w:szCs w:val="32"/>
        </w:rPr>
        <w:t>原因</w:t>
      </w:r>
      <w:r>
        <w:rPr>
          <w:rFonts w:eastAsia="仿宋_GB2312" w:hint="eastAsia"/>
          <w:sz w:val="32"/>
          <w:szCs w:val="32"/>
        </w:rPr>
        <w:t>是</w:t>
      </w:r>
      <w:r>
        <w:rPr>
          <w:rFonts w:ascii="仿宋_GB2312" w:eastAsia="仿宋_GB2312" w:cs="DengXian-Regular" w:hint="eastAsia"/>
          <w:sz w:val="32"/>
          <w:szCs w:val="32"/>
        </w:rPr>
        <w:t>车辆老化，维修费用增加，大气巡查等</w:t>
      </w:r>
      <w:r>
        <w:rPr>
          <w:rFonts w:eastAsia="仿宋_GB2312" w:hint="eastAsia"/>
          <w:sz w:val="32"/>
          <w:szCs w:val="32"/>
        </w:rPr>
        <w:t>。</w:t>
      </w:r>
    </w:p>
    <w:p w:rsidR="002D0BD4" w:rsidRDefault="00E93A5A">
      <w:pPr>
        <w:adjustRightInd w:val="0"/>
        <w:snapToGrid w:val="0"/>
        <w:spacing w:line="584" w:lineRule="exact"/>
        <w:ind w:firstLineChars="200" w:firstLine="643"/>
        <w:rPr>
          <w:rFonts w:eastAsia="仿宋_GB2312"/>
          <w:sz w:val="32"/>
          <w:szCs w:val="32"/>
          <w:highlight w:val="yellow"/>
        </w:rPr>
      </w:pPr>
      <w:r>
        <w:rPr>
          <w:rFonts w:eastAsia="楷体_GB2312" w:hint="eastAsia"/>
          <w:b/>
          <w:bCs/>
          <w:sz w:val="32"/>
          <w:szCs w:val="32"/>
        </w:rPr>
        <w:t>（三）公务接待费支出</w:t>
      </w:r>
      <w:r>
        <w:rPr>
          <w:rFonts w:eastAsia="楷体_GB2312"/>
          <w:b/>
          <w:bCs/>
          <w:sz w:val="32"/>
          <w:szCs w:val="32"/>
        </w:rPr>
        <w:t>0</w:t>
      </w:r>
      <w:r>
        <w:rPr>
          <w:rFonts w:eastAsia="楷体_GB2312" w:hint="eastAsia"/>
          <w:b/>
          <w:bCs/>
          <w:sz w:val="32"/>
          <w:szCs w:val="32"/>
        </w:rPr>
        <w:t>万元。</w:t>
      </w:r>
      <w:r>
        <w:rPr>
          <w:rFonts w:eastAsia="仿宋_GB2312" w:hint="eastAsia"/>
          <w:sz w:val="32"/>
          <w:szCs w:val="32"/>
        </w:rPr>
        <w:t>本部门</w:t>
      </w:r>
      <w:r>
        <w:rPr>
          <w:rFonts w:eastAsia="仿宋_GB2312"/>
          <w:sz w:val="32"/>
          <w:szCs w:val="32"/>
        </w:rPr>
        <w:t>2018</w:t>
      </w:r>
      <w:r>
        <w:rPr>
          <w:rFonts w:eastAsia="仿宋_GB2312" w:hint="eastAsia"/>
          <w:sz w:val="32"/>
          <w:szCs w:val="32"/>
        </w:rPr>
        <w:t>年度公务接待共</w:t>
      </w:r>
      <w:r>
        <w:rPr>
          <w:rFonts w:eastAsia="仿宋_GB2312"/>
          <w:sz w:val="32"/>
          <w:szCs w:val="32"/>
        </w:rPr>
        <w:t>0</w:t>
      </w:r>
      <w:r>
        <w:rPr>
          <w:rFonts w:eastAsia="仿宋_GB2312" w:hint="eastAsia"/>
          <w:sz w:val="32"/>
          <w:szCs w:val="32"/>
        </w:rPr>
        <w:t>批次、</w:t>
      </w:r>
      <w:r>
        <w:rPr>
          <w:rFonts w:eastAsia="仿宋_GB2312"/>
          <w:sz w:val="32"/>
          <w:szCs w:val="32"/>
        </w:rPr>
        <w:t>0</w:t>
      </w:r>
      <w:r>
        <w:rPr>
          <w:rFonts w:eastAsia="仿宋_GB2312" w:hint="eastAsia"/>
          <w:sz w:val="32"/>
          <w:szCs w:val="32"/>
        </w:rPr>
        <w:t>人次。公务接待费支出较年初预算无增减变化；较</w:t>
      </w:r>
      <w:r>
        <w:rPr>
          <w:rFonts w:eastAsia="仿宋_GB2312"/>
          <w:sz w:val="32"/>
          <w:szCs w:val="32"/>
        </w:rPr>
        <w:t>2017</w:t>
      </w:r>
      <w:r>
        <w:rPr>
          <w:rFonts w:eastAsia="仿宋_GB2312" w:hint="eastAsia"/>
          <w:sz w:val="32"/>
          <w:szCs w:val="32"/>
        </w:rPr>
        <w:t>年度决算无增减变化。</w:t>
      </w:r>
    </w:p>
    <w:p w:rsidR="002D0BD4" w:rsidRDefault="00E93A5A">
      <w:pPr>
        <w:adjustRightInd w:val="0"/>
        <w:snapToGrid w:val="0"/>
        <w:spacing w:after="0" w:line="580" w:lineRule="exact"/>
        <w:ind w:firstLineChars="200" w:firstLine="640"/>
        <w:rPr>
          <w:rFonts w:ascii="黑体" w:eastAsia="黑体"/>
          <w:sz w:val="32"/>
          <w:szCs w:val="40"/>
        </w:rPr>
      </w:pPr>
      <w:r>
        <w:rPr>
          <w:rFonts w:ascii="黑体" w:eastAsia="黑体" w:hint="eastAsia"/>
          <w:sz w:val="32"/>
          <w:szCs w:val="40"/>
        </w:rPr>
        <w:t>六、预算绩效情况说明</w:t>
      </w:r>
    </w:p>
    <w:p w:rsidR="002D0BD4" w:rsidRDefault="00E93A5A">
      <w:pPr>
        <w:widowControl/>
        <w:spacing w:line="580" w:lineRule="exact"/>
        <w:ind w:firstLineChars="200" w:firstLine="640"/>
        <w:rPr>
          <w:rFonts w:eastAsia="仿宋_GB2312"/>
          <w:color w:val="000000"/>
          <w:kern w:val="0"/>
          <w:sz w:val="32"/>
          <w:szCs w:val="32"/>
        </w:rPr>
      </w:pPr>
      <w:r>
        <w:rPr>
          <w:rFonts w:ascii="仿宋_GB2312" w:eastAsia="仿宋_GB2312" w:cs="DengXian-Regular" w:hint="eastAsia"/>
          <w:sz w:val="32"/>
          <w:szCs w:val="32"/>
        </w:rPr>
        <w:t>（一）预算绩效管理工作开展情况。</w:t>
      </w:r>
      <w:r>
        <w:rPr>
          <w:rFonts w:eastAsia="仿宋_GB2312" w:hint="eastAsia"/>
          <w:color w:val="000000"/>
          <w:kern w:val="0"/>
          <w:sz w:val="32"/>
          <w:szCs w:val="32"/>
        </w:rPr>
        <w:t>建立健全工作机制，为了顺利推进预算绩效管理工作实施，</w:t>
      </w:r>
      <w:proofErr w:type="gramStart"/>
      <w:r>
        <w:rPr>
          <w:rFonts w:eastAsia="仿宋_GB2312" w:hint="eastAsia"/>
          <w:color w:val="000000"/>
          <w:kern w:val="0"/>
          <w:sz w:val="32"/>
          <w:szCs w:val="32"/>
        </w:rPr>
        <w:t>万庄镇</w:t>
      </w:r>
      <w:proofErr w:type="gramEnd"/>
      <w:r>
        <w:rPr>
          <w:rFonts w:eastAsia="仿宋_GB2312" w:hint="eastAsia"/>
          <w:color w:val="000000"/>
          <w:kern w:val="0"/>
          <w:sz w:val="32"/>
          <w:szCs w:val="32"/>
        </w:rPr>
        <w:t>政府建立了相应的工作机制和操作规程，办公室牵头，相关部门参与。在具体工作中，办公室负责预算支出绩效考评相关政策的制定，牵头组织项目绩效考评工作，下达项目绩效考评通知，跟踪了解项目绩效考评工作实际情况，做好项目绩效考评经验总结及交流宣传工作，做好相关科室，单位的协调工作，最后办公室形成预算绩效考评总结材料。相关科室具体负责本科室对口单位实施项目的绩效考评工作，配合制作考评指标，做好部门和考评单位之间的沟通协调工作，审核对口管理项目的绩效自评报告并对主管</w:t>
      </w:r>
      <w:r>
        <w:rPr>
          <w:rFonts w:eastAsia="仿宋_GB2312" w:hint="eastAsia"/>
          <w:color w:val="000000"/>
          <w:kern w:val="0"/>
          <w:sz w:val="32"/>
          <w:szCs w:val="32"/>
        </w:rPr>
        <w:t>部门出具的绩效考评报告提出意见。</w:t>
      </w:r>
    </w:p>
    <w:p w:rsidR="002D0BD4" w:rsidRDefault="00E93A5A">
      <w:pPr>
        <w:ind w:firstLineChars="200" w:firstLine="640"/>
        <w:rPr>
          <w:rFonts w:ascii="仿宋_GB2312" w:eastAsia="仿宋_GB2312"/>
          <w:sz w:val="32"/>
          <w:szCs w:val="32"/>
        </w:rPr>
      </w:pPr>
      <w:r>
        <w:rPr>
          <w:rFonts w:ascii="仿宋_GB2312" w:eastAsia="仿宋_GB2312" w:cs="DengXian-Regular" w:hint="eastAsia"/>
          <w:sz w:val="32"/>
          <w:szCs w:val="32"/>
        </w:rPr>
        <w:t>（二）项目绩效自评结果。</w:t>
      </w:r>
      <w:r>
        <w:rPr>
          <w:rFonts w:ascii="仿宋_GB2312" w:eastAsia="仿宋_GB2312" w:hint="eastAsia"/>
          <w:sz w:val="32"/>
          <w:szCs w:val="32"/>
        </w:rPr>
        <w:t>年初设定的绩效目标，本项目自</w:t>
      </w:r>
      <w:r>
        <w:rPr>
          <w:rFonts w:ascii="仿宋_GB2312" w:eastAsia="仿宋_GB2312" w:hint="eastAsia"/>
          <w:sz w:val="32"/>
          <w:szCs w:val="32"/>
        </w:rPr>
        <w:lastRenderedPageBreak/>
        <w:t>评得分为</w:t>
      </w:r>
      <w:r>
        <w:rPr>
          <w:rFonts w:ascii="仿宋_GB2312" w:eastAsia="仿宋_GB2312"/>
          <w:sz w:val="32"/>
          <w:szCs w:val="32"/>
        </w:rPr>
        <w:t xml:space="preserve"> 100 </w:t>
      </w:r>
      <w:r>
        <w:rPr>
          <w:rFonts w:ascii="仿宋_GB2312" w:eastAsia="仿宋_GB2312" w:hint="eastAsia"/>
          <w:sz w:val="32"/>
          <w:szCs w:val="32"/>
        </w:rPr>
        <w:t>分。项目完成预算的</w:t>
      </w:r>
      <w:r>
        <w:rPr>
          <w:rFonts w:ascii="仿宋_GB2312" w:eastAsia="仿宋_GB2312"/>
          <w:sz w:val="32"/>
          <w:szCs w:val="32"/>
        </w:rPr>
        <w:t>100%</w:t>
      </w:r>
      <w:r>
        <w:rPr>
          <w:rFonts w:ascii="仿宋_GB2312" w:eastAsia="仿宋_GB2312" w:hint="eastAsia"/>
          <w:sz w:val="32"/>
          <w:szCs w:val="32"/>
        </w:rPr>
        <w:t>。项目资金及时足额发放到各农户手中，得到广大农户认可，满意度</w:t>
      </w:r>
      <w:r>
        <w:rPr>
          <w:rFonts w:ascii="仿宋_GB2312" w:eastAsia="仿宋_GB2312"/>
          <w:sz w:val="32"/>
          <w:szCs w:val="32"/>
        </w:rPr>
        <w:t>100%</w:t>
      </w:r>
      <w:r>
        <w:rPr>
          <w:rFonts w:ascii="仿宋_GB2312" w:eastAsia="仿宋_GB2312" w:hint="eastAsia"/>
          <w:sz w:val="32"/>
          <w:szCs w:val="32"/>
        </w:rPr>
        <w:t>，绩效自评等级为优。</w:t>
      </w:r>
    </w:p>
    <w:p w:rsidR="002D0BD4" w:rsidRDefault="00E93A5A">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（三）重点项目绩效评价结果。</w:t>
      </w:r>
      <w:r>
        <w:rPr>
          <w:rFonts w:ascii="仿宋_GB2312" w:eastAsia="仿宋_GB2312" w:hint="eastAsia"/>
          <w:sz w:val="32"/>
          <w:szCs w:val="32"/>
        </w:rPr>
        <w:t>通过整体评价分析，我单位在</w:t>
      </w:r>
      <w:r>
        <w:rPr>
          <w:rFonts w:ascii="仿宋_GB2312" w:eastAsia="仿宋_GB2312"/>
          <w:sz w:val="32"/>
          <w:szCs w:val="32"/>
        </w:rPr>
        <w:t>2018</w:t>
      </w:r>
      <w:r>
        <w:rPr>
          <w:rFonts w:ascii="仿宋_GB2312" w:eastAsia="仿宋_GB2312" w:hint="eastAsia"/>
          <w:sz w:val="32"/>
          <w:szCs w:val="32"/>
        </w:rPr>
        <w:t>年较好的完成了部门整体绩效目标，各个项目均按照年初既定的绩效目标有效开展，资金足额发放，</w:t>
      </w:r>
      <w:r>
        <w:rPr>
          <w:rFonts w:ascii="仿宋_GB2312" w:eastAsia="仿宋_GB2312" w:cs="DengXian-Regular" w:hint="eastAsia"/>
          <w:sz w:val="32"/>
          <w:szCs w:val="32"/>
        </w:rPr>
        <w:t>农户满意度</w:t>
      </w:r>
      <w:r>
        <w:rPr>
          <w:rFonts w:ascii="仿宋_GB2312" w:eastAsia="仿宋_GB2312" w:cs="DengXian-Regular"/>
          <w:sz w:val="32"/>
          <w:szCs w:val="32"/>
        </w:rPr>
        <w:t>100%</w:t>
      </w:r>
      <w:r>
        <w:rPr>
          <w:rFonts w:ascii="仿宋_GB2312" w:eastAsia="仿宋_GB2312" w:cs="DengXian-Regular" w:hint="eastAsia"/>
          <w:sz w:val="32"/>
          <w:szCs w:val="32"/>
        </w:rPr>
        <w:t>。</w:t>
      </w:r>
      <w:r>
        <w:rPr>
          <w:rFonts w:ascii="仿宋_GB2312" w:eastAsia="仿宋_GB2312" w:hint="eastAsia"/>
          <w:sz w:val="32"/>
          <w:szCs w:val="32"/>
        </w:rPr>
        <w:t>绩效自评等级为优</w:t>
      </w:r>
    </w:p>
    <w:p w:rsidR="002D0BD4" w:rsidRDefault="00E93A5A">
      <w:pPr>
        <w:pStyle w:val="2"/>
        <w:spacing w:before="0" w:after="0" w:line="580" w:lineRule="exact"/>
        <w:ind w:firstLineChars="200" w:firstLine="640"/>
        <w:rPr>
          <w:rFonts w:ascii="黑体" w:eastAsia="黑体"/>
          <w:b w:val="0"/>
          <w:bCs w:val="0"/>
        </w:rPr>
      </w:pPr>
      <w:r>
        <w:rPr>
          <w:rFonts w:ascii="黑体" w:eastAsia="黑体" w:hint="eastAsia"/>
          <w:b w:val="0"/>
          <w:bCs w:val="0"/>
        </w:rPr>
        <w:t>七、其他重要事项的说明</w:t>
      </w:r>
    </w:p>
    <w:p w:rsidR="002D0BD4" w:rsidRDefault="00E93A5A">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（一）机关运行经费情况</w:t>
      </w:r>
    </w:p>
    <w:p w:rsidR="002D0BD4" w:rsidRDefault="00E93A5A">
      <w:pPr>
        <w:widowControl/>
        <w:spacing w:line="520" w:lineRule="exact"/>
        <w:ind w:firstLineChars="200" w:firstLine="640"/>
        <w:jc w:val="left"/>
        <w:rPr>
          <w:rFonts w:ascii="仿宋_GB2312" w:eastAsia="仿宋_GB2312"/>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年度机关运行经费支出</w:t>
      </w:r>
      <w:r>
        <w:rPr>
          <w:rFonts w:ascii="仿宋_GB2312" w:eastAsia="仿宋_GB2312" w:cs="DengXian-Regular"/>
          <w:sz w:val="32"/>
          <w:szCs w:val="32"/>
        </w:rPr>
        <w:t>542.09</w:t>
      </w:r>
      <w:r>
        <w:rPr>
          <w:rFonts w:ascii="仿宋_GB2312" w:eastAsia="仿宋_GB2312" w:cs="DengXian-Regular" w:hint="eastAsia"/>
          <w:sz w:val="32"/>
          <w:szCs w:val="32"/>
        </w:rPr>
        <w:t>万元，比年初预算数增加</w:t>
      </w:r>
      <w:r>
        <w:rPr>
          <w:rFonts w:ascii="仿宋_GB2312" w:eastAsia="仿宋_GB2312" w:cs="DengXian-Regular"/>
          <w:sz w:val="32"/>
          <w:szCs w:val="32"/>
        </w:rPr>
        <w:t>274.36</w:t>
      </w:r>
      <w:r>
        <w:rPr>
          <w:rFonts w:ascii="仿宋_GB2312" w:eastAsia="仿宋_GB2312" w:cs="DengXian-Regular" w:hint="eastAsia"/>
          <w:sz w:val="32"/>
          <w:szCs w:val="32"/>
        </w:rPr>
        <w:t>万元，增长</w:t>
      </w:r>
      <w:r>
        <w:rPr>
          <w:rFonts w:ascii="仿宋_GB2312" w:eastAsia="仿宋_GB2312" w:cs="DengXian-Regular"/>
          <w:sz w:val="32"/>
          <w:szCs w:val="32"/>
        </w:rPr>
        <w:t>102.5</w:t>
      </w:r>
      <w:r>
        <w:rPr>
          <w:rFonts w:eastAsia="仿宋_GB2312"/>
          <w:sz w:val="32"/>
          <w:szCs w:val="32"/>
        </w:rPr>
        <w:t>%</w:t>
      </w:r>
      <w:r>
        <w:rPr>
          <w:rFonts w:ascii="仿宋_GB2312" w:eastAsia="仿宋_GB2312" w:cs="DengXian-Regular" w:hint="eastAsia"/>
          <w:sz w:val="32"/>
          <w:szCs w:val="32"/>
        </w:rPr>
        <w:t>。主要原因是</w:t>
      </w:r>
      <w:r>
        <w:rPr>
          <w:rFonts w:ascii="仿宋_GB2312" w:eastAsia="仿宋_GB2312"/>
          <w:sz w:val="32"/>
          <w:szCs w:val="32"/>
        </w:rPr>
        <w:t>1</w:t>
      </w:r>
      <w:r>
        <w:rPr>
          <w:rFonts w:ascii="仿宋_GB2312" w:eastAsia="仿宋_GB2312" w:hint="eastAsia"/>
          <w:sz w:val="32"/>
          <w:szCs w:val="32"/>
        </w:rPr>
        <w:t>、办公设备老化工作需要更新，新增军人管理事务办等部门需要购入相应办公用品；</w:t>
      </w:r>
      <w:r>
        <w:rPr>
          <w:rFonts w:ascii="仿宋_GB2312" w:eastAsia="仿宋_GB2312"/>
          <w:sz w:val="32"/>
          <w:szCs w:val="32"/>
        </w:rPr>
        <w:t>2</w:t>
      </w:r>
      <w:r>
        <w:rPr>
          <w:rFonts w:ascii="仿宋_GB2312" w:eastAsia="仿宋_GB2312" w:hint="eastAsia"/>
          <w:sz w:val="32"/>
          <w:szCs w:val="32"/>
        </w:rPr>
        <w:t>、加大散乱污、大气环境治理；</w:t>
      </w:r>
      <w:r>
        <w:rPr>
          <w:rFonts w:ascii="仿宋_GB2312" w:eastAsia="仿宋_GB2312"/>
          <w:sz w:val="32"/>
          <w:szCs w:val="32"/>
        </w:rPr>
        <w:t>3</w:t>
      </w:r>
      <w:r>
        <w:rPr>
          <w:rFonts w:ascii="仿宋_GB2312" w:eastAsia="仿宋_GB2312" w:hint="eastAsia"/>
          <w:sz w:val="32"/>
          <w:szCs w:val="32"/>
        </w:rPr>
        <w:t>、加大气代</w:t>
      </w:r>
      <w:proofErr w:type="gramStart"/>
      <w:r>
        <w:rPr>
          <w:rFonts w:ascii="仿宋_GB2312" w:eastAsia="仿宋_GB2312" w:hint="eastAsia"/>
          <w:sz w:val="32"/>
          <w:szCs w:val="32"/>
        </w:rPr>
        <w:t>煤宣传</w:t>
      </w:r>
      <w:proofErr w:type="gramEnd"/>
      <w:r>
        <w:rPr>
          <w:rFonts w:ascii="仿宋_GB2312" w:eastAsia="仿宋_GB2312" w:hint="eastAsia"/>
          <w:sz w:val="32"/>
          <w:szCs w:val="32"/>
        </w:rPr>
        <w:t>治理；</w:t>
      </w:r>
      <w:r>
        <w:rPr>
          <w:rFonts w:ascii="仿宋_GB2312" w:eastAsia="仿宋_GB2312"/>
          <w:sz w:val="32"/>
          <w:szCs w:val="32"/>
        </w:rPr>
        <w:t>4</w:t>
      </w:r>
      <w:r>
        <w:rPr>
          <w:rFonts w:ascii="仿宋_GB2312" w:eastAsia="仿宋_GB2312" w:hint="eastAsia"/>
          <w:sz w:val="32"/>
          <w:szCs w:val="32"/>
        </w:rPr>
        <w:t>、差旅费增加</w:t>
      </w:r>
      <w:r>
        <w:rPr>
          <w:rFonts w:ascii="仿宋_GB2312" w:eastAsia="仿宋_GB2312" w:cs="DengXian-Regular" w:hint="eastAsia"/>
          <w:sz w:val="32"/>
          <w:szCs w:val="32"/>
        </w:rPr>
        <w:t>。</w:t>
      </w:r>
      <w:r>
        <w:rPr>
          <w:rFonts w:eastAsia="仿宋_GB2312" w:hint="eastAsia"/>
          <w:sz w:val="32"/>
          <w:szCs w:val="32"/>
        </w:rPr>
        <w:t>较</w:t>
      </w:r>
      <w:r>
        <w:rPr>
          <w:rFonts w:eastAsia="仿宋_GB2312"/>
          <w:sz w:val="32"/>
          <w:szCs w:val="32"/>
        </w:rPr>
        <w:t>2017</w:t>
      </w:r>
      <w:r>
        <w:rPr>
          <w:rFonts w:eastAsia="仿宋_GB2312" w:hint="eastAsia"/>
          <w:sz w:val="32"/>
          <w:szCs w:val="32"/>
        </w:rPr>
        <w:t>年度决算增加</w:t>
      </w:r>
      <w:r>
        <w:rPr>
          <w:rFonts w:eastAsia="仿宋_GB2312"/>
          <w:sz w:val="32"/>
          <w:szCs w:val="32"/>
        </w:rPr>
        <w:t>338.09</w:t>
      </w:r>
      <w:r>
        <w:rPr>
          <w:rFonts w:eastAsia="仿宋_GB2312" w:hint="eastAsia"/>
          <w:sz w:val="32"/>
          <w:szCs w:val="32"/>
        </w:rPr>
        <w:t>万元，增长</w:t>
      </w:r>
      <w:r>
        <w:rPr>
          <w:rFonts w:eastAsia="仿宋_GB2312"/>
          <w:sz w:val="32"/>
          <w:szCs w:val="32"/>
        </w:rPr>
        <w:t>165.7%</w:t>
      </w:r>
      <w:r>
        <w:rPr>
          <w:rFonts w:eastAsia="仿宋_GB2312" w:hint="eastAsia"/>
          <w:sz w:val="32"/>
          <w:szCs w:val="32"/>
        </w:rPr>
        <w:t>，主要</w:t>
      </w:r>
      <w:r>
        <w:rPr>
          <w:rFonts w:ascii="仿宋_GB2312" w:eastAsia="仿宋_GB2312" w:cs="DengXian-Regular" w:hint="eastAsia"/>
          <w:sz w:val="32"/>
          <w:szCs w:val="32"/>
        </w:rPr>
        <w:t>原因</w:t>
      </w:r>
      <w:r>
        <w:rPr>
          <w:rFonts w:eastAsia="仿宋_GB2312" w:hint="eastAsia"/>
          <w:sz w:val="32"/>
          <w:szCs w:val="32"/>
        </w:rPr>
        <w:t>是</w:t>
      </w:r>
      <w:r>
        <w:rPr>
          <w:rFonts w:ascii="仿宋_GB2312" w:eastAsia="仿宋_GB2312"/>
          <w:sz w:val="32"/>
          <w:szCs w:val="32"/>
        </w:rPr>
        <w:t>1</w:t>
      </w:r>
      <w:r>
        <w:rPr>
          <w:rFonts w:ascii="仿宋_GB2312" w:eastAsia="仿宋_GB2312" w:hint="eastAsia"/>
          <w:sz w:val="32"/>
          <w:szCs w:val="32"/>
        </w:rPr>
        <w:t>、办公设备老化工作需要更新，新增军人管理事务办等部门需要购入相应办公用品；</w:t>
      </w:r>
      <w:r>
        <w:rPr>
          <w:rFonts w:ascii="仿宋_GB2312" w:eastAsia="仿宋_GB2312"/>
          <w:sz w:val="32"/>
          <w:szCs w:val="32"/>
        </w:rPr>
        <w:t>2</w:t>
      </w:r>
      <w:r>
        <w:rPr>
          <w:rFonts w:ascii="仿宋_GB2312" w:eastAsia="仿宋_GB2312" w:hint="eastAsia"/>
          <w:sz w:val="32"/>
          <w:szCs w:val="32"/>
        </w:rPr>
        <w:t>、加大散乱污、大气环境治理；</w:t>
      </w:r>
      <w:r>
        <w:rPr>
          <w:rFonts w:ascii="仿宋_GB2312" w:eastAsia="仿宋_GB2312"/>
          <w:sz w:val="32"/>
          <w:szCs w:val="32"/>
        </w:rPr>
        <w:t>3</w:t>
      </w:r>
      <w:r>
        <w:rPr>
          <w:rFonts w:ascii="仿宋_GB2312" w:eastAsia="仿宋_GB2312" w:hint="eastAsia"/>
          <w:sz w:val="32"/>
          <w:szCs w:val="32"/>
        </w:rPr>
        <w:t>、加大气代</w:t>
      </w:r>
      <w:proofErr w:type="gramStart"/>
      <w:r>
        <w:rPr>
          <w:rFonts w:ascii="仿宋_GB2312" w:eastAsia="仿宋_GB2312" w:hint="eastAsia"/>
          <w:sz w:val="32"/>
          <w:szCs w:val="32"/>
        </w:rPr>
        <w:t>煤宣传</w:t>
      </w:r>
      <w:proofErr w:type="gramEnd"/>
      <w:r>
        <w:rPr>
          <w:rFonts w:ascii="仿宋_GB2312" w:eastAsia="仿宋_GB2312" w:hint="eastAsia"/>
          <w:sz w:val="32"/>
          <w:szCs w:val="32"/>
        </w:rPr>
        <w:t>治理；</w:t>
      </w:r>
      <w:r>
        <w:rPr>
          <w:rFonts w:ascii="仿宋_GB2312" w:eastAsia="仿宋_GB2312"/>
          <w:sz w:val="32"/>
          <w:szCs w:val="32"/>
        </w:rPr>
        <w:t>4</w:t>
      </w:r>
      <w:r>
        <w:rPr>
          <w:rFonts w:ascii="仿宋_GB2312" w:eastAsia="仿宋_GB2312" w:hint="eastAsia"/>
          <w:sz w:val="32"/>
          <w:szCs w:val="32"/>
        </w:rPr>
        <w:t>、差旅费增加。</w:t>
      </w:r>
    </w:p>
    <w:p w:rsidR="002D0BD4" w:rsidRDefault="00E93A5A">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（二）政府采购情况</w:t>
      </w:r>
    </w:p>
    <w:p w:rsidR="002D0BD4" w:rsidRDefault="00E93A5A">
      <w:pPr>
        <w:widowControl/>
        <w:spacing w:after="0" w:line="580" w:lineRule="exact"/>
        <w:ind w:firstLineChars="200" w:firstLine="640"/>
        <w:jc w:val="left"/>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年度政府采购支出总额</w:t>
      </w:r>
      <w:r>
        <w:rPr>
          <w:rFonts w:ascii="仿宋_GB2312" w:eastAsia="仿宋_GB2312" w:cs="DengXian-Regular"/>
          <w:sz w:val="32"/>
          <w:szCs w:val="32"/>
        </w:rPr>
        <w:t>419.55</w:t>
      </w:r>
      <w:r>
        <w:rPr>
          <w:rFonts w:ascii="仿宋_GB2312" w:eastAsia="仿宋_GB2312" w:cs="DengXian-Regular" w:hint="eastAsia"/>
          <w:sz w:val="32"/>
          <w:szCs w:val="32"/>
        </w:rPr>
        <w:t>万元，从采购类型来看，</w:t>
      </w:r>
      <w:r>
        <w:rPr>
          <w:rFonts w:ascii="仿宋_GB2312" w:eastAsia="仿宋_GB2312" w:cs="仿宋_GB2312" w:hint="eastAsia"/>
          <w:color w:val="000000"/>
          <w:kern w:val="0"/>
          <w:sz w:val="32"/>
          <w:szCs w:val="32"/>
        </w:rPr>
        <w:t>政府采购货物支出</w:t>
      </w:r>
      <w:r>
        <w:rPr>
          <w:rFonts w:ascii="仿宋_GB2312" w:eastAsia="仿宋_GB2312" w:cs="仿宋_GB2312"/>
          <w:color w:val="000000"/>
          <w:kern w:val="0"/>
          <w:sz w:val="32"/>
          <w:szCs w:val="32"/>
        </w:rPr>
        <w:t>272.03</w:t>
      </w:r>
      <w:r>
        <w:rPr>
          <w:rFonts w:ascii="仿宋_GB2312" w:eastAsia="仿宋_GB2312" w:cs="仿宋_GB2312" w:hint="eastAsia"/>
          <w:color w:val="000000"/>
          <w:kern w:val="0"/>
          <w:sz w:val="32"/>
          <w:szCs w:val="32"/>
        </w:rPr>
        <w:t>万元、政府采购工程支出</w:t>
      </w:r>
      <w:r>
        <w:rPr>
          <w:rFonts w:ascii="仿宋_GB2312" w:eastAsia="仿宋_GB2312" w:cs="仿宋_GB2312"/>
          <w:color w:val="000000"/>
          <w:kern w:val="0"/>
          <w:sz w:val="32"/>
          <w:szCs w:val="32"/>
        </w:rPr>
        <w:t>147.52</w:t>
      </w:r>
      <w:r>
        <w:rPr>
          <w:rFonts w:ascii="仿宋_GB2312" w:eastAsia="仿宋_GB2312" w:cs="仿宋_GB2312" w:hint="eastAsia"/>
          <w:color w:val="000000"/>
          <w:kern w:val="0"/>
          <w:sz w:val="32"/>
          <w:szCs w:val="32"/>
        </w:rPr>
        <w:t>万元、政府采购服务支出</w:t>
      </w:r>
      <w:r>
        <w:rPr>
          <w:rFonts w:ascii="仿宋_GB2312" w:eastAsia="仿宋_GB2312" w:cs="仿宋_GB2312"/>
          <w:color w:val="000000"/>
          <w:kern w:val="0"/>
          <w:sz w:val="32"/>
          <w:szCs w:val="32"/>
        </w:rPr>
        <w:t xml:space="preserve"> 0</w:t>
      </w:r>
      <w:r>
        <w:rPr>
          <w:rFonts w:ascii="仿宋_GB2312" w:eastAsia="仿宋_GB2312" w:cs="仿宋_GB2312" w:hint="eastAsia"/>
          <w:color w:val="000000"/>
          <w:kern w:val="0"/>
          <w:sz w:val="32"/>
          <w:szCs w:val="32"/>
        </w:rPr>
        <w:t>万元。授予中小企业合同金</w:t>
      </w:r>
      <w:r w:rsidR="003B227A">
        <w:rPr>
          <w:rFonts w:ascii="仿宋_GB2312" w:eastAsia="仿宋_GB2312" w:cs="仿宋_GB2312" w:hint="eastAsia"/>
          <w:color w:val="000000"/>
          <w:kern w:val="0"/>
          <w:sz w:val="32"/>
          <w:szCs w:val="32"/>
        </w:rPr>
        <w:lastRenderedPageBreak/>
        <w:t>419.55</w:t>
      </w:r>
      <w:r>
        <w:rPr>
          <w:rFonts w:ascii="仿宋_GB2312" w:eastAsia="仿宋_GB2312" w:cs="仿宋_GB2312" w:hint="eastAsia"/>
          <w:color w:val="000000"/>
          <w:kern w:val="0"/>
          <w:sz w:val="32"/>
          <w:szCs w:val="32"/>
        </w:rPr>
        <w:t>万元，占政府采购支出总额的</w:t>
      </w:r>
      <w:r w:rsidR="003B227A">
        <w:rPr>
          <w:rFonts w:ascii="仿宋_GB2312" w:eastAsia="仿宋_GB2312" w:cs="仿宋_GB2312" w:hint="eastAsia"/>
          <w:color w:val="000000"/>
          <w:kern w:val="0"/>
          <w:sz w:val="32"/>
          <w:szCs w:val="32"/>
        </w:rPr>
        <w:t>100</w:t>
      </w:r>
      <w:r>
        <w:rPr>
          <w:rFonts w:ascii="仿宋_GB2312" w:eastAsia="仿宋_GB2312" w:cs="仿宋_GB2312"/>
          <w:color w:val="000000"/>
          <w:kern w:val="0"/>
          <w:sz w:val="32"/>
          <w:szCs w:val="32"/>
        </w:rPr>
        <w:t>%</w:t>
      </w:r>
      <w:r>
        <w:rPr>
          <w:rFonts w:ascii="仿宋_GB2312" w:eastAsia="仿宋_GB2312" w:cs="仿宋_GB2312" w:hint="eastAsia"/>
          <w:color w:val="000000"/>
          <w:kern w:val="0"/>
          <w:sz w:val="32"/>
          <w:szCs w:val="32"/>
        </w:rPr>
        <w:t>，其中授予小微企业合同金额</w:t>
      </w:r>
      <w:r>
        <w:rPr>
          <w:rFonts w:ascii="仿宋_GB2312" w:eastAsia="仿宋_GB2312" w:cs="仿宋_GB2312"/>
          <w:color w:val="000000"/>
          <w:kern w:val="0"/>
          <w:sz w:val="32"/>
          <w:szCs w:val="32"/>
        </w:rPr>
        <w:t>272.03</w:t>
      </w:r>
      <w:r>
        <w:rPr>
          <w:rFonts w:ascii="仿宋_GB2312" w:eastAsia="仿宋_GB2312" w:cs="仿宋_GB2312" w:hint="eastAsia"/>
          <w:color w:val="000000"/>
          <w:kern w:val="0"/>
          <w:sz w:val="32"/>
          <w:szCs w:val="32"/>
        </w:rPr>
        <w:t>万元，占政府采购支出总额的</w:t>
      </w:r>
      <w:r>
        <w:rPr>
          <w:rFonts w:ascii="仿宋_GB2312" w:eastAsia="仿宋_GB2312" w:cs="仿宋_GB2312"/>
          <w:color w:val="000000"/>
          <w:kern w:val="0"/>
          <w:sz w:val="32"/>
          <w:szCs w:val="32"/>
        </w:rPr>
        <w:t>64.8%</w:t>
      </w:r>
      <w:r>
        <w:rPr>
          <w:rFonts w:ascii="仿宋_GB2312" w:eastAsia="仿宋_GB2312" w:cs="仿宋_GB2312" w:hint="eastAsia"/>
          <w:color w:val="000000"/>
          <w:kern w:val="0"/>
          <w:sz w:val="32"/>
          <w:szCs w:val="32"/>
        </w:rPr>
        <w:t>。</w:t>
      </w:r>
      <w:bookmarkStart w:id="0" w:name="_GoBack"/>
      <w:bookmarkEnd w:id="0"/>
    </w:p>
    <w:p w:rsidR="002D0BD4" w:rsidRDefault="00E93A5A">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（三）国有资产占用情况</w:t>
      </w:r>
    </w:p>
    <w:p w:rsidR="002D0BD4" w:rsidRDefault="00E93A5A">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截至</w:t>
      </w:r>
      <w:r>
        <w:rPr>
          <w:rFonts w:ascii="仿宋_GB2312" w:eastAsia="仿宋_GB2312" w:cs="DengXian-Regular"/>
          <w:sz w:val="32"/>
          <w:szCs w:val="32"/>
        </w:rPr>
        <w:t>2018</w:t>
      </w:r>
      <w:r>
        <w:rPr>
          <w:rFonts w:ascii="仿宋_GB2312" w:eastAsia="仿宋_GB2312" w:cs="DengXian-Regular" w:hint="eastAsia"/>
          <w:sz w:val="32"/>
          <w:szCs w:val="32"/>
        </w:rPr>
        <w:t>年</w:t>
      </w:r>
      <w:r>
        <w:rPr>
          <w:rFonts w:ascii="仿宋_GB2312" w:eastAsia="仿宋_GB2312" w:cs="DengXian-Regular"/>
          <w:sz w:val="32"/>
          <w:szCs w:val="32"/>
        </w:rPr>
        <w:t>12</w:t>
      </w:r>
      <w:r>
        <w:rPr>
          <w:rFonts w:ascii="仿宋_GB2312" w:eastAsia="仿宋_GB2312" w:cs="DengXian-Regular" w:hint="eastAsia"/>
          <w:sz w:val="32"/>
          <w:szCs w:val="32"/>
        </w:rPr>
        <w:t>月</w:t>
      </w:r>
      <w:r>
        <w:rPr>
          <w:rFonts w:ascii="仿宋_GB2312" w:eastAsia="仿宋_GB2312" w:cs="DengXian-Regular"/>
          <w:sz w:val="32"/>
          <w:szCs w:val="32"/>
        </w:rPr>
        <w:t>31</w:t>
      </w:r>
      <w:r>
        <w:rPr>
          <w:rFonts w:ascii="仿宋_GB2312" w:eastAsia="仿宋_GB2312" w:cs="DengXian-Regular" w:hint="eastAsia"/>
          <w:sz w:val="32"/>
          <w:szCs w:val="32"/>
        </w:rPr>
        <w:t>日，本部门共有车辆</w:t>
      </w:r>
      <w:r>
        <w:rPr>
          <w:rFonts w:ascii="仿宋_GB2312" w:eastAsia="仿宋_GB2312" w:cs="DengXian-Regular"/>
          <w:sz w:val="32"/>
          <w:szCs w:val="32"/>
        </w:rPr>
        <w:t>2</w:t>
      </w:r>
      <w:r>
        <w:rPr>
          <w:rFonts w:ascii="仿宋_GB2312" w:eastAsia="仿宋_GB2312" w:cs="DengXian-Regular" w:hint="eastAsia"/>
          <w:sz w:val="32"/>
          <w:szCs w:val="32"/>
        </w:rPr>
        <w:t>辆，较上年无增减。其中，副部（省）级及以上领导用车</w:t>
      </w:r>
      <w:r>
        <w:rPr>
          <w:rFonts w:ascii="仿宋_GB2312" w:eastAsia="仿宋_GB2312" w:cs="DengXian-Regular"/>
          <w:sz w:val="32"/>
          <w:szCs w:val="32"/>
        </w:rPr>
        <w:t>0</w:t>
      </w:r>
      <w:r>
        <w:rPr>
          <w:rFonts w:ascii="仿宋_GB2312" w:eastAsia="仿宋_GB2312" w:cs="DengXian-Regular" w:hint="eastAsia"/>
          <w:sz w:val="32"/>
          <w:szCs w:val="32"/>
        </w:rPr>
        <w:t>辆，主要领导干部用车</w:t>
      </w:r>
      <w:r>
        <w:rPr>
          <w:rFonts w:ascii="仿宋_GB2312" w:eastAsia="仿宋_GB2312" w:cs="DengXian-Regular"/>
          <w:sz w:val="32"/>
          <w:szCs w:val="32"/>
        </w:rPr>
        <w:t>0</w:t>
      </w:r>
      <w:r>
        <w:rPr>
          <w:rFonts w:ascii="仿宋_GB2312" w:eastAsia="仿宋_GB2312" w:cs="DengXian-Regular" w:hint="eastAsia"/>
          <w:sz w:val="32"/>
          <w:szCs w:val="32"/>
        </w:rPr>
        <w:t>辆，机要通信用车</w:t>
      </w:r>
      <w:r>
        <w:rPr>
          <w:rFonts w:ascii="仿宋_GB2312" w:eastAsia="仿宋_GB2312" w:cs="DengXian-Regular"/>
          <w:sz w:val="32"/>
          <w:szCs w:val="32"/>
        </w:rPr>
        <w:t>2</w:t>
      </w:r>
      <w:r>
        <w:rPr>
          <w:rFonts w:ascii="仿宋_GB2312" w:eastAsia="仿宋_GB2312" w:cs="DengXian-Regular" w:hint="eastAsia"/>
          <w:sz w:val="32"/>
          <w:szCs w:val="32"/>
        </w:rPr>
        <w:t>辆，应急保障用车</w:t>
      </w:r>
      <w:r>
        <w:rPr>
          <w:rFonts w:ascii="仿宋_GB2312" w:eastAsia="仿宋_GB2312" w:cs="DengXian-Regular"/>
          <w:sz w:val="32"/>
          <w:szCs w:val="32"/>
        </w:rPr>
        <w:t>0</w:t>
      </w:r>
      <w:r>
        <w:rPr>
          <w:rFonts w:ascii="仿宋_GB2312" w:eastAsia="仿宋_GB2312" w:cs="DengXian-Regular" w:hint="eastAsia"/>
          <w:sz w:val="32"/>
          <w:szCs w:val="32"/>
        </w:rPr>
        <w:t>辆，执法执勤用车</w:t>
      </w:r>
      <w:r>
        <w:rPr>
          <w:rFonts w:ascii="仿宋_GB2312" w:eastAsia="仿宋_GB2312" w:cs="DengXian-Regular"/>
          <w:sz w:val="32"/>
          <w:szCs w:val="32"/>
        </w:rPr>
        <w:t>0</w:t>
      </w:r>
      <w:r>
        <w:rPr>
          <w:rFonts w:ascii="仿宋_GB2312" w:eastAsia="仿宋_GB2312" w:cs="DengXian-Regular" w:hint="eastAsia"/>
          <w:sz w:val="32"/>
          <w:szCs w:val="32"/>
        </w:rPr>
        <w:t>辆，特种专业技术用车</w:t>
      </w:r>
      <w:r>
        <w:rPr>
          <w:rFonts w:ascii="仿宋_GB2312" w:eastAsia="仿宋_GB2312" w:cs="DengXian-Regular"/>
          <w:sz w:val="32"/>
          <w:szCs w:val="32"/>
        </w:rPr>
        <w:t>0</w:t>
      </w:r>
      <w:r>
        <w:rPr>
          <w:rFonts w:ascii="仿宋_GB2312" w:eastAsia="仿宋_GB2312" w:cs="DengXian-Regular" w:hint="eastAsia"/>
          <w:sz w:val="32"/>
          <w:szCs w:val="32"/>
        </w:rPr>
        <w:t>辆，离退休干部用车</w:t>
      </w:r>
      <w:r>
        <w:rPr>
          <w:rFonts w:ascii="仿宋_GB2312" w:eastAsia="仿宋_GB2312" w:cs="DengXian-Regular"/>
          <w:sz w:val="32"/>
          <w:szCs w:val="32"/>
        </w:rPr>
        <w:t>0</w:t>
      </w:r>
      <w:r>
        <w:rPr>
          <w:rFonts w:ascii="仿宋_GB2312" w:eastAsia="仿宋_GB2312" w:cs="DengXian-Regular" w:hint="eastAsia"/>
          <w:sz w:val="32"/>
          <w:szCs w:val="32"/>
        </w:rPr>
        <w:t>辆，其他</w:t>
      </w:r>
      <w:r>
        <w:rPr>
          <w:rFonts w:ascii="仿宋_GB2312" w:eastAsia="仿宋_GB2312" w:cs="DengXian-Regular" w:hint="eastAsia"/>
          <w:sz w:val="32"/>
          <w:szCs w:val="32"/>
        </w:rPr>
        <w:t>用车</w:t>
      </w:r>
      <w:r>
        <w:rPr>
          <w:rFonts w:ascii="仿宋_GB2312" w:eastAsia="仿宋_GB2312" w:cs="DengXian-Regular"/>
          <w:sz w:val="32"/>
          <w:szCs w:val="32"/>
        </w:rPr>
        <w:t>0</w:t>
      </w:r>
      <w:r>
        <w:rPr>
          <w:rFonts w:ascii="仿宋_GB2312" w:eastAsia="仿宋_GB2312" w:cs="DengXian-Regular" w:hint="eastAsia"/>
          <w:sz w:val="32"/>
          <w:szCs w:val="32"/>
        </w:rPr>
        <w:t>辆；单位价值</w:t>
      </w:r>
      <w:r>
        <w:rPr>
          <w:rFonts w:ascii="仿宋_GB2312" w:eastAsia="仿宋_GB2312" w:cs="TimesNewRomanPSMT"/>
          <w:sz w:val="32"/>
          <w:szCs w:val="32"/>
        </w:rPr>
        <w:t>50</w:t>
      </w:r>
      <w:r>
        <w:rPr>
          <w:rFonts w:ascii="仿宋_GB2312" w:eastAsia="仿宋_GB2312" w:cs="DengXian-Regular" w:hint="eastAsia"/>
          <w:sz w:val="32"/>
          <w:szCs w:val="32"/>
        </w:rPr>
        <w:t>万元以上通用设备</w:t>
      </w:r>
      <w:r>
        <w:rPr>
          <w:rFonts w:ascii="仿宋_GB2312" w:eastAsia="仿宋_GB2312" w:cs="DengXian-Regular"/>
          <w:sz w:val="32"/>
          <w:szCs w:val="32"/>
        </w:rPr>
        <w:t>0</w:t>
      </w:r>
      <w:r>
        <w:rPr>
          <w:rFonts w:ascii="仿宋_GB2312" w:eastAsia="仿宋_GB2312" w:cs="DengXian-Regular" w:hint="eastAsia"/>
          <w:sz w:val="32"/>
          <w:szCs w:val="32"/>
        </w:rPr>
        <w:t>台（套），较上年无增减</w:t>
      </w:r>
      <w:r>
        <w:rPr>
          <w:rFonts w:ascii="仿宋_GB2312" w:eastAsia="仿宋_GB2312" w:cs="DengXian-Regular"/>
          <w:sz w:val="32"/>
          <w:szCs w:val="32"/>
        </w:rPr>
        <w:t xml:space="preserve"> </w:t>
      </w:r>
      <w:r>
        <w:rPr>
          <w:rFonts w:ascii="仿宋_GB2312" w:eastAsia="仿宋_GB2312" w:cs="DengXian-Regular" w:hint="eastAsia"/>
          <w:sz w:val="32"/>
          <w:szCs w:val="32"/>
        </w:rPr>
        <w:t>，单位价值</w:t>
      </w:r>
      <w:r>
        <w:rPr>
          <w:rFonts w:ascii="仿宋_GB2312" w:eastAsia="仿宋_GB2312" w:cs="TimesNewRomanPSMT"/>
          <w:sz w:val="32"/>
          <w:szCs w:val="32"/>
        </w:rPr>
        <w:t>100</w:t>
      </w:r>
      <w:r>
        <w:rPr>
          <w:rFonts w:ascii="仿宋_GB2312" w:eastAsia="仿宋_GB2312" w:cs="DengXian-Regular" w:hint="eastAsia"/>
          <w:sz w:val="32"/>
          <w:szCs w:val="32"/>
        </w:rPr>
        <w:t>万元以上专用设备</w:t>
      </w:r>
      <w:r>
        <w:rPr>
          <w:rFonts w:ascii="仿宋_GB2312" w:eastAsia="仿宋_GB2312" w:cs="DengXian-Regular"/>
          <w:sz w:val="32"/>
          <w:szCs w:val="32"/>
        </w:rPr>
        <w:t>0</w:t>
      </w:r>
      <w:r>
        <w:rPr>
          <w:rFonts w:ascii="仿宋_GB2312" w:eastAsia="仿宋_GB2312" w:cs="DengXian-Regular" w:hint="eastAsia"/>
          <w:sz w:val="32"/>
          <w:szCs w:val="32"/>
        </w:rPr>
        <w:t>台（套），较上年无增减。</w:t>
      </w:r>
    </w:p>
    <w:p w:rsidR="002D0BD4" w:rsidRDefault="00E93A5A">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（四）其他需要说明的情况</w:t>
      </w:r>
    </w:p>
    <w:p w:rsidR="002D0BD4" w:rsidRDefault="00E93A5A">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1</w:t>
      </w: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年度国有资本经营预算收入、政府性基金预算财政拨款无收支及结转结余情况，故国有资本经营预算财政拨款支出决算表、政府性基金预算财政拨款收入支出决算表以空表列示。</w:t>
      </w:r>
    </w:p>
    <w:p w:rsidR="002D0BD4" w:rsidRDefault="00E93A5A">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2</w:t>
      </w:r>
      <w:r>
        <w:rPr>
          <w:rFonts w:ascii="仿宋_GB2312" w:eastAsia="仿宋_GB2312" w:cs="DengXian-Regular" w:hint="eastAsia"/>
          <w:sz w:val="32"/>
          <w:szCs w:val="32"/>
        </w:rPr>
        <w:t>、由于决算公开表格中金额数值应当保留两位小数，公开数据为四舍五入计算结果，个别数据合计项与分项之和存在小数点后差额，特此说明。</w:t>
      </w:r>
    </w:p>
    <w:p w:rsidR="002D0BD4" w:rsidRDefault="002D0BD4">
      <w:pPr>
        <w:widowControl/>
        <w:spacing w:after="0" w:line="580" w:lineRule="exact"/>
        <w:ind w:firstLineChars="200" w:firstLine="883"/>
        <w:jc w:val="left"/>
        <w:rPr>
          <w:rFonts w:ascii="宋体" w:cs="MS-UIGothic,Bold"/>
          <w:b/>
          <w:bCs/>
          <w:kern w:val="0"/>
          <w:sz w:val="44"/>
          <w:szCs w:val="44"/>
        </w:rPr>
        <w:sectPr w:rsidR="002D0BD4">
          <w:pgSz w:w="11906" w:h="16838"/>
          <w:pgMar w:top="2098" w:right="1474" w:bottom="1984" w:left="1588" w:header="851" w:footer="992" w:gutter="0"/>
          <w:cols w:space="720"/>
          <w:docGrid w:type="lines" w:linePitch="312"/>
        </w:sectPr>
      </w:pPr>
    </w:p>
    <w:p w:rsidR="002D0BD4" w:rsidRDefault="002D0BD4">
      <w:pPr>
        <w:widowControl/>
        <w:spacing w:line="1200" w:lineRule="exact"/>
        <w:jc w:val="center"/>
        <w:rPr>
          <w:rFonts w:ascii="黑体" w:eastAsia="黑体"/>
          <w:color w:val="000000"/>
          <w:sz w:val="96"/>
          <w:szCs w:val="96"/>
        </w:rPr>
      </w:pPr>
    </w:p>
    <w:p w:rsidR="002D0BD4" w:rsidRDefault="002D0BD4">
      <w:pPr>
        <w:widowControl/>
        <w:spacing w:line="1200" w:lineRule="exact"/>
        <w:jc w:val="center"/>
        <w:rPr>
          <w:rFonts w:ascii="黑体" w:eastAsia="黑体"/>
          <w:color w:val="000000"/>
          <w:sz w:val="96"/>
          <w:szCs w:val="96"/>
        </w:rPr>
      </w:pPr>
    </w:p>
    <w:p w:rsidR="002D0BD4" w:rsidRDefault="002D0BD4">
      <w:pPr>
        <w:widowControl/>
        <w:spacing w:line="1200" w:lineRule="exact"/>
        <w:jc w:val="center"/>
        <w:rPr>
          <w:rFonts w:ascii="黑体" w:eastAsia="黑体"/>
          <w:color w:val="000000"/>
          <w:sz w:val="96"/>
          <w:szCs w:val="96"/>
        </w:rPr>
      </w:pPr>
    </w:p>
    <w:p w:rsidR="002D0BD4" w:rsidRDefault="00E93A5A">
      <w:pPr>
        <w:widowControl/>
        <w:spacing w:line="1200" w:lineRule="exact"/>
        <w:jc w:val="center"/>
        <w:rPr>
          <w:rFonts w:ascii="黑体" w:eastAsia="黑体"/>
          <w:color w:val="000000"/>
          <w:sz w:val="96"/>
          <w:szCs w:val="96"/>
        </w:rPr>
      </w:pPr>
      <w:r>
        <w:rPr>
          <w:rFonts w:ascii="黑体" w:eastAsia="黑体" w:hint="eastAsia"/>
          <w:color w:val="000000"/>
          <w:sz w:val="96"/>
          <w:szCs w:val="96"/>
        </w:rPr>
        <w:t>第四部分</w:t>
      </w:r>
    </w:p>
    <w:p w:rsidR="002D0BD4" w:rsidRDefault="00E93A5A">
      <w:pPr>
        <w:widowControl/>
        <w:spacing w:line="1200" w:lineRule="exact"/>
        <w:jc w:val="center"/>
        <w:rPr>
          <w:color w:val="000000"/>
          <w:sz w:val="96"/>
          <w:szCs w:val="96"/>
        </w:rPr>
      </w:pPr>
      <w:r>
        <w:rPr>
          <w:rFonts w:ascii="黑体" w:eastAsia="黑体" w:hint="eastAsia"/>
          <w:color w:val="000000"/>
          <w:sz w:val="96"/>
          <w:szCs w:val="96"/>
        </w:rPr>
        <w:t>名词解释</w:t>
      </w:r>
    </w:p>
    <w:p w:rsidR="002D0BD4" w:rsidRDefault="002D0BD4">
      <w:pPr>
        <w:rPr>
          <w:rFonts w:ascii="宋体" w:cs="ArialUnicodeMS"/>
          <w:color w:val="000000"/>
          <w:kern w:val="0"/>
        </w:rPr>
        <w:sectPr w:rsidR="002D0BD4">
          <w:pgSz w:w="11906" w:h="16838"/>
          <w:pgMar w:top="2098" w:right="1474" w:bottom="1984" w:left="1588" w:header="851" w:footer="992" w:gutter="0"/>
          <w:cols w:space="720"/>
          <w:docGrid w:type="lines" w:linePitch="312"/>
        </w:sectPr>
      </w:pPr>
    </w:p>
    <w:p w:rsidR="002D0BD4" w:rsidRDefault="00E93A5A">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lastRenderedPageBreak/>
        <w:t>（一）财政拨款收入：</w:t>
      </w:r>
      <w:r>
        <w:rPr>
          <w:rFonts w:ascii="仿宋_GB2312" w:eastAsia="仿宋_GB2312" w:hint="eastAsia"/>
          <w:color w:val="000000"/>
          <w:kern w:val="0"/>
          <w:sz w:val="32"/>
          <w:szCs w:val="32"/>
        </w:rPr>
        <w:t>本年度从本级财政部门取得的财政拨款，包括一般公共预算财政拨款和政府性基金预算财政拨款。</w:t>
      </w:r>
    </w:p>
    <w:p w:rsidR="002D0BD4" w:rsidRDefault="00E93A5A">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（二）事业收入：</w:t>
      </w:r>
      <w:r>
        <w:rPr>
          <w:rFonts w:ascii="仿宋_GB2312" w:eastAsia="仿宋_GB2312" w:hint="eastAsia"/>
          <w:color w:val="000000"/>
          <w:kern w:val="0"/>
          <w:sz w:val="32"/>
          <w:szCs w:val="32"/>
        </w:rPr>
        <w:t>指事业单位开展专业业务活动及辅助活动所取得的收入。</w:t>
      </w:r>
    </w:p>
    <w:p w:rsidR="002D0BD4" w:rsidRDefault="00E93A5A">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（三）其他收入：</w:t>
      </w:r>
      <w:r>
        <w:rPr>
          <w:rFonts w:ascii="仿宋_GB2312" w:eastAsia="仿宋_GB2312" w:hint="eastAsia"/>
          <w:color w:val="000000"/>
          <w:kern w:val="0"/>
          <w:sz w:val="32"/>
          <w:szCs w:val="32"/>
        </w:rPr>
        <w:t>指除上述“财政拨款收入”“事业收入”“经营收入”等以外的收入。</w:t>
      </w:r>
    </w:p>
    <w:p w:rsidR="002D0BD4" w:rsidRDefault="00E93A5A">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（四）用事业基金弥补收支差额：</w:t>
      </w:r>
      <w:r>
        <w:rPr>
          <w:rFonts w:ascii="仿宋_GB2312" w:eastAsia="仿宋_GB2312"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2D0BD4" w:rsidRDefault="00E93A5A">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（五）年初结转和结余：</w:t>
      </w:r>
      <w:r>
        <w:rPr>
          <w:rFonts w:ascii="仿宋_GB2312" w:eastAsia="仿宋_GB2312" w:hint="eastAsia"/>
          <w:color w:val="000000"/>
          <w:kern w:val="0"/>
          <w:sz w:val="32"/>
          <w:szCs w:val="32"/>
        </w:rPr>
        <w:t>指以前年度尚未完成、结转到本年仍按原规定用途继续使用的资金，或项目已完成等产生的结余资金。</w:t>
      </w:r>
    </w:p>
    <w:p w:rsidR="002D0BD4" w:rsidRDefault="00E93A5A">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（六）结余分配：</w:t>
      </w:r>
      <w:r>
        <w:rPr>
          <w:rFonts w:ascii="仿宋_GB2312" w:eastAsia="仿宋_GB2312" w:hint="eastAsia"/>
          <w:color w:val="000000"/>
          <w:kern w:val="0"/>
          <w:sz w:val="32"/>
          <w:szCs w:val="32"/>
        </w:rPr>
        <w:t>指事业单位按照事业单位会计制度的规定从非财政补助结余中分配的事业基金和职工福利基金等。</w:t>
      </w:r>
    </w:p>
    <w:p w:rsidR="002D0BD4" w:rsidRDefault="00E93A5A">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（七）年末结转和结余：</w:t>
      </w:r>
      <w:r>
        <w:rPr>
          <w:rFonts w:ascii="仿宋_GB2312" w:eastAsia="仿宋_GB2312" w:hint="eastAsia"/>
          <w:color w:val="000000"/>
          <w:kern w:val="0"/>
          <w:sz w:val="32"/>
          <w:szCs w:val="32"/>
        </w:rPr>
        <w:t>指单位按有关规定结转</w:t>
      </w:r>
      <w:r>
        <w:rPr>
          <w:rFonts w:ascii="仿宋_GB2312" w:eastAsia="仿宋_GB2312" w:hint="eastAsia"/>
          <w:color w:val="000000"/>
          <w:kern w:val="0"/>
          <w:sz w:val="32"/>
          <w:szCs w:val="32"/>
        </w:rPr>
        <w:t>到下年或以后年度继续使用的资金，或项目已完成等产生的结余资金。</w:t>
      </w:r>
    </w:p>
    <w:p w:rsidR="002D0BD4" w:rsidRDefault="00E93A5A">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（八）基本支出：</w:t>
      </w:r>
      <w:r>
        <w:rPr>
          <w:rFonts w:ascii="仿宋_GB2312" w:eastAsia="仿宋_GB2312" w:hint="eastAsia"/>
          <w:color w:val="000000"/>
          <w:kern w:val="0"/>
          <w:sz w:val="32"/>
          <w:szCs w:val="32"/>
        </w:rPr>
        <w:t>填列单位为保障机构正常运转、完成日常工作任务而发生的各项支出。</w:t>
      </w:r>
    </w:p>
    <w:p w:rsidR="002D0BD4" w:rsidRDefault="00E93A5A">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lastRenderedPageBreak/>
        <w:t>（九）项目支出：</w:t>
      </w:r>
      <w:r>
        <w:rPr>
          <w:rFonts w:ascii="仿宋_GB2312" w:eastAsia="仿宋_GB2312" w:hint="eastAsia"/>
          <w:color w:val="000000"/>
          <w:kern w:val="0"/>
          <w:sz w:val="32"/>
          <w:szCs w:val="32"/>
        </w:rPr>
        <w:t>填列单位为完成特定的行政工作任务或事业发展目标，在基本支出之外发生的各项支出</w:t>
      </w:r>
    </w:p>
    <w:p w:rsidR="002D0BD4" w:rsidRDefault="00E93A5A">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（十）资本性支出（基本建设）：</w:t>
      </w:r>
      <w:r>
        <w:rPr>
          <w:rFonts w:ascii="仿宋_GB2312" w:eastAsia="仿宋_GB2312" w:hint="eastAsia"/>
          <w:color w:val="000000"/>
          <w:kern w:val="0"/>
          <w:sz w:val="32"/>
          <w:szCs w:val="32"/>
        </w:rPr>
        <w:t>填列切块由发展改革部门安排的基本建设支出，对企业补助支出不在此科目反映。</w:t>
      </w:r>
    </w:p>
    <w:p w:rsidR="002D0BD4" w:rsidRDefault="00E93A5A">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（十一）资本性支出：</w:t>
      </w:r>
      <w:r>
        <w:rPr>
          <w:rFonts w:ascii="仿宋_GB2312" w:eastAsia="仿宋_GB2312" w:hint="eastAsia"/>
          <w:color w:val="000000"/>
          <w:kern w:val="0"/>
          <w:sz w:val="32"/>
          <w:szCs w:val="32"/>
        </w:rPr>
        <w:t>填列各单位安排的资本性支出。切块由发展改革部门安排的基本建设支出不在此科目反映。</w:t>
      </w:r>
    </w:p>
    <w:p w:rsidR="002D0BD4" w:rsidRDefault="00E93A5A">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（十二）“三公”经费：</w:t>
      </w:r>
      <w:r>
        <w:rPr>
          <w:rFonts w:ascii="仿宋_GB2312" w:eastAsia="仿宋_GB2312" w:hint="eastAsia"/>
          <w:color w:val="000000"/>
          <w:kern w:val="0"/>
          <w:sz w:val="32"/>
          <w:szCs w:val="32"/>
        </w:rPr>
        <w:t>指部门用财政拨款安排的因公出国（境）费、公务用</w:t>
      </w:r>
      <w:r>
        <w:rPr>
          <w:rFonts w:ascii="仿宋_GB2312" w:eastAsia="仿宋_GB2312" w:hint="eastAsia"/>
          <w:color w:val="000000"/>
          <w:kern w:val="0"/>
          <w:sz w:val="32"/>
          <w:szCs w:val="32"/>
        </w:rPr>
        <w:t>车购置及运行费和公务接待费。其中，因公出国（境）</w:t>
      </w:r>
      <w:proofErr w:type="gramStart"/>
      <w:r>
        <w:rPr>
          <w:rFonts w:ascii="仿宋_GB2312" w:eastAsia="仿宋_GB2312" w:hint="eastAsia"/>
          <w:color w:val="000000"/>
          <w:kern w:val="0"/>
          <w:sz w:val="32"/>
          <w:szCs w:val="32"/>
        </w:rPr>
        <w:t>费反映</w:t>
      </w:r>
      <w:proofErr w:type="gramEnd"/>
      <w:r>
        <w:rPr>
          <w:rFonts w:ascii="仿宋_GB2312" w:eastAsia="仿宋_GB2312" w:hint="eastAsia"/>
          <w:color w:val="000000"/>
          <w:kern w:val="0"/>
          <w:sz w:val="32"/>
          <w:szCs w:val="32"/>
        </w:rPr>
        <w:t>单位公务出国（境）的国际旅费、国外城市间交通费、住宿费、伙食费、培训费、公杂费等支出；公务用车购置及运行</w:t>
      </w:r>
      <w:proofErr w:type="gramStart"/>
      <w:r>
        <w:rPr>
          <w:rFonts w:ascii="仿宋_GB2312" w:eastAsia="仿宋_GB2312" w:hint="eastAsia"/>
          <w:color w:val="000000"/>
          <w:kern w:val="0"/>
          <w:sz w:val="32"/>
          <w:szCs w:val="32"/>
        </w:rPr>
        <w:t>费反映</w:t>
      </w:r>
      <w:proofErr w:type="gramEnd"/>
      <w:r>
        <w:rPr>
          <w:rFonts w:ascii="仿宋_GB2312" w:eastAsia="仿宋_GB2312" w:hint="eastAsia"/>
          <w:color w:val="000000"/>
          <w:kern w:val="0"/>
          <w:sz w:val="32"/>
          <w:szCs w:val="32"/>
        </w:rPr>
        <w:t>单位公务用车购置支出（</w:t>
      </w:r>
      <w:proofErr w:type="gramStart"/>
      <w:r>
        <w:rPr>
          <w:rFonts w:ascii="仿宋_GB2312" w:eastAsia="仿宋_GB2312" w:hint="eastAsia"/>
          <w:color w:val="000000"/>
          <w:kern w:val="0"/>
          <w:sz w:val="32"/>
          <w:szCs w:val="32"/>
        </w:rPr>
        <w:t>含车辆</w:t>
      </w:r>
      <w:proofErr w:type="gramEnd"/>
      <w:r>
        <w:rPr>
          <w:rFonts w:ascii="仿宋_GB2312" w:eastAsia="仿宋_GB2312" w:hint="eastAsia"/>
          <w:color w:val="000000"/>
          <w:kern w:val="0"/>
          <w:sz w:val="32"/>
          <w:szCs w:val="32"/>
        </w:rPr>
        <w:t>购置税）及租用费、燃料费、维修费、过路过桥费、保险费、安全奖励费用等支出；公务接待</w:t>
      </w:r>
      <w:proofErr w:type="gramStart"/>
      <w:r>
        <w:rPr>
          <w:rFonts w:ascii="仿宋_GB2312" w:eastAsia="仿宋_GB2312" w:hint="eastAsia"/>
          <w:color w:val="000000"/>
          <w:kern w:val="0"/>
          <w:sz w:val="32"/>
          <w:szCs w:val="32"/>
        </w:rPr>
        <w:t>费反映</w:t>
      </w:r>
      <w:proofErr w:type="gramEnd"/>
      <w:r>
        <w:rPr>
          <w:rFonts w:ascii="仿宋_GB2312" w:eastAsia="仿宋_GB2312" w:hint="eastAsia"/>
          <w:color w:val="000000"/>
          <w:kern w:val="0"/>
          <w:sz w:val="32"/>
          <w:szCs w:val="32"/>
        </w:rPr>
        <w:t>单位按规定开支的各类公务接待（含外宾接待）支出。</w:t>
      </w:r>
    </w:p>
    <w:p w:rsidR="002D0BD4" w:rsidRDefault="00E93A5A">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（十三）其他交通费用：</w:t>
      </w:r>
      <w:r>
        <w:rPr>
          <w:rFonts w:ascii="仿宋_GB2312" w:eastAsia="仿宋_GB2312" w:hint="eastAsia"/>
          <w:color w:val="000000"/>
          <w:kern w:val="0"/>
          <w:sz w:val="32"/>
          <w:szCs w:val="32"/>
        </w:rPr>
        <w:t>填列单位除公务用车运行维护费以外的其他交通费用。如公务交通补贴、租车费用、出租车费用、飞机、船舶等的燃料费、维修费、保险费等。</w:t>
      </w:r>
    </w:p>
    <w:p w:rsidR="002D0BD4" w:rsidRDefault="00E93A5A">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（十四）公务用车购置：</w:t>
      </w:r>
      <w:r>
        <w:rPr>
          <w:rFonts w:ascii="仿宋_GB2312" w:eastAsia="仿宋_GB2312" w:hint="eastAsia"/>
          <w:color w:val="000000"/>
          <w:kern w:val="0"/>
          <w:sz w:val="32"/>
          <w:szCs w:val="32"/>
        </w:rPr>
        <w:t>填列单位公</w:t>
      </w:r>
      <w:r>
        <w:rPr>
          <w:rFonts w:ascii="仿宋_GB2312" w:eastAsia="仿宋_GB2312" w:hint="eastAsia"/>
          <w:color w:val="000000"/>
          <w:kern w:val="0"/>
          <w:sz w:val="32"/>
          <w:szCs w:val="32"/>
        </w:rPr>
        <w:t>务用车购置支出（</w:t>
      </w:r>
      <w:proofErr w:type="gramStart"/>
      <w:r>
        <w:rPr>
          <w:rFonts w:ascii="仿宋_GB2312" w:eastAsia="仿宋_GB2312" w:hint="eastAsia"/>
          <w:color w:val="000000"/>
          <w:kern w:val="0"/>
          <w:sz w:val="32"/>
          <w:szCs w:val="32"/>
        </w:rPr>
        <w:t>含车辆</w:t>
      </w:r>
      <w:proofErr w:type="gramEnd"/>
      <w:r>
        <w:rPr>
          <w:rFonts w:ascii="仿宋_GB2312" w:eastAsia="仿宋_GB2312" w:hint="eastAsia"/>
          <w:color w:val="000000"/>
          <w:kern w:val="0"/>
          <w:sz w:val="32"/>
          <w:szCs w:val="32"/>
        </w:rPr>
        <w:t>购置税、牌照费）。</w:t>
      </w:r>
    </w:p>
    <w:p w:rsidR="002D0BD4" w:rsidRDefault="00E93A5A">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（十五）其他交通工具购置：</w:t>
      </w:r>
      <w:r>
        <w:rPr>
          <w:rFonts w:ascii="仿宋_GB2312" w:eastAsia="仿宋_GB2312" w:hint="eastAsia"/>
          <w:color w:val="000000"/>
          <w:kern w:val="0"/>
          <w:sz w:val="32"/>
          <w:szCs w:val="32"/>
        </w:rPr>
        <w:t>填列单位除公务用车外的其他各类交通工具（如船舶、飞机）购置支出（</w:t>
      </w:r>
      <w:proofErr w:type="gramStart"/>
      <w:r>
        <w:rPr>
          <w:rFonts w:ascii="仿宋_GB2312" w:eastAsia="仿宋_GB2312" w:hint="eastAsia"/>
          <w:color w:val="000000"/>
          <w:kern w:val="0"/>
          <w:sz w:val="32"/>
          <w:szCs w:val="32"/>
        </w:rPr>
        <w:t>含车辆</w:t>
      </w:r>
      <w:proofErr w:type="gramEnd"/>
      <w:r>
        <w:rPr>
          <w:rFonts w:ascii="仿宋_GB2312" w:eastAsia="仿宋_GB2312" w:hint="eastAsia"/>
          <w:color w:val="000000"/>
          <w:kern w:val="0"/>
          <w:sz w:val="32"/>
          <w:szCs w:val="32"/>
        </w:rPr>
        <w:t>购置税、牌照费）。</w:t>
      </w:r>
    </w:p>
    <w:p w:rsidR="002D0BD4" w:rsidRDefault="00E93A5A">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lastRenderedPageBreak/>
        <w:t>（十六）机关运行经费：</w:t>
      </w:r>
      <w:r>
        <w:rPr>
          <w:rFonts w:ascii="仿宋_GB2312" w:eastAsia="仿宋_GB2312"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2D0BD4" w:rsidRDefault="00E93A5A">
      <w:pPr>
        <w:widowControl/>
        <w:spacing w:after="0" w:line="560" w:lineRule="exact"/>
        <w:ind w:firstLineChars="200" w:firstLine="643"/>
        <w:rPr>
          <w:rFonts w:ascii="仿宋_GB2312" w:eastAsia="仿宋_GB2312" w:cs="ArialUnicodeMS"/>
          <w:kern w:val="0"/>
          <w:sz w:val="32"/>
          <w:szCs w:val="32"/>
        </w:rPr>
      </w:pPr>
      <w:r>
        <w:rPr>
          <w:rFonts w:ascii="仿宋_GB2312" w:eastAsia="仿宋_GB2312" w:hint="eastAsia"/>
          <w:b/>
          <w:bCs/>
          <w:color w:val="000000"/>
          <w:kern w:val="0"/>
          <w:sz w:val="32"/>
          <w:szCs w:val="32"/>
        </w:rPr>
        <w:t>（十七）经费形式</w:t>
      </w:r>
      <w:r>
        <w:rPr>
          <w:rFonts w:ascii="仿宋_GB2312" w:eastAsia="仿宋_GB2312"/>
          <w:b/>
          <w:bCs/>
          <w:color w:val="000000"/>
          <w:kern w:val="0"/>
          <w:sz w:val="32"/>
          <w:szCs w:val="32"/>
        </w:rPr>
        <w:t>:</w:t>
      </w:r>
      <w:r>
        <w:rPr>
          <w:rFonts w:ascii="仿宋_GB2312" w:eastAsia="仿宋_GB2312" w:hint="eastAsia"/>
          <w:color w:val="000000"/>
          <w:kern w:val="0"/>
          <w:sz w:val="32"/>
          <w:szCs w:val="32"/>
        </w:rPr>
        <w:t>按照经费来源，</w:t>
      </w:r>
      <w:r>
        <w:rPr>
          <w:rFonts w:ascii="仿宋_GB2312" w:eastAsia="仿宋_GB2312" w:cs="ArialUnicodeMS" w:hint="eastAsia"/>
          <w:kern w:val="0"/>
          <w:sz w:val="32"/>
          <w:szCs w:val="32"/>
        </w:rPr>
        <w:t>可分为财政拨款、财政性资金基本保证、财政</w:t>
      </w:r>
      <w:r>
        <w:rPr>
          <w:rFonts w:ascii="仿宋_GB2312" w:eastAsia="仿宋_GB2312" w:cs="ArialUnicodeMS" w:hint="eastAsia"/>
          <w:kern w:val="0"/>
          <w:sz w:val="32"/>
          <w:szCs w:val="32"/>
        </w:rPr>
        <w:t>性资金定额或定项补助、财政性资金零补助四类。</w:t>
      </w:r>
    </w:p>
    <w:p w:rsidR="002D0BD4" w:rsidRDefault="002D0BD4">
      <w:pPr>
        <w:widowControl/>
        <w:spacing w:after="0" w:line="560" w:lineRule="exact"/>
        <w:ind w:firstLineChars="200" w:firstLine="640"/>
        <w:rPr>
          <w:rFonts w:ascii="仿宋_GB2312" w:eastAsia="仿宋_GB2312" w:cs="ArialUnicodeMS"/>
          <w:kern w:val="0"/>
          <w:sz w:val="32"/>
          <w:szCs w:val="32"/>
        </w:rPr>
      </w:pPr>
    </w:p>
    <w:p w:rsidR="002D0BD4" w:rsidRDefault="002D0BD4">
      <w:pPr>
        <w:widowControl/>
        <w:spacing w:after="0" w:line="560" w:lineRule="exact"/>
        <w:ind w:firstLineChars="200" w:firstLine="640"/>
        <w:rPr>
          <w:rFonts w:ascii="仿宋_GB2312" w:eastAsia="仿宋_GB2312" w:cs="ArialUnicodeMS"/>
          <w:kern w:val="0"/>
          <w:sz w:val="32"/>
          <w:szCs w:val="32"/>
        </w:rPr>
      </w:pPr>
    </w:p>
    <w:p w:rsidR="002D0BD4" w:rsidRDefault="002D0BD4">
      <w:pPr>
        <w:widowControl/>
        <w:spacing w:after="0" w:line="560" w:lineRule="exact"/>
        <w:ind w:firstLineChars="200" w:firstLine="640"/>
        <w:rPr>
          <w:rFonts w:ascii="仿宋_GB2312" w:eastAsia="仿宋_GB2312" w:cs="ArialUnicodeMS"/>
          <w:kern w:val="0"/>
          <w:sz w:val="32"/>
          <w:szCs w:val="32"/>
        </w:rPr>
      </w:pPr>
    </w:p>
    <w:p w:rsidR="002D0BD4" w:rsidRDefault="002D0BD4">
      <w:pPr>
        <w:widowControl/>
        <w:spacing w:after="0" w:line="560" w:lineRule="exact"/>
        <w:ind w:firstLineChars="200" w:firstLine="640"/>
        <w:rPr>
          <w:rFonts w:ascii="仿宋_GB2312" w:eastAsia="仿宋_GB2312" w:cs="ArialUnicodeMS"/>
          <w:kern w:val="0"/>
          <w:sz w:val="32"/>
          <w:szCs w:val="32"/>
        </w:rPr>
      </w:pPr>
    </w:p>
    <w:p w:rsidR="002D0BD4" w:rsidRDefault="002D0BD4">
      <w:pPr>
        <w:widowControl/>
        <w:spacing w:after="0" w:line="560" w:lineRule="exact"/>
        <w:ind w:firstLineChars="200" w:firstLine="640"/>
        <w:rPr>
          <w:rFonts w:ascii="仿宋_GB2312" w:eastAsia="仿宋_GB2312" w:cs="ArialUnicodeMS"/>
          <w:kern w:val="0"/>
          <w:sz w:val="32"/>
          <w:szCs w:val="32"/>
        </w:rPr>
      </w:pPr>
    </w:p>
    <w:p w:rsidR="002D0BD4" w:rsidRDefault="002D0BD4">
      <w:pPr>
        <w:widowControl/>
        <w:spacing w:after="0" w:line="560" w:lineRule="exact"/>
        <w:ind w:firstLineChars="200" w:firstLine="640"/>
        <w:rPr>
          <w:rFonts w:ascii="仿宋_GB2312" w:eastAsia="仿宋_GB2312" w:cs="ArialUnicodeMS"/>
          <w:kern w:val="0"/>
          <w:sz w:val="32"/>
          <w:szCs w:val="32"/>
        </w:rPr>
      </w:pPr>
    </w:p>
    <w:p w:rsidR="002D0BD4" w:rsidRDefault="002D0BD4">
      <w:pPr>
        <w:widowControl/>
        <w:spacing w:after="0" w:line="560" w:lineRule="exact"/>
        <w:ind w:firstLineChars="200" w:firstLine="640"/>
        <w:rPr>
          <w:rFonts w:ascii="仿宋_GB2312" w:eastAsia="仿宋_GB2312" w:cs="ArialUnicodeMS"/>
          <w:kern w:val="0"/>
          <w:sz w:val="32"/>
          <w:szCs w:val="32"/>
        </w:rPr>
      </w:pPr>
    </w:p>
    <w:p w:rsidR="002D0BD4" w:rsidRDefault="002D0BD4">
      <w:pPr>
        <w:widowControl/>
        <w:spacing w:after="0" w:line="560" w:lineRule="exact"/>
        <w:ind w:firstLineChars="200" w:firstLine="640"/>
        <w:rPr>
          <w:rFonts w:ascii="仿宋_GB2312" w:eastAsia="仿宋_GB2312" w:cs="ArialUnicodeMS"/>
          <w:kern w:val="0"/>
          <w:sz w:val="32"/>
          <w:szCs w:val="32"/>
        </w:rPr>
      </w:pPr>
    </w:p>
    <w:p w:rsidR="002D0BD4" w:rsidRDefault="002D0BD4">
      <w:pPr>
        <w:widowControl/>
        <w:spacing w:after="0" w:line="560" w:lineRule="exact"/>
        <w:ind w:firstLineChars="200" w:firstLine="640"/>
        <w:rPr>
          <w:rFonts w:ascii="仿宋_GB2312" w:eastAsia="仿宋_GB2312" w:cs="ArialUnicodeMS"/>
          <w:kern w:val="0"/>
          <w:sz w:val="32"/>
          <w:szCs w:val="32"/>
        </w:rPr>
      </w:pPr>
    </w:p>
    <w:p w:rsidR="002D0BD4" w:rsidRDefault="002D0BD4">
      <w:pPr>
        <w:widowControl/>
        <w:spacing w:after="0" w:line="560" w:lineRule="exact"/>
        <w:rPr>
          <w:rFonts w:ascii="仿宋_GB2312" w:eastAsia="仿宋_GB2312" w:cs="ArialUnicodeMS"/>
          <w:kern w:val="0"/>
          <w:sz w:val="32"/>
          <w:szCs w:val="32"/>
        </w:rPr>
      </w:pPr>
    </w:p>
    <w:sectPr w:rsidR="002D0BD4">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A5A" w:rsidRDefault="00E93A5A" w:rsidP="003B227A">
      <w:pPr>
        <w:spacing w:after="0" w:line="240" w:lineRule="auto"/>
      </w:pPr>
      <w:r>
        <w:separator/>
      </w:r>
    </w:p>
  </w:endnote>
  <w:endnote w:type="continuationSeparator" w:id="0">
    <w:p w:rsidR="00E93A5A" w:rsidRDefault="00E93A5A" w:rsidP="003B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黑体"/>
    <w:charset w:val="86"/>
    <w:family w:val="modern"/>
    <w:pitch w:val="default"/>
  </w:font>
  <w:font w:name="ArialUnicodeMS">
    <w:altName w:val="Malgun Gothic"/>
    <w:charset w:val="81"/>
    <w:family w:val="auto"/>
    <w:pitch w:val="default"/>
    <w:sig w:usb0="00000000" w:usb1="00000000" w:usb2="00000010" w:usb3="00000000" w:csb0="00080001" w:csb1="00000000"/>
  </w:font>
  <w:font w:name="MS-UIGothic,Bold">
    <w:altName w:val="Malgun Gothic"/>
    <w:charset w:val="81"/>
    <w:family w:val="auto"/>
    <w:pitch w:val="default"/>
    <w:sig w:usb0="00000000" w:usb1="00000000" w:usb2="00000010" w:usb3="00000000" w:csb0="00080000" w:csb1="00000000"/>
  </w:font>
  <w:font w:name="DengXian-Regular">
    <w:altName w:val="宋体"/>
    <w:charset w:val="86"/>
    <w:family w:val="auto"/>
    <w:pitch w:val="default"/>
    <w:sig w:usb0="00000000" w:usb1="00000000" w:usb2="00000010" w:usb3="00000000" w:csb0="00040001" w:csb1="00000000"/>
  </w:font>
  <w:font w:name="楷体_GB2312">
    <w:altName w:val="黑体"/>
    <w:charset w:val="86"/>
    <w:family w:val="modern"/>
    <w:pitch w:val="default"/>
  </w:font>
  <w:font w:name="DengXian-Bold">
    <w:altName w:val="宋体"/>
    <w:charset w:val="86"/>
    <w:family w:val="auto"/>
    <w:pitch w:val="default"/>
    <w:sig w:usb0="00000000" w:usb1="00000000" w:usb2="00000010" w:usb3="00000000" w:csb0="00040001" w:csb1="00000000"/>
  </w:font>
  <w:font w:name="TimesNewRomanPSMT">
    <w:altName w:val="Arial"/>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A5A" w:rsidRDefault="00E93A5A" w:rsidP="003B227A">
      <w:pPr>
        <w:spacing w:after="0" w:line="240" w:lineRule="auto"/>
      </w:pPr>
      <w:r>
        <w:separator/>
      </w:r>
    </w:p>
  </w:footnote>
  <w:footnote w:type="continuationSeparator" w:id="0">
    <w:p w:rsidR="00E93A5A" w:rsidRDefault="00E93A5A" w:rsidP="003B22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B9A87"/>
    <w:multiLevelType w:val="singleLevel"/>
    <w:tmpl w:val="45DB9A87"/>
    <w:lvl w:ilvl="0">
      <w:start w:val="3"/>
      <w:numFmt w:val="chineseCounting"/>
      <w:suff w:val="nothing"/>
      <w:lvlText w:val="（%1）"/>
      <w:lvlJc w:val="left"/>
      <w:pPr>
        <w:tabs>
          <w:tab w:val="left" w:pos="0"/>
        </w:tabs>
        <w:ind w:left="0" w:firstLine="0"/>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4"/>
  </w:compat>
  <w:rsids>
    <w:rsidRoot w:val="002D0BD4"/>
    <w:rsid w:val="002D0BD4"/>
    <w:rsid w:val="003B227A"/>
    <w:rsid w:val="00881457"/>
    <w:rsid w:val="00E93A5A"/>
    <w:rsid w:val="58C65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spacing w:after="160" w:line="480" w:lineRule="auto"/>
      <w:jc w:val="both"/>
    </w:pPr>
    <w:rPr>
      <w:kern w:val="2"/>
      <w:sz w:val="21"/>
      <w:szCs w:val="24"/>
    </w:rPr>
  </w:style>
  <w:style w:type="paragraph" w:styleId="1">
    <w:name w:val="heading 1"/>
    <w:basedOn w:val="a"/>
    <w:next w:val="a"/>
    <w:pPr>
      <w:keepNext/>
      <w:keepLines/>
      <w:spacing w:before="340" w:after="330" w:line="578" w:lineRule="auto"/>
      <w:outlineLvl w:val="0"/>
    </w:pPr>
    <w:rPr>
      <w:b/>
      <w:bCs/>
      <w:kern w:val="44"/>
      <w:sz w:val="44"/>
      <w:szCs w:val="44"/>
    </w:rPr>
  </w:style>
  <w:style w:type="paragraph" w:styleId="2">
    <w:name w:val="heading 2"/>
    <w:basedOn w:val="a"/>
    <w:next w:val="a"/>
    <w:pPr>
      <w:keepNext/>
      <w:keepLines/>
      <w:spacing w:before="260" w:after="260" w:line="415" w:lineRule="auto"/>
      <w:outlineLvl w:val="1"/>
    </w:pPr>
    <w:rPr>
      <w:rFonts w:ascii="Calibri" w:hAnsi="Calibri"/>
      <w:b/>
      <w:bCs/>
      <w:sz w:val="32"/>
      <w:szCs w:val="32"/>
    </w:rPr>
  </w:style>
  <w:style w:type="paragraph" w:styleId="3">
    <w:name w:val="heading 3"/>
    <w:basedOn w:val="a"/>
    <w:next w:val="a"/>
    <w:pPr>
      <w:keepNext/>
      <w:keepLines/>
      <w:spacing w:before="260" w:after="260" w:line="415" w:lineRule="auto"/>
      <w:outlineLvl w:val="2"/>
    </w:pPr>
    <w:rPr>
      <w:b/>
      <w:bCs/>
      <w:sz w:val="32"/>
      <w:szCs w:val="32"/>
    </w:rPr>
  </w:style>
  <w:style w:type="paragraph" w:styleId="4">
    <w:name w:val="heading 4"/>
    <w:basedOn w:val="a"/>
    <w:next w:val="a"/>
    <w:pPr>
      <w:keepNext/>
      <w:keepLines/>
      <w:spacing w:before="280" w:after="290" w:line="377" w:lineRule="auto"/>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Date"/>
    <w:basedOn w:val="a"/>
    <w:next w:val="a"/>
    <w:qFormat/>
    <w:pPr>
      <w:ind w:leftChars="2500" w:left="2500"/>
    </w:pPr>
  </w:style>
  <w:style w:type="paragraph" w:styleId="a5">
    <w:name w:val="Balloon Text"/>
    <w:basedOn w:val="a"/>
    <w:rPr>
      <w:sz w:val="18"/>
      <w:szCs w:val="18"/>
    </w:rPr>
  </w:style>
  <w:style w:type="paragraph" w:styleId="a6">
    <w:name w:val="footer"/>
    <w:basedOn w:val="a"/>
    <w:qFormat/>
    <w:pPr>
      <w:tabs>
        <w:tab w:val="center" w:pos="4153"/>
        <w:tab w:val="right" w:pos="8306"/>
      </w:tabs>
      <w:snapToGrid w:val="0"/>
      <w:jc w:val="left"/>
    </w:pPr>
    <w:rPr>
      <w:rFonts w:ascii="Cambria" w:eastAsia="黑体" w:hAnsi="Cambria"/>
      <w:sz w:val="18"/>
      <w:szCs w:val="18"/>
    </w:rPr>
  </w:style>
  <w:style w:type="paragraph" w:styleId="a7">
    <w:name w:val="header"/>
    <w:basedOn w:val="a"/>
    <w:qFormat/>
    <w:pPr>
      <w:pBdr>
        <w:bottom w:val="single" w:sz="6" w:space="1" w:color="auto"/>
      </w:pBdr>
      <w:tabs>
        <w:tab w:val="center" w:pos="4153"/>
        <w:tab w:val="right" w:pos="8306"/>
      </w:tabs>
      <w:snapToGrid w:val="0"/>
      <w:jc w:val="center"/>
    </w:pPr>
    <w:rPr>
      <w:rFonts w:ascii="Cambria" w:eastAsia="黑体" w:hAnsi="Cambria"/>
      <w:sz w:val="18"/>
      <w:szCs w:val="18"/>
    </w:rPr>
  </w:style>
  <w:style w:type="paragraph" w:styleId="a8">
    <w:name w:val="Subtitle"/>
    <w:basedOn w:val="a"/>
    <w:next w:val="a"/>
    <w:qFormat/>
    <w:pPr>
      <w:widowControl/>
      <w:spacing w:after="200" w:line="276" w:lineRule="auto"/>
      <w:jc w:val="left"/>
    </w:pPr>
    <w:rPr>
      <w:rFonts w:ascii="Calibri" w:hAnsi="Calibri"/>
      <w:i/>
      <w:iCs/>
      <w:color w:val="F0A22E"/>
      <w:spacing w:val="15"/>
      <w:kern w:val="0"/>
      <w:sz w:val="24"/>
    </w:rPr>
  </w:style>
  <w:style w:type="paragraph" w:styleId="a9">
    <w:name w:val="Title"/>
    <w:basedOn w:val="a"/>
    <w:next w:val="a"/>
    <w:qFormat/>
    <w:pPr>
      <w:widowControl/>
      <w:pBdr>
        <w:bottom w:val="single" w:sz="8" w:space="4" w:color="F0A22E"/>
      </w:pBdr>
      <w:spacing w:after="300"/>
      <w:contextualSpacing/>
      <w:jc w:val="left"/>
    </w:pPr>
    <w:rPr>
      <w:rFonts w:ascii="Calibri" w:hAnsi="Calibri"/>
      <w:color w:val="3A2C24"/>
      <w:spacing w:val="5"/>
      <w:kern w:val="28"/>
      <w:sz w:val="52"/>
      <w:szCs w:val="52"/>
    </w:rPr>
  </w:style>
  <w:style w:type="paragraph" w:customStyle="1" w:styleId="10">
    <w:name w:val="无间隔1"/>
    <w:qFormat/>
    <w:pPr>
      <w:spacing w:after="160" w:line="480" w:lineRule="auto"/>
    </w:pPr>
    <w:rPr>
      <w:rFonts w:ascii="Cambria" w:eastAsia="黑体" w:hAnsi="Cambria"/>
      <w:sz w:val="22"/>
      <w:szCs w:val="22"/>
    </w:rPr>
  </w:style>
  <w:style w:type="character" w:customStyle="1" w:styleId="Style1">
    <w:name w:val="Style1"/>
    <w:basedOn w:val="a0"/>
    <w:qFormat/>
    <w:rPr>
      <w:rFonts w:ascii="Cambria" w:eastAsia="黑体" w:hAnsi="Cambria" w:cs="Times New Roman"/>
      <w:sz w:val="22"/>
      <w:szCs w:val="22"/>
      <w:lang w:eastAsia="zh-CN"/>
    </w:rPr>
  </w:style>
  <w:style w:type="character" w:customStyle="1" w:styleId="Style2">
    <w:name w:val="Style2"/>
    <w:basedOn w:val="a0"/>
    <w:qFormat/>
    <w:rPr>
      <w:rFonts w:ascii="Cambria" w:eastAsia="黑体" w:hAnsi="Cambria" w:cs="Times New Roman"/>
      <w:sz w:val="22"/>
      <w:szCs w:val="22"/>
      <w:lang w:eastAsia="zh-CN"/>
    </w:rPr>
  </w:style>
  <w:style w:type="character" w:customStyle="1" w:styleId="Style3">
    <w:name w:val="Style3"/>
    <w:basedOn w:val="a0"/>
    <w:qFormat/>
    <w:rPr>
      <w:rFonts w:ascii="Cambria" w:eastAsia="黑体" w:hAnsi="Cambria" w:cs="Times New Roman"/>
      <w:sz w:val="22"/>
      <w:szCs w:val="22"/>
      <w:lang w:eastAsia="zh-CN"/>
    </w:rPr>
  </w:style>
  <w:style w:type="character" w:customStyle="1" w:styleId="Style4">
    <w:name w:val="Style4"/>
    <w:basedOn w:val="a0"/>
    <w:qFormat/>
    <w:rPr>
      <w:rFonts w:ascii="Cambria" w:eastAsia="黑体" w:hAnsi="Cambria" w:cs="Times New Roman"/>
      <w:sz w:val="22"/>
      <w:szCs w:val="22"/>
      <w:lang w:eastAsia="zh-CN"/>
    </w:rPr>
  </w:style>
  <w:style w:type="character" w:customStyle="1" w:styleId="Style5">
    <w:name w:val="Style5"/>
    <w:basedOn w:val="a0"/>
    <w:qFormat/>
    <w:rPr>
      <w:rFonts w:ascii="Cambria" w:eastAsia="黑体" w:hAnsi="Cambria" w:cs="Times New Roman"/>
      <w:sz w:val="22"/>
      <w:szCs w:val="22"/>
      <w:lang w:eastAsia="zh-CN"/>
    </w:rPr>
  </w:style>
  <w:style w:type="paragraph" w:customStyle="1" w:styleId="11">
    <w:name w:val="列出段落1"/>
    <w:basedOn w:val="a"/>
    <w:qFormat/>
    <w:pPr>
      <w:ind w:firstLineChars="200" w:firstLine="200"/>
    </w:pPr>
  </w:style>
  <w:style w:type="character" w:styleId="aa">
    <w:name w:val="annotation reference"/>
    <w:basedOn w:val="a0"/>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spacing w:after="160" w:line="480" w:lineRule="auto"/>
      <w:jc w:val="both"/>
    </w:pPr>
    <w:rPr>
      <w:kern w:val="2"/>
      <w:sz w:val="21"/>
      <w:szCs w:val="24"/>
    </w:rPr>
  </w:style>
  <w:style w:type="paragraph" w:styleId="1">
    <w:name w:val="heading 1"/>
    <w:basedOn w:val="a"/>
    <w:next w:val="a"/>
    <w:pPr>
      <w:keepNext/>
      <w:keepLines/>
      <w:spacing w:before="340" w:after="330" w:line="578" w:lineRule="auto"/>
      <w:outlineLvl w:val="0"/>
    </w:pPr>
    <w:rPr>
      <w:b/>
      <w:bCs/>
      <w:kern w:val="44"/>
      <w:sz w:val="44"/>
      <w:szCs w:val="44"/>
    </w:rPr>
  </w:style>
  <w:style w:type="paragraph" w:styleId="2">
    <w:name w:val="heading 2"/>
    <w:basedOn w:val="a"/>
    <w:next w:val="a"/>
    <w:pPr>
      <w:keepNext/>
      <w:keepLines/>
      <w:spacing w:before="260" w:after="260" w:line="415" w:lineRule="auto"/>
      <w:outlineLvl w:val="1"/>
    </w:pPr>
    <w:rPr>
      <w:rFonts w:ascii="Calibri" w:hAnsi="Calibri"/>
      <w:b/>
      <w:bCs/>
      <w:sz w:val="32"/>
      <w:szCs w:val="32"/>
    </w:rPr>
  </w:style>
  <w:style w:type="paragraph" w:styleId="3">
    <w:name w:val="heading 3"/>
    <w:basedOn w:val="a"/>
    <w:next w:val="a"/>
    <w:pPr>
      <w:keepNext/>
      <w:keepLines/>
      <w:spacing w:before="260" w:after="260" w:line="415" w:lineRule="auto"/>
      <w:outlineLvl w:val="2"/>
    </w:pPr>
    <w:rPr>
      <w:b/>
      <w:bCs/>
      <w:sz w:val="32"/>
      <w:szCs w:val="32"/>
    </w:rPr>
  </w:style>
  <w:style w:type="paragraph" w:styleId="4">
    <w:name w:val="heading 4"/>
    <w:basedOn w:val="a"/>
    <w:next w:val="a"/>
    <w:pPr>
      <w:keepNext/>
      <w:keepLines/>
      <w:spacing w:before="280" w:after="290" w:line="377" w:lineRule="auto"/>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Date"/>
    <w:basedOn w:val="a"/>
    <w:next w:val="a"/>
    <w:qFormat/>
    <w:pPr>
      <w:ind w:leftChars="2500" w:left="2500"/>
    </w:pPr>
  </w:style>
  <w:style w:type="paragraph" w:styleId="a5">
    <w:name w:val="Balloon Text"/>
    <w:basedOn w:val="a"/>
    <w:rPr>
      <w:sz w:val="18"/>
      <w:szCs w:val="18"/>
    </w:rPr>
  </w:style>
  <w:style w:type="paragraph" w:styleId="a6">
    <w:name w:val="footer"/>
    <w:basedOn w:val="a"/>
    <w:qFormat/>
    <w:pPr>
      <w:tabs>
        <w:tab w:val="center" w:pos="4153"/>
        <w:tab w:val="right" w:pos="8306"/>
      </w:tabs>
      <w:snapToGrid w:val="0"/>
      <w:jc w:val="left"/>
    </w:pPr>
    <w:rPr>
      <w:rFonts w:ascii="Cambria" w:eastAsia="黑体" w:hAnsi="Cambria"/>
      <w:sz w:val="18"/>
      <w:szCs w:val="18"/>
    </w:rPr>
  </w:style>
  <w:style w:type="paragraph" w:styleId="a7">
    <w:name w:val="header"/>
    <w:basedOn w:val="a"/>
    <w:qFormat/>
    <w:pPr>
      <w:pBdr>
        <w:bottom w:val="single" w:sz="6" w:space="1" w:color="auto"/>
      </w:pBdr>
      <w:tabs>
        <w:tab w:val="center" w:pos="4153"/>
        <w:tab w:val="right" w:pos="8306"/>
      </w:tabs>
      <w:snapToGrid w:val="0"/>
      <w:jc w:val="center"/>
    </w:pPr>
    <w:rPr>
      <w:rFonts w:ascii="Cambria" w:eastAsia="黑体" w:hAnsi="Cambria"/>
      <w:sz w:val="18"/>
      <w:szCs w:val="18"/>
    </w:rPr>
  </w:style>
  <w:style w:type="paragraph" w:styleId="a8">
    <w:name w:val="Subtitle"/>
    <w:basedOn w:val="a"/>
    <w:next w:val="a"/>
    <w:qFormat/>
    <w:pPr>
      <w:widowControl/>
      <w:spacing w:after="200" w:line="276" w:lineRule="auto"/>
      <w:jc w:val="left"/>
    </w:pPr>
    <w:rPr>
      <w:rFonts w:ascii="Calibri" w:hAnsi="Calibri"/>
      <w:i/>
      <w:iCs/>
      <w:color w:val="F0A22E"/>
      <w:spacing w:val="15"/>
      <w:kern w:val="0"/>
      <w:sz w:val="24"/>
    </w:rPr>
  </w:style>
  <w:style w:type="paragraph" w:styleId="a9">
    <w:name w:val="Title"/>
    <w:basedOn w:val="a"/>
    <w:next w:val="a"/>
    <w:qFormat/>
    <w:pPr>
      <w:widowControl/>
      <w:pBdr>
        <w:bottom w:val="single" w:sz="8" w:space="4" w:color="F0A22E"/>
      </w:pBdr>
      <w:spacing w:after="300"/>
      <w:contextualSpacing/>
      <w:jc w:val="left"/>
    </w:pPr>
    <w:rPr>
      <w:rFonts w:ascii="Calibri" w:hAnsi="Calibri"/>
      <w:color w:val="3A2C24"/>
      <w:spacing w:val="5"/>
      <w:kern w:val="28"/>
      <w:sz w:val="52"/>
      <w:szCs w:val="52"/>
    </w:rPr>
  </w:style>
  <w:style w:type="paragraph" w:customStyle="1" w:styleId="10">
    <w:name w:val="无间隔1"/>
    <w:qFormat/>
    <w:pPr>
      <w:spacing w:after="160" w:line="480" w:lineRule="auto"/>
    </w:pPr>
    <w:rPr>
      <w:rFonts w:ascii="Cambria" w:eastAsia="黑体" w:hAnsi="Cambria"/>
      <w:sz w:val="22"/>
      <w:szCs w:val="22"/>
    </w:rPr>
  </w:style>
  <w:style w:type="character" w:customStyle="1" w:styleId="Style1">
    <w:name w:val="Style1"/>
    <w:basedOn w:val="a0"/>
    <w:qFormat/>
    <w:rPr>
      <w:rFonts w:ascii="Cambria" w:eastAsia="黑体" w:hAnsi="Cambria" w:cs="Times New Roman"/>
      <w:sz w:val="22"/>
      <w:szCs w:val="22"/>
      <w:lang w:eastAsia="zh-CN"/>
    </w:rPr>
  </w:style>
  <w:style w:type="character" w:customStyle="1" w:styleId="Style2">
    <w:name w:val="Style2"/>
    <w:basedOn w:val="a0"/>
    <w:qFormat/>
    <w:rPr>
      <w:rFonts w:ascii="Cambria" w:eastAsia="黑体" w:hAnsi="Cambria" w:cs="Times New Roman"/>
      <w:sz w:val="22"/>
      <w:szCs w:val="22"/>
      <w:lang w:eastAsia="zh-CN"/>
    </w:rPr>
  </w:style>
  <w:style w:type="character" w:customStyle="1" w:styleId="Style3">
    <w:name w:val="Style3"/>
    <w:basedOn w:val="a0"/>
    <w:qFormat/>
    <w:rPr>
      <w:rFonts w:ascii="Cambria" w:eastAsia="黑体" w:hAnsi="Cambria" w:cs="Times New Roman"/>
      <w:sz w:val="22"/>
      <w:szCs w:val="22"/>
      <w:lang w:eastAsia="zh-CN"/>
    </w:rPr>
  </w:style>
  <w:style w:type="character" w:customStyle="1" w:styleId="Style4">
    <w:name w:val="Style4"/>
    <w:basedOn w:val="a0"/>
    <w:qFormat/>
    <w:rPr>
      <w:rFonts w:ascii="Cambria" w:eastAsia="黑体" w:hAnsi="Cambria" w:cs="Times New Roman"/>
      <w:sz w:val="22"/>
      <w:szCs w:val="22"/>
      <w:lang w:eastAsia="zh-CN"/>
    </w:rPr>
  </w:style>
  <w:style w:type="character" w:customStyle="1" w:styleId="Style5">
    <w:name w:val="Style5"/>
    <w:basedOn w:val="a0"/>
    <w:qFormat/>
    <w:rPr>
      <w:rFonts w:ascii="Cambria" w:eastAsia="黑体" w:hAnsi="Cambria" w:cs="Times New Roman"/>
      <w:sz w:val="22"/>
      <w:szCs w:val="22"/>
      <w:lang w:eastAsia="zh-CN"/>
    </w:rPr>
  </w:style>
  <w:style w:type="paragraph" w:customStyle="1" w:styleId="11">
    <w:name w:val="列出段落1"/>
    <w:basedOn w:val="a"/>
    <w:qFormat/>
    <w:pPr>
      <w:ind w:firstLineChars="200" w:firstLine="200"/>
    </w:pPr>
  </w:style>
  <w:style w:type="character" w:styleId="aa">
    <w:name w:val="annotation reference"/>
    <w:basedOn w:val="a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930</Words>
  <Characters>5301</Characters>
  <Application>Microsoft Office Word</Application>
  <DocSecurity>0</DocSecurity>
  <Lines>44</Lines>
  <Paragraphs>12</Paragraphs>
  <ScaleCrop>false</ScaleCrop>
  <Company>Microsoft</Company>
  <LinksUpToDate>false</LinksUpToDate>
  <CharactersWithSpaces>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2017年度部门决算</dc:title>
  <dc:subject>石家庄市xxx部门</dc:subject>
  <dc:creator>User</dc:creator>
  <cp:lastModifiedBy>Lenovo</cp:lastModifiedBy>
  <cp:revision>68</cp:revision>
  <cp:lastPrinted>2019-09-27T00:42:00Z</cp:lastPrinted>
  <dcterms:created xsi:type="dcterms:W3CDTF">2019-09-26T01:09:00Z</dcterms:created>
  <dcterms:modified xsi:type="dcterms:W3CDTF">2021-05-31T09:06:00Z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2052-10.1.0.6759</vt:lpwstr>
  </property>
</Properties>
</file>