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ackground w:color="FFFFFF"/>
  <w:body>
    <w:p>
      <w:pPr>
        <w:widowControl/>
        <w:jc w:val="center"/>
        <w:spacing w:line="1200" w:lineRule="exact"/>
        <w:rPr>
          <w:color w:val="000000"/>
          <w:rFonts w:ascii="黑体" w:eastAsia="黑体"/>
          <w:sz w:val="96"/>
          <w:szCs w:val="96"/>
        </w:rPr>
      </w:pPr>
    </w:p>
    <w:p>
      <w:pPr>
        <w:widowControl/>
        <w:jc w:val="center"/>
        <w:spacing w:line="1200" w:lineRule="exact"/>
        <w:rPr>
          <w:color w:val="000000"/>
          <w:rFonts w:ascii="黑体" w:eastAsia="黑体"/>
          <w:sz w:val="96"/>
          <w:szCs w:val="96"/>
        </w:rPr>
      </w:pPr>
    </w:p>
    <w:p>
      <w:pPr>
        <w:widowControl/>
        <w:jc w:val="center"/>
        <w:spacing w:line="1200" w:lineRule="exact"/>
        <w:rPr>
          <w:color w:val="000000"/>
          <w:sz w:val="96"/>
          <w:szCs w:val="96"/>
        </w:rPr>
      </w:pPr>
      <w:r>
        <w:rPr>
          <w:sz w:val="84"/>
          <w:szCs w:val="84"/>
        </w:rPr>
        <w:t>2018</w:t>
      </w:r>
      <w:r>
        <w:rPr>
          <w:rFonts w:hint="eastAsia"/>
          <w:sz w:val="84"/>
          <w:szCs w:val="84"/>
        </w:rPr>
        <w:t>年度部门决算公开</w:t>
      </w:r>
    </w:p>
    <w:p>
      <w:pPr>
        <w:widowControl/>
        <w:jc w:val="center"/>
        <w:rPr>
          <w:color w:val="002060"/>
          <w:rFonts w:ascii="黑体" w:eastAsia="黑体"/>
          <w:sz w:val="72"/>
          <w:szCs w:val="72"/>
        </w:rPr>
      </w:pPr>
    </w:p>
    <w:p>
      <w:pPr>
        <w:widowControl/>
        <w:jc w:val="center"/>
        <w:rPr>
          <w:b/>
          <w:rFonts w:ascii="黑体" w:eastAsia="黑体"/>
          <w:sz w:val="72"/>
          <w:szCs w:val="72"/>
        </w:rPr>
      </w:pPr>
    </w:p>
    <w:p>
      <w:pPr>
        <w:widowControl/>
        <w:jc w:val="center"/>
        <w:rPr>
          <w:b/>
          <w:rFonts w:ascii="黑体" w:eastAsia="黑体"/>
          <w:sz w:val="72"/>
          <w:szCs w:val="72"/>
        </w:rPr>
      </w:pPr>
    </w:p>
    <w:p>
      <w:pPr>
        <w:widowControl/>
        <w:jc w:val="center"/>
        <w:rPr>
          <w:b/>
          <w:rFonts w:ascii="黑体" w:eastAsia="黑体"/>
          <w:sz w:val="72"/>
          <w:szCs w:val="72"/>
        </w:rPr>
      </w:pPr>
    </w:p>
    <w:p>
      <w:pPr>
        <w:widowControl/>
        <w:jc w:val="center"/>
        <w:rPr>
          <w:b/>
          <w:rFonts w:ascii="黑体" w:eastAsia="黑体"/>
          <w:sz w:val="72"/>
          <w:szCs w:val="72"/>
        </w:rPr>
      </w:pPr>
    </w:p>
    <w:p>
      <w:pPr>
        <w:widowControl/>
        <w:jc w:val="center"/>
        <w:rPr>
          <w:b/>
          <w:rFonts w:ascii="黑体" w:eastAsia="黑体"/>
          <w:sz w:val="72"/>
          <w:szCs w:val="72"/>
        </w:rPr>
      </w:pPr>
    </w:p>
    <w:p>
      <w:pPr>
        <w:jc w:val="center"/>
      </w:pPr>
      <w:r>
        <w:rPr>
          <w:b/>
          <w:rFonts w:hint="eastAsia"/>
          <w:sz w:val="44"/>
          <w:szCs w:val="44"/>
        </w:rPr>
        <w:t>廊坊市农业高新技术园区管理委员会</w:t>
      </w:r>
    </w:p>
    <w:p/>
    <w:p/>
    <w:p/>
    <w:p/>
    <w:p>
      <w:pPr>
        <w:widowControl/>
        <w:jc w:val="center"/>
        <w:rPr>
          <w:color w:val="000000"/>
          <w:sz w:val="72"/>
          <w:szCs w:val="72"/>
        </w:rPr>
      </w:pPr>
      <w:r>
        <w:rPr>
          <w:color w:val="000000"/>
          <w:rFonts w:ascii="黑体" w:eastAsia="黑体" w:hint="eastAsia"/>
          <w:sz w:val="72"/>
          <w:szCs w:val="72"/>
        </w:rPr>
        <w:t>第一部分</w:t>
      </w:r>
      <w:r>
        <w:rPr>
          <w:color w:val="000000"/>
          <w:rFonts w:ascii="黑体" w:eastAsia="黑体"/>
          <w:sz w:val="72"/>
          <w:szCs w:val="72"/>
        </w:rPr>
        <w:t xml:space="preserve">  </w:t>
      </w:r>
      <w:r>
        <w:rPr>
          <w:color w:val="000000"/>
          <w:rFonts w:ascii="黑体" w:eastAsia="黑体" w:hint="eastAsia"/>
          <w:sz w:val="72"/>
          <w:szCs w:val="72"/>
        </w:rPr>
        <w:t>部门概况</w:t>
      </w:r>
    </w:p>
    <w:p/>
    <w:p/>
    <w:p/>
    <w:p/>
    <w:p/>
    <w:p/>
    <w:p/>
    <w:p/>
    <w:p/>
    <w:p/>
    <w:p/>
    <w:p>
      <w:pPr>
        <w:pStyle w:val="1"/>
        <w:jc w:val="left"/>
        <w:spacing w:before="0" w:after="0" w:line="600" w:lineRule="exact"/>
        <w:rPr>
          <w:bCs w:val="0"/>
          <w:kern w:val="0"/>
          <w:b w:val="0"/>
          <w:rFonts w:ascii="黑体" w:cs="黑体" w:eastAsia="黑体"/>
          <w:sz w:val="32"/>
          <w:szCs w:val="32"/>
        </w:rPr>
      </w:pPr>
    </w:p>
    <w:p/>
    <w:p>
      <w:pPr>
        <w:pStyle w:val="1"/>
        <w:jc w:val="left"/>
        <w:ind w:firstLine="640"/>
        <w:spacing w:before="0" w:after="0" w:line="600" w:lineRule="exact"/>
        <w:rPr>
          <w:bCs w:val="0"/>
          <w:kern w:val="0"/>
          <w:b w:val="0"/>
          <w:rFonts w:ascii="黑体" w:cs="黑体" w:eastAsia="黑体"/>
          <w:sz w:val="32"/>
          <w:szCs w:val="32"/>
        </w:rPr>
      </w:pPr>
      <w:r>
        <w:rPr>
          <w:bCs w:val="0"/>
          <w:kern w:val="0"/>
          <w:b w:val="0"/>
          <w:rFonts w:ascii="黑体" w:cs="黑体" w:eastAsia="黑体" w:hint="eastAsia"/>
          <w:sz w:val="32"/>
          <w:szCs w:val="32"/>
        </w:rPr>
        <w:t>一、部门职责</w:t>
      </w:r>
    </w:p>
    <w:p>
      <w:pPr>
        <w:widowControl/>
        <w:pStyle w:val="28"/>
        <w:ind w:firstLine="640"/>
        <w:rPr>
          <w:rFonts w:ascii="仿宋_GB2312" w:cs="ArialUnicodeMS" w:eastAsia="仿宋_GB2312"/>
          <w:sz w:val="32"/>
          <w:szCs w:val="32"/>
        </w:rPr>
      </w:pPr>
      <w:r>
        <w:rPr>
          <w:rFonts w:ascii="仿宋_GB2312" w:cs="ArialUnicodeMS" w:eastAsia="仿宋_GB2312" w:hint="eastAsia"/>
          <w:sz w:val="32"/>
          <w:szCs w:val="32"/>
        </w:rPr>
        <w:t>（一）为广阳区乃至廊坊市农业产业化的进一步深入积累经验、树立典型。</w:t>
      </w:r>
    </w:p>
    <w:p>
      <w:pPr>
        <w:widowControl/>
        <w:pStyle w:val="28"/>
        <w:rPr>
          <w:rFonts w:ascii="仿宋_GB2312" w:cs="ArialUnicodeMS" w:eastAsia="仿宋_GB2312"/>
          <w:sz w:val="32"/>
          <w:szCs w:val="32"/>
        </w:rPr>
      </w:pPr>
      <w:r>
        <w:rPr>
          <w:rFonts w:ascii="仿宋_GB2312" w:cs="ArialUnicodeMS" w:eastAsia="仿宋_GB2312"/>
          <w:sz w:val="32"/>
          <w:szCs w:val="32"/>
        </w:rPr>
        <w:t xml:space="preserve">    </w:t>
      </w:r>
      <w:r>
        <w:rPr>
          <w:rFonts w:ascii="仿宋_GB2312" w:cs="ArialUnicodeMS" w:eastAsia="仿宋_GB2312" w:hint="eastAsia"/>
          <w:sz w:val="32"/>
          <w:szCs w:val="32"/>
        </w:rPr>
        <w:t>（二）为农业高新技术园区的可持续发展制定不断完善的发展战略。</w:t>
      </w:r>
    </w:p>
    <w:p>
      <w:pPr>
        <w:widowControl/>
        <w:pStyle w:val="28"/>
        <w:rPr>
          <w:rFonts w:ascii="仿宋_GB2312" w:cs="ArialUnicodeMS" w:eastAsia="仿宋_GB2312"/>
          <w:sz w:val="32"/>
          <w:szCs w:val="32"/>
        </w:rPr>
      </w:pPr>
      <w:r>
        <w:rPr>
          <w:rFonts w:ascii="仿宋_GB2312" w:cs="ArialUnicodeMS" w:eastAsia="仿宋_GB2312"/>
          <w:sz w:val="32"/>
          <w:szCs w:val="32"/>
        </w:rPr>
        <w:t xml:space="preserve">    </w:t>
      </w:r>
      <w:r>
        <w:rPr>
          <w:rFonts w:ascii="仿宋_GB2312" w:cs="ArialUnicodeMS" w:eastAsia="仿宋_GB2312" w:hint="eastAsia"/>
          <w:sz w:val="32"/>
          <w:szCs w:val="32"/>
        </w:rPr>
        <w:t>（三）具体负责全方位农业产业化信息及农业高新技术园区项目洽谈引进、进区项目管理、相关政策法规的落实。</w:t>
      </w:r>
    </w:p>
    <w:p>
      <w:pPr>
        <w:pStyle w:val="1"/>
        <w:jc w:val="left"/>
        <w:ind w:firstLine="640"/>
        <w:spacing w:before="0" w:after="0" w:line="600" w:lineRule="exact"/>
        <w:rPr>
          <w:bCs w:val="0"/>
          <w:kern w:val="0"/>
          <w:b w:val="0"/>
          <w:rFonts w:ascii="黑体" w:cs="黑体" w:eastAsia="黑体"/>
          <w:sz w:val="32"/>
          <w:szCs w:val="32"/>
        </w:rPr>
      </w:pPr>
      <w:r>
        <w:rPr>
          <w:bCs w:val="0"/>
          <w:kern w:val="0"/>
          <w:b w:val="0"/>
          <w:rFonts w:ascii="黑体" w:cs="黑体" w:eastAsia="黑体" w:hint="eastAsia"/>
          <w:sz w:val="32"/>
          <w:szCs w:val="32"/>
        </w:rPr>
        <w:t>二、机构设置</w:t>
      </w:r>
    </w:p>
    <w:p>
      <w:pPr>
        <w:ind w:firstLine="640"/>
        <w:spacing w:after="0" w:line="560" w:lineRule="exact"/>
        <w:rPr>
          <w:kern w:val="0"/>
          <w:rFonts w:ascii="仿宋_GB2312" w:cs="ArialUnicodeMS" w:eastAsia="仿宋_GB2312"/>
          <w:sz w:val="32"/>
          <w:szCs w:val="32"/>
        </w:rPr>
      </w:pPr>
      <w:r>
        <w:rPr>
          <w:kern w:val="0"/>
          <w:rFonts w:ascii="仿宋_GB2312" w:cs="ArialUnicodeMS" w:eastAsia="仿宋_GB2312" w:hint="eastAsia"/>
          <w:sz w:val="32"/>
          <w:szCs w:val="32"/>
        </w:rPr>
        <w:t>从决算编报单位构成看，纳入</w:t>
      </w:r>
      <w:r>
        <w:rPr>
          <w:kern w:val="0"/>
          <w:rFonts w:ascii="仿宋_GB2312" w:cs="ArialUnicodeMS" w:eastAsia="仿宋_GB2312"/>
          <w:sz w:val="32"/>
          <w:szCs w:val="32"/>
        </w:rPr>
        <w:t xml:space="preserve">2018 </w:t>
      </w:r>
      <w:r>
        <w:rPr>
          <w:kern w:val="0"/>
          <w:rFonts w:ascii="仿宋_GB2312" w:cs="ArialUnicodeMS" w:eastAsia="仿宋_GB2312" w:hint="eastAsia"/>
          <w:sz w:val="32"/>
          <w:szCs w:val="32"/>
        </w:rPr>
        <w:t>年度本部门决算汇编范围的独立核算单位（以下简称“单位”）共</w:t>
      </w:r>
      <w:r>
        <w:rPr>
          <w:kern w:val="0"/>
          <w:rFonts w:ascii="仿宋_GB2312" w:cs="ArialUnicodeMS" w:eastAsia="仿宋_GB2312"/>
          <w:sz w:val="32"/>
          <w:szCs w:val="32"/>
        </w:rPr>
        <w:t>1</w:t>
      </w:r>
      <w:r>
        <w:rPr>
          <w:kern w:val="0"/>
          <w:rFonts w:ascii="仿宋_GB2312" w:cs="ArialUnicodeMS" w:eastAsia="仿宋_GB2312" w:hint="eastAsia"/>
          <w:sz w:val="32"/>
          <w:szCs w:val="32"/>
        </w:rPr>
        <w:t>个，具体情况如下：</w:t>
      </w:r>
    </w:p>
    <w:tbl>
      <w:tblPr>
        <w:tblpPr w:leftFromText="180" w:rightFromText="180" w:vertAnchor="text" w:horzAnchor="page" w:tblpXSpec="center" w:tblpY="10"/>
        <w:tblOverlap w:val="never"/>
        <w:tblW w:w="9580" w:type="dxa"/>
        <w:tblLayout w:type="fixed"/>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000000" w:space="0"/>
          <w:insideV w:val="single" w:sz="4" w:color="000000" w:space="0"/>
        </w:tblBorders>
      </w:tblPr>
      <w:tblGrid>
        <w:gridCol w:w="985"/>
        <w:gridCol w:w="3485"/>
        <w:gridCol w:w="2445"/>
        <w:gridCol w:w="2665"/>
      </w:tblGrid>
      <w:tr>
        <w:trPr>
          <w:trHeight w:val="811"/>
        </w:trPr>
        <w:tc>
          <w:tcPr>
            <w:tcBorders>
              <w:top w:val="single" w:sz="4" w:color="auto" w:space="0"/>
            </w:tcBorders>
            <w:vAlign w:val="center"/>
            <w:tcW w:w="985" w:type="dxa"/>
          </w:tcPr>
          <w:p>
            <w:pPr>
              <w:jc w:val="center"/>
              <w:spacing w:after="0" w:line="560" w:lineRule="exact"/>
              <w:rPr>
                <w:bCs/>
                <w:kern w:val="0"/>
                <w:b/>
                <w:rFonts w:ascii="仿宋_GB2312" w:cs="ArialUnicodeMS" w:eastAsia="仿宋_GB2312"/>
                <w:sz w:val="28"/>
                <w:szCs w:val="28"/>
              </w:rPr>
            </w:pPr>
            <w:r>
              <w:rPr>
                <w:bCs/>
                <w:kern w:val="0"/>
                <w:b/>
                <w:rFonts w:ascii="仿宋_GB2312" w:cs="ArialUnicodeMS" w:eastAsia="仿宋_GB2312" w:hint="eastAsia"/>
                <w:sz w:val="28"/>
                <w:szCs w:val="28"/>
              </w:rPr>
              <w:t>序号</w:t>
            </w:r>
          </w:p>
        </w:tc>
        <w:tc>
          <w:tcPr>
            <w:tcBorders>
              <w:top w:val="single" w:sz="4" w:color="auto" w:space="0"/>
            </w:tcBorders>
            <w:vAlign w:val="center"/>
            <w:tcW w:w="3485" w:type="dxa"/>
          </w:tcPr>
          <w:p>
            <w:pPr>
              <w:jc w:val="center"/>
              <w:spacing w:after="0" w:line="560" w:lineRule="exact"/>
              <w:rPr>
                <w:bCs/>
                <w:kern w:val="0"/>
                <w:b/>
                <w:rFonts w:ascii="仿宋_GB2312" w:cs="ArialUnicodeMS" w:eastAsia="仿宋_GB2312"/>
                <w:sz w:val="28"/>
                <w:szCs w:val="28"/>
              </w:rPr>
            </w:pPr>
            <w:r>
              <w:rPr>
                <w:bCs/>
                <w:kern w:val="0"/>
                <w:b/>
                <w:rFonts w:ascii="仿宋_GB2312" w:cs="ArialUnicodeMS" w:eastAsia="仿宋_GB2312" w:hint="eastAsia"/>
                <w:sz w:val="28"/>
                <w:szCs w:val="28"/>
              </w:rPr>
              <w:t>单位名称</w:t>
            </w:r>
          </w:p>
        </w:tc>
        <w:tc>
          <w:tcPr>
            <w:tcBorders>
              <w:top w:val="single" w:sz="4" w:color="auto" w:space="0"/>
            </w:tcBorders>
            <w:vAlign w:val="center"/>
            <w:tcW w:w="2445" w:type="dxa"/>
          </w:tcPr>
          <w:p>
            <w:pPr>
              <w:jc w:val="center"/>
              <w:spacing w:after="0" w:line="560" w:lineRule="exact"/>
              <w:rPr>
                <w:bCs/>
                <w:kern w:val="0"/>
                <w:b/>
                <w:rFonts w:ascii="仿宋_GB2312" w:cs="ArialUnicodeMS" w:eastAsia="仿宋_GB2312"/>
                <w:sz w:val="28"/>
                <w:szCs w:val="28"/>
              </w:rPr>
            </w:pPr>
            <w:r>
              <w:rPr>
                <w:bCs/>
                <w:kern w:val="0"/>
                <w:b/>
                <w:rFonts w:ascii="仿宋_GB2312" w:cs="ArialUnicodeMS" w:eastAsia="仿宋_GB2312" w:hint="eastAsia"/>
                <w:sz w:val="28"/>
                <w:szCs w:val="28"/>
              </w:rPr>
              <w:t>单位基本性质</w:t>
            </w:r>
          </w:p>
        </w:tc>
        <w:tc>
          <w:tcPr>
            <w:tcBorders>
              <w:top w:val="single" w:sz="4" w:color="auto" w:space="0"/>
            </w:tcBorders>
            <w:vAlign w:val="center"/>
            <w:tcW w:w="2665" w:type="dxa"/>
          </w:tcPr>
          <w:p>
            <w:pPr>
              <w:jc w:val="center"/>
              <w:spacing w:after="0" w:line="560" w:lineRule="exact"/>
              <w:rPr>
                <w:bCs/>
                <w:kern w:val="0"/>
                <w:b/>
                <w:rFonts w:ascii="仿宋_GB2312" w:cs="ArialUnicodeMS" w:eastAsia="仿宋_GB2312"/>
                <w:sz w:val="28"/>
                <w:szCs w:val="28"/>
              </w:rPr>
            </w:pPr>
            <w:r>
              <w:rPr>
                <w:bCs/>
                <w:kern w:val="0"/>
                <w:b/>
                <w:rFonts w:ascii="仿宋_GB2312" w:cs="ArialUnicodeMS" w:eastAsia="仿宋_GB2312" w:hint="eastAsia"/>
                <w:sz w:val="28"/>
                <w:szCs w:val="28"/>
              </w:rPr>
              <w:t>经费形式</w:t>
            </w:r>
          </w:p>
        </w:tc>
      </w:tr>
      <w:tr>
        <w:trPr>
          <w:trHeight w:val="596"/>
        </w:trPr>
        <w:tc>
          <w:tcPr>
            <w:tcW w:w="985" w:type="dxa"/>
          </w:tcPr>
          <w:p>
            <w:pPr>
              <w:jc w:val="center"/>
              <w:spacing w:after="0" w:line="560" w:lineRule="exact"/>
              <w:rPr>
                <w:kern w:val="0"/>
                <w:rFonts w:ascii="仿宋_GB2312" w:cs="ArialUnicodeMS" w:eastAsia="仿宋_GB2312"/>
                <w:sz w:val="28"/>
                <w:szCs w:val="28"/>
              </w:rPr>
            </w:pPr>
            <w:r>
              <w:rPr>
                <w:kern w:val="0"/>
                <w:rFonts w:ascii="仿宋_GB2312" w:cs="ArialUnicodeMS" w:eastAsia="仿宋_GB2312"/>
                <w:sz w:val="28"/>
                <w:szCs w:val="28"/>
              </w:rPr>
              <w:t>1</w:t>
            </w:r>
          </w:p>
        </w:tc>
        <w:tc>
          <w:tcPr>
            <w:tcW w:w="3485" w:type="dxa"/>
          </w:tcPr>
          <w:p>
            <w:pPr>
              <w:spacing w:after="0" w:line="560" w:lineRule="exact"/>
              <w:rPr>
                <w:kern w:val="0"/>
                <w:rFonts w:ascii="仿宋_GB2312" w:cs="ArialUnicodeMS" w:eastAsia="仿宋_GB2312"/>
                <w:sz w:val="28"/>
                <w:szCs w:val="28"/>
              </w:rPr>
            </w:pPr>
            <w:r>
              <w:rPr>
                <w:rFonts w:eastAsia="仿宋_GB2312" w:hint="eastAsia"/>
                <w:sz w:val="32"/>
                <w:szCs w:val="32"/>
              </w:rPr>
              <w:t>廊坊市农业高新技术园区管理委员会</w:t>
            </w:r>
          </w:p>
        </w:tc>
        <w:tc>
          <w:tcPr>
            <w:tcW w:w="2445" w:type="dxa"/>
          </w:tcPr>
          <w:p>
            <w:pPr>
              <w:jc w:val="center"/>
              <w:spacing w:after="0" w:line="560" w:lineRule="exact"/>
              <w:rPr>
                <w:kern w:val="0"/>
                <w:rFonts w:ascii="仿宋_GB2312" w:cs="ArialUnicodeMS" w:eastAsia="仿宋_GB2312"/>
                <w:sz w:val="28"/>
                <w:szCs w:val="28"/>
              </w:rPr>
            </w:pPr>
            <w:r>
              <w:rPr>
                <w:rFonts w:eastAsia="仿宋_GB2312" w:hint="eastAsia"/>
                <w:sz w:val="32"/>
                <w:szCs w:val="32"/>
              </w:rPr>
              <w:t>参公事业单位</w:t>
            </w:r>
          </w:p>
        </w:tc>
        <w:tc>
          <w:tcPr>
            <w:tcW w:w="2665" w:type="dxa"/>
          </w:tcPr>
          <w:p>
            <w:pPr>
              <w:jc w:val="center"/>
              <w:spacing w:after="0" w:line="560" w:lineRule="exact"/>
              <w:rPr>
                <w:kern w:val="0"/>
                <w:rFonts w:ascii="仿宋_GB2312" w:cs="ArialUnicodeMS" w:eastAsia="仿宋_GB2312"/>
                <w:sz w:val="28"/>
                <w:szCs w:val="28"/>
              </w:rPr>
            </w:pPr>
            <w:r>
              <w:rPr>
                <w:rFonts w:eastAsia="仿宋_GB2312" w:hint="eastAsia"/>
                <w:sz w:val="32"/>
                <w:szCs w:val="32"/>
              </w:rPr>
              <w:t>财政拨款</w:t>
            </w:r>
          </w:p>
        </w:tc>
      </w:tr>
      <w:tr>
        <w:trPr>
          <w:trHeight w:val="606"/>
        </w:trPr>
        <w:tc>
          <w:tcPr>
            <w:gridSpan w:val="4"/>
            <w:tcBorders>
              <w:top w:val="single" w:sz="4" w:color="auto" w:space="0"/>
              <w:bottom w:val="nil" w:sz="0" w:color="auto" w:space="0"/>
              <w:left w:val="nil" w:sz="0" w:color="auto" w:space="0"/>
              <w:right w:val="nil" w:sz="0" w:color="auto" w:space="0"/>
            </w:tcBorders>
            <w:tcW w:w="9580" w:type="dxa"/>
          </w:tcPr>
          <w:p>
            <w:pPr>
              <w:jc w:val="left"/>
              <w:ind w:firstLine="560"/>
              <w:spacing w:after="0" w:line="560" w:lineRule="exact"/>
              <w:rPr>
                <w:kern w:val="0"/>
                <w:rFonts w:ascii="仿宋_GB2312" w:cs="ArialUnicodeMS" w:eastAsia="仿宋_GB2312"/>
                <w:sz w:val="28"/>
                <w:szCs w:val="28"/>
              </w:rPr>
            </w:pPr>
          </w:p>
        </w:tc>
      </w:tr>
    </w:tbl>
    <w:p>
      <w:pPr>
        <w:widowControl/>
        <w:spacing w:line="560" w:lineRule="exact"/>
        <w:rPr>
          <w:bCs/>
          <w:kern w:val="0"/>
          <w:rFonts w:ascii="黑体" w:cs="MS-UIGothic,Bold" w:eastAsia="黑体"/>
          <w:sz w:val="52"/>
          <w:szCs w:val="52"/>
        </w:rPr>
      </w:pPr>
    </w:p>
    <w:p>
      <w:pPr>
        <w:widowControl/>
        <w:jc w:val="center"/>
        <w:spacing w:line="560" w:lineRule="exact"/>
        <w:sectPr>
          <w:docGrid w:type="lines" w:linePitch="312" w:charSpace="0"/>
          <w:pgSz w:w="11906" w:h="16838"/>
          <w:pgMar w:left="1588" w:right="1474" w:top="2098" w:bottom="1984" w:header="851" w:footer="992" w:gutter="0"/>
        </w:sectPr>
        <w:rPr>
          <w:bCs/>
          <w:kern w:val="0"/>
          <w:rFonts w:ascii="黑体" w:cs="MS-UIGothic,Bold" w:eastAsia="黑体"/>
          <w:sz w:val="52"/>
          <w:szCs w:val="52"/>
        </w:rPr>
      </w:pPr>
    </w:p>
    <w:p>
      <w:pPr>
        <w:widowControl/>
        <w:jc w:val="center"/>
        <w:spacing w:line="1200" w:lineRule="exact"/>
        <w:rPr>
          <w:color w:val="000000"/>
          <w:rFonts w:ascii="黑体" w:eastAsia="黑体"/>
          <w:sz w:val="72"/>
          <w:szCs w:val="96"/>
        </w:rPr>
      </w:pPr>
    </w:p>
    <w:p>
      <w:pPr>
        <w:widowControl/>
        <w:jc w:val="center"/>
        <w:spacing w:line="1200" w:lineRule="exact"/>
        <w:rPr>
          <w:color w:val="000000"/>
          <w:rFonts w:ascii="黑体" w:eastAsia="黑体"/>
          <w:sz w:val="72"/>
          <w:szCs w:val="96"/>
        </w:rPr>
      </w:pPr>
    </w:p>
    <w:p>
      <w:pPr>
        <w:widowControl/>
        <w:jc w:val="center"/>
        <w:spacing w:line="1200" w:lineRule="exact"/>
        <w:rPr>
          <w:color w:val="000000"/>
          <w:rFonts w:ascii="黑体" w:eastAsia="黑体"/>
          <w:sz w:val="72"/>
          <w:szCs w:val="96"/>
        </w:rPr>
      </w:pPr>
    </w:p>
    <w:p>
      <w:pPr>
        <w:widowControl/>
        <w:jc w:val="center"/>
        <w:spacing w:line="1200" w:lineRule="exact"/>
        <w:rPr>
          <w:color w:val="000000"/>
          <w:rFonts w:ascii="黑体" w:eastAsia="黑体"/>
          <w:sz w:val="72"/>
          <w:szCs w:val="96"/>
        </w:rPr>
      </w:pPr>
      <w:r>
        <w:rPr>
          <w:color w:val="000000"/>
          <w:rFonts w:ascii="黑体" w:eastAsia="黑体" w:hint="eastAsia"/>
          <w:sz w:val="72"/>
          <w:szCs w:val="96"/>
        </w:rPr>
        <w:t>第二部分</w:t>
      </w:r>
    </w:p>
    <w:p>
      <w:pPr>
        <w:widowControl/>
        <w:jc w:val="center"/>
        <w:spacing w:line="1200" w:lineRule="exact"/>
        <w:rPr>
          <w:color w:val="000000"/>
          <w:sz w:val="72"/>
          <w:szCs w:val="96"/>
        </w:rPr>
      </w:pPr>
      <w:r>
        <w:rPr>
          <w:color w:val="000000"/>
          <w:rFonts w:ascii="黑体" w:eastAsia="黑体"/>
          <w:sz w:val="72"/>
          <w:szCs w:val="96"/>
        </w:rPr>
        <w:t>2018</w:t>
      </w:r>
      <w:r>
        <w:rPr>
          <w:color w:val="000000"/>
          <w:rFonts w:ascii="黑体" w:eastAsia="黑体" w:hint="eastAsia"/>
          <w:sz w:val="72"/>
          <w:szCs w:val="96"/>
        </w:rPr>
        <w:t>年度部门决算报表</w:t>
      </w:r>
    </w:p>
    <w:p>
      <w:pPr>
        <w:widowControl/>
        <w:jc w:val="center"/>
        <w:spacing w:line="560" w:lineRule="exact"/>
        <w:rPr>
          <w:bCs/>
          <w:kern w:val="0"/>
          <w:rFonts w:ascii="黑体" w:cs="MS-UIGothic,Bold" w:eastAsia="黑体"/>
          <w:sz w:val="52"/>
          <w:szCs w:val="52"/>
        </w:rPr>
      </w:pPr>
    </w:p>
    <w:p>
      <w:pPr>
        <w:widowControl/>
        <w:jc w:val="center"/>
        <w:spacing w:line="560" w:lineRule="exact"/>
        <w:rPr>
          <w:bCs/>
          <w:kern w:val="0"/>
          <w:rFonts w:ascii="黑体" w:cs="MS-UIGothic,Bold" w:eastAsia="黑体"/>
          <w:sz w:val="52"/>
          <w:szCs w:val="52"/>
        </w:rPr>
      </w:pPr>
    </w:p>
    <w:p>
      <w:pPr>
        <w:widowControl/>
        <w:jc w:val="center"/>
        <w:spacing w:line="560" w:lineRule="exact"/>
        <w:rPr>
          <w:bCs/>
          <w:kern w:val="0"/>
          <w:rFonts w:ascii="黑体" w:cs="MS-UIGothic,Bold" w:eastAsia="黑体"/>
          <w:sz w:val="52"/>
          <w:szCs w:val="52"/>
        </w:rPr>
      </w:pPr>
    </w:p>
    <w:p>
      <w:pPr>
        <w:widowControl/>
        <w:jc w:val="center"/>
        <w:spacing w:line="560" w:lineRule="exact"/>
        <w:rPr>
          <w:bCs/>
          <w:kern w:val="0"/>
          <w:rFonts w:ascii="黑体" w:cs="MS-UIGothic,Bold" w:eastAsia="黑体"/>
          <w:sz w:val="52"/>
          <w:szCs w:val="52"/>
        </w:rPr>
      </w:pPr>
    </w:p>
    <w:p>
      <w:pPr>
        <w:widowControl/>
        <w:jc w:val="center"/>
        <w:spacing w:line="560" w:lineRule="exact"/>
        <w:rPr>
          <w:bCs/>
          <w:kern w:val="0"/>
          <w:rFonts w:ascii="黑体" w:cs="MS-UIGothic,Bold" w:eastAsia="黑体"/>
          <w:sz w:val="52"/>
          <w:szCs w:val="52"/>
        </w:rPr>
      </w:pPr>
    </w:p>
    <w:p>
      <w:pPr>
        <w:widowControl/>
        <w:jc w:val="center"/>
        <w:spacing w:line="560" w:lineRule="exact"/>
        <w:rPr>
          <w:bCs/>
          <w:kern w:val="0"/>
          <w:rFonts w:ascii="黑体" w:cs="MS-UIGothic,Bold" w:eastAsia="黑体"/>
          <w:sz w:val="52"/>
          <w:szCs w:val="52"/>
        </w:rPr>
      </w:pPr>
    </w:p>
    <w:p>
      <w:pPr>
        <w:widowControl/>
        <w:jc w:val="center"/>
        <w:spacing w:line="560" w:lineRule="exact"/>
        <w:rPr>
          <w:bCs/>
          <w:kern w:val="0"/>
          <w:rFonts w:ascii="黑体" w:cs="MS-UIGothic,Bold" w:eastAsia="黑体"/>
          <w:sz w:val="52"/>
          <w:szCs w:val="52"/>
        </w:rPr>
      </w:pPr>
    </w:p>
    <w:p>
      <w:pPr>
        <w:widowControl/>
        <w:jc w:val="center"/>
        <w:spacing w:line="560" w:lineRule="exact"/>
        <w:rPr>
          <w:bCs/>
          <w:kern w:val="0"/>
          <w:rFonts w:ascii="黑体" w:cs="MS-UIGothic,Bold" w:eastAsia="黑体"/>
          <w:sz w:val="52"/>
          <w:szCs w:val="52"/>
        </w:rPr>
      </w:pPr>
    </w:p>
    <w:p>
      <w:pPr>
        <w:widowControl/>
        <w:ind w:firstLine="640"/>
        <w:spacing w:line="580" w:lineRule="exact"/>
        <w:rPr>
          <w:rFonts w:eastAsia="仿宋_GB2312"/>
          <w:sz w:val="20"/>
          <w:szCs w:val="32"/>
        </w:rPr>
      </w:pPr>
      <w:r>
        <w:rPr>
          <w:rFonts w:eastAsia="黑体" w:hint="eastAsia"/>
          <w:sz w:val="32"/>
          <w:szCs w:val="32"/>
        </w:rPr>
        <w:t>第二部分</w:t>
      </w:r>
      <w:r>
        <w:rPr>
          <w:rFonts w:eastAsia="黑体"/>
          <w:sz w:val="32"/>
          <w:szCs w:val="32"/>
        </w:rPr>
        <w:t xml:space="preserve">   2018</w:t>
      </w:r>
      <w:r>
        <w:rPr>
          <w:rFonts w:eastAsia="黑体" w:hint="eastAsia"/>
          <w:sz w:val="32"/>
          <w:szCs w:val="32"/>
        </w:rPr>
        <w:t>年度部门决算报表</w:t>
      </w:r>
    </w:p>
    <w:p>
      <w:pPr>
        <w:widowControl/>
        <w:ind w:left="640"/>
        <w:ind w:firstLine="640"/>
        <w:spacing w:line="580" w:lineRule="exact"/>
        <w:rPr>
          <w:rFonts w:eastAsia="仿宋_GB2312"/>
          <w:sz w:val="32"/>
          <w:szCs w:val="32"/>
        </w:rPr>
      </w:pPr>
      <w:r>
        <w:rPr>
          <w:rFonts w:eastAsia="仿宋_GB2312" w:hint="eastAsia"/>
          <w:sz w:val="32"/>
          <w:szCs w:val="32"/>
        </w:rPr>
        <w:t>一、收入支出决算总表</w:t>
      </w:r>
    </w:p>
    <w:p>
      <w:pPr>
        <w:widowControl/>
        <w:ind w:left="640"/>
        <w:ind w:firstLine="640"/>
        <w:spacing w:line="580" w:lineRule="exact"/>
        <w:rPr>
          <w:rFonts w:eastAsia="仿宋_GB2312"/>
          <w:sz w:val="32"/>
          <w:szCs w:val="32"/>
        </w:rPr>
      </w:pPr>
      <w:r>
        <w:rPr>
          <w:rFonts w:eastAsia="仿宋_GB2312" w:hint="eastAsia"/>
          <w:sz w:val="32"/>
          <w:szCs w:val="32"/>
        </w:rPr>
        <w:t>二、收入决算表</w:t>
      </w:r>
    </w:p>
    <w:p>
      <w:pPr>
        <w:widowControl/>
        <w:ind w:left="640"/>
        <w:ind w:firstLine="640"/>
        <w:spacing w:line="580" w:lineRule="exact"/>
        <w:rPr>
          <w:rFonts w:eastAsia="仿宋_GB2312"/>
          <w:sz w:val="32"/>
          <w:szCs w:val="32"/>
        </w:rPr>
      </w:pPr>
      <w:r>
        <w:rPr>
          <w:rFonts w:eastAsia="仿宋_GB2312" w:hint="eastAsia"/>
          <w:sz w:val="32"/>
          <w:szCs w:val="32"/>
        </w:rPr>
        <w:t>三、支出决算表</w:t>
      </w:r>
    </w:p>
    <w:p>
      <w:pPr>
        <w:widowControl/>
        <w:ind w:left="640"/>
        <w:ind w:firstLine="640"/>
        <w:spacing w:line="580" w:lineRule="exact"/>
        <w:rPr>
          <w:rFonts w:eastAsia="仿宋_GB2312"/>
          <w:sz w:val="32"/>
          <w:szCs w:val="32"/>
        </w:rPr>
      </w:pPr>
      <w:r>
        <w:rPr>
          <w:rFonts w:eastAsia="仿宋_GB2312" w:hint="eastAsia"/>
          <w:sz w:val="32"/>
          <w:szCs w:val="32"/>
        </w:rPr>
        <w:t>四、财政拨款收入支出决算总表</w:t>
      </w:r>
    </w:p>
    <w:p>
      <w:pPr>
        <w:widowControl/>
        <w:ind w:left="640"/>
        <w:ind w:firstLine="640"/>
        <w:spacing w:line="580" w:lineRule="exact"/>
        <w:rPr>
          <w:rFonts w:eastAsia="仿宋_GB2312"/>
          <w:sz w:val="32"/>
          <w:szCs w:val="32"/>
        </w:rPr>
      </w:pPr>
      <w:r>
        <w:rPr>
          <w:rFonts w:eastAsia="仿宋_GB2312" w:hint="eastAsia"/>
          <w:sz w:val="32"/>
          <w:szCs w:val="32"/>
        </w:rPr>
        <w:t>五、一般公共预算财政拨款支出决算表</w:t>
      </w:r>
    </w:p>
    <w:p>
      <w:pPr>
        <w:widowControl/>
        <w:ind w:left="640"/>
        <w:ind w:firstLine="640"/>
        <w:spacing w:line="580" w:lineRule="exact"/>
        <w:rPr>
          <w:rFonts w:eastAsia="仿宋_GB2312"/>
          <w:sz w:val="32"/>
          <w:szCs w:val="32"/>
        </w:rPr>
      </w:pPr>
      <w:r>
        <w:rPr>
          <w:rFonts w:eastAsia="仿宋_GB2312" w:hint="eastAsia"/>
          <w:sz w:val="32"/>
          <w:szCs w:val="32"/>
        </w:rPr>
        <w:t>六、一般公共预算财政拨款基本支出决算表</w:t>
      </w:r>
    </w:p>
    <w:p>
      <w:pPr>
        <w:widowControl/>
        <w:ind w:left="640"/>
        <w:ind w:firstLine="640"/>
        <w:spacing w:line="580" w:lineRule="exact"/>
        <w:rPr>
          <w:rFonts w:eastAsia="仿宋_GB2312"/>
          <w:sz w:val="32"/>
          <w:szCs w:val="32"/>
        </w:rPr>
      </w:pPr>
      <w:r>
        <w:rPr>
          <w:rFonts w:eastAsia="仿宋_GB2312" w:hint="eastAsia"/>
          <w:sz w:val="32"/>
          <w:szCs w:val="32"/>
        </w:rPr>
        <w:t>七、一般公共预算财政拨款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经费支出决算表</w:t>
      </w:r>
    </w:p>
    <w:p>
      <w:pPr>
        <w:widowControl/>
        <w:ind w:left="640"/>
        <w:ind w:firstLine="640"/>
        <w:spacing w:line="580" w:lineRule="exact"/>
        <w:rPr>
          <w:rFonts w:eastAsia="仿宋_GB2312"/>
          <w:sz w:val="32"/>
          <w:szCs w:val="32"/>
        </w:rPr>
      </w:pPr>
      <w:r>
        <w:rPr>
          <w:rFonts w:eastAsia="仿宋_GB2312" w:hint="eastAsia"/>
          <w:sz w:val="32"/>
          <w:szCs w:val="32"/>
        </w:rPr>
        <w:t>八、政府性基金预算财政拨款收入支出决算表</w:t>
      </w:r>
    </w:p>
    <w:p>
      <w:pPr>
        <w:widowControl/>
        <w:ind w:left="640"/>
        <w:ind w:firstLine="640"/>
        <w:spacing w:line="580" w:lineRule="exact"/>
        <w:rPr>
          <w:rFonts w:eastAsia="仿宋_GB2312"/>
          <w:sz w:val="32"/>
          <w:szCs w:val="32"/>
        </w:rPr>
      </w:pPr>
      <w:r>
        <w:rPr>
          <w:rFonts w:eastAsia="仿宋_GB2312" w:hint="eastAsia"/>
          <w:sz w:val="32"/>
          <w:szCs w:val="32"/>
        </w:rPr>
        <w:t>九、国有资本经营预算财政拨款支出决算表</w:t>
      </w:r>
    </w:p>
    <w:p>
      <w:pPr>
        <w:widowControl/>
        <w:ind w:left="640"/>
        <w:ind w:firstLine="640"/>
        <w:spacing w:line="580" w:lineRule="exact"/>
        <w:rPr>
          <w:rFonts w:eastAsia="仿宋_GB2312"/>
          <w:sz w:val="32"/>
          <w:szCs w:val="32"/>
        </w:rPr>
      </w:pPr>
      <w:r>
        <w:rPr>
          <w:rFonts w:eastAsia="仿宋_GB2312" w:hint="eastAsia"/>
          <w:sz w:val="32"/>
          <w:szCs w:val="32"/>
        </w:rPr>
        <w:t>十、政府采购情况表</w:t>
      </w:r>
    </w:p>
    <w:p>
      <w:pPr>
        <w:rPr>
          <w:kern w:val="0"/>
          <w:color w:val="000000"/>
          <w:rFonts w:ascii="宋体" w:cs="ArialUnicodeMS"/>
        </w:rPr>
      </w:pPr>
    </w:p>
    <w:p>
      <w:pPr>
        <w:jc w:val="left"/>
        <w:tabs>
          <w:tab w:val="left" w:pos="1086"/>
        </w:tabs>
        <w:sectPr>
          <w:docGrid w:type="lines" w:linePitch="312" w:charSpace="0"/>
          <w:pgSz w:w="11906" w:h="16838"/>
          <w:pgMar w:left="1588" w:right="1474" w:top="2098" w:bottom="1984" w:header="851" w:footer="992" w:gutter="0"/>
        </w:sectPr>
        <w:rPr>
          <w:b/>
          <w:highlight w:val="yellow"/>
          <w:rFonts w:ascii="仿宋_GB2312" w:eastAsia="仿宋_GB2312"/>
          <w:sz w:val="28"/>
          <w:szCs w:val="28"/>
        </w:rPr>
      </w:pPr>
      <w:r>
        <w:tab/>
      </w:r>
    </w:p>
    <w:p>
      <w:pPr>
        <w:widowControl/>
        <w:jc w:val="center"/>
        <w:spacing w:line="1200" w:lineRule="exact"/>
        <w:rPr>
          <w:color w:val="000000"/>
          <w:rFonts w:ascii="黑体" w:eastAsia="黑体"/>
          <w:sz w:val="96"/>
          <w:szCs w:val="96"/>
        </w:rPr>
      </w:pPr>
    </w:p>
    <w:p>
      <w:pPr>
        <w:widowControl/>
        <w:jc w:val="center"/>
        <w:spacing w:line="1200" w:lineRule="exact"/>
        <w:rPr>
          <w:color w:val="000000"/>
          <w:rFonts w:ascii="黑体" w:eastAsia="黑体"/>
          <w:sz w:val="96"/>
          <w:szCs w:val="96"/>
        </w:rPr>
      </w:pPr>
    </w:p>
    <w:p>
      <w:pPr>
        <w:widowControl/>
        <w:jc w:val="center"/>
        <w:spacing w:line="1200" w:lineRule="exact"/>
        <w:rPr>
          <w:color w:val="000000"/>
          <w:rFonts w:ascii="黑体" w:eastAsia="黑体"/>
          <w:sz w:val="96"/>
          <w:szCs w:val="96"/>
        </w:rPr>
      </w:pPr>
    </w:p>
    <w:p>
      <w:pPr>
        <w:widowControl/>
        <w:jc w:val="center"/>
        <w:spacing w:line="1200" w:lineRule="exact"/>
        <w:rPr>
          <w:color w:val="000000"/>
          <w:rFonts w:ascii="黑体" w:eastAsia="黑体"/>
          <w:sz w:val="72"/>
          <w:szCs w:val="72"/>
        </w:rPr>
      </w:pPr>
      <w:r>
        <w:rPr>
          <w:color w:val="000000"/>
          <w:rFonts w:ascii="黑体" w:eastAsia="黑体" w:hint="eastAsia"/>
          <w:sz w:val="72"/>
          <w:szCs w:val="72"/>
        </w:rPr>
        <w:t>第三部分</w:t>
      </w:r>
    </w:p>
    <w:p>
      <w:pPr>
        <w:widowControl/>
        <w:jc w:val="center"/>
        <w:spacing w:line="1200" w:lineRule="exact"/>
        <w:rPr>
          <w:color w:val="000000"/>
          <w:sz w:val="72"/>
          <w:szCs w:val="72"/>
        </w:rPr>
      </w:pPr>
      <w:r>
        <w:rPr>
          <w:color w:val="000000"/>
          <w:rFonts w:ascii="黑体" w:eastAsia="黑体" w:hint="eastAsia"/>
          <w:sz w:val="72"/>
          <w:szCs w:val="72"/>
        </w:rPr>
        <w:t>部门决算情况说明</w:t>
      </w:r>
    </w:p>
    <w:p>
      <w:pPr>
        <w:sectPr>
          <w:docGrid w:type="lines" w:linePitch="312" w:charSpace="0"/>
          <w:pgSz w:w="11906" w:h="16838"/>
          <w:pgMar w:left="1588" w:right="1474" w:top="2098" w:bottom="1984" w:header="851" w:footer="992" w:gutter="0"/>
        </w:sectPr>
        <w:rPr>
          <w:kern w:val="0"/>
          <w:color w:val="000000"/>
          <w:rFonts w:ascii="宋体" w:cs="ArialUnicodeMS"/>
        </w:rPr>
      </w:pPr>
    </w:p>
    <w:p>
      <w:pPr>
        <w:pStyle w:val="2"/>
        <w:ind w:firstLine="640"/>
        <w:spacing w:before="0" w:after="0" w:line="580" w:lineRule="exact"/>
        <w:rPr>
          <w:bCs w:val="0"/>
          <w:b w:val="0"/>
          <w:rFonts w:ascii="黑体" w:eastAsia="黑体"/>
        </w:rPr>
      </w:pPr>
      <w:r>
        <w:rPr>
          <w:bCs w:val="0"/>
          <w:b w:val="0"/>
          <w:rFonts w:ascii="黑体" w:eastAsia="黑体" w:hint="eastAsia"/>
        </w:rPr>
        <w:t>一、收入</w:t>
      </w:r>
      <w:r>
        <w:rPr>
          <w:bCs w:val="0"/>
          <w:kern w:val="0"/>
          <w:b w:val="0"/>
          <w:rFonts w:ascii="黑体" w:cs="黑体" w:eastAsia="黑体" w:hint="eastAsia"/>
        </w:rPr>
        <w:t>支出</w:t>
      </w:r>
      <w:r>
        <w:rPr>
          <w:bCs w:val="0"/>
          <w:b w:val="0"/>
          <w:rFonts w:ascii="黑体" w:eastAsia="黑体" w:hint="eastAsia"/>
        </w:rPr>
        <w:t>决算总体情况说明</w:t>
      </w:r>
    </w:p>
    <w:p>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hint="eastAsia"/>
          <w:sz w:val="32"/>
          <w:szCs w:val="32"/>
        </w:rPr>
        <w:t>本部门</w:t>
      </w:r>
      <w:r>
        <w:rPr>
          <w:rFonts w:ascii="仿宋_GB2312" w:cs="DengXian-Regular" w:eastAsia="仿宋_GB2312"/>
          <w:sz w:val="32"/>
          <w:szCs w:val="32"/>
        </w:rPr>
        <w:t>2018</w:t>
      </w:r>
      <w:r>
        <w:rPr>
          <w:rFonts w:ascii="仿宋_GB2312" w:cs="DengXian-Regular" w:eastAsia="仿宋_GB2312" w:hint="eastAsia"/>
          <w:sz w:val="32"/>
          <w:szCs w:val="32"/>
        </w:rPr>
        <w:t>年度收支总计（含结转和结余）</w:t>
      </w:r>
      <w:r>
        <w:rPr>
          <w:rFonts w:ascii="仿宋_GB2312" w:cs="DengXian-Regular" w:eastAsia="仿宋_GB2312"/>
          <w:sz w:val="32"/>
          <w:szCs w:val="32"/>
        </w:rPr>
        <w:t>238.06</w:t>
      </w:r>
      <w:r>
        <w:rPr>
          <w:rFonts w:ascii="仿宋_GB2312" w:cs="DengXian-Regular" w:eastAsia="仿宋_GB2312" w:hint="eastAsia"/>
          <w:sz w:val="32"/>
          <w:szCs w:val="32"/>
        </w:rPr>
        <w:t>万元。与</w:t>
      </w:r>
      <w:r>
        <w:rPr>
          <w:rFonts w:ascii="仿宋_GB2312" w:cs="DengXian-Regular" w:eastAsia="仿宋_GB2312"/>
          <w:sz w:val="32"/>
          <w:szCs w:val="32"/>
        </w:rPr>
        <w:t>2017</w:t>
      </w:r>
      <w:r>
        <w:rPr>
          <w:rFonts w:ascii="仿宋_GB2312" w:cs="DengXian-Regular" w:eastAsia="仿宋_GB2312" w:hint="eastAsia"/>
          <w:sz w:val="32"/>
          <w:szCs w:val="32"/>
        </w:rPr>
        <w:t>年度决算相比，收入增加</w:t>
      </w:r>
      <w:r>
        <w:rPr>
          <w:rFonts w:ascii="仿宋_GB2312" w:cs="DengXian-Regular" w:eastAsia="仿宋_GB2312"/>
          <w:sz w:val="32"/>
          <w:szCs w:val="32"/>
        </w:rPr>
        <w:t>16.54</w:t>
      </w:r>
      <w:r>
        <w:rPr>
          <w:rFonts w:ascii="仿宋_GB2312" w:cs="DengXian-Regular" w:eastAsia="仿宋_GB2312" w:hint="eastAsia"/>
          <w:sz w:val="32"/>
          <w:szCs w:val="32"/>
        </w:rPr>
        <w:t>万元，增长</w:t>
      </w:r>
      <w:r>
        <w:rPr>
          <w:rFonts w:ascii="仿宋_GB2312" w:cs="DengXian-Regular" w:eastAsia="仿宋_GB2312"/>
          <w:sz w:val="32"/>
          <w:szCs w:val="32"/>
        </w:rPr>
        <w:t>22.3%</w:t>
      </w:r>
      <w:r>
        <w:rPr>
          <w:rFonts w:ascii="仿宋_GB2312" w:cs="DengXian-Regular" w:eastAsia="仿宋_GB2312" w:hint="eastAsia"/>
          <w:sz w:val="32"/>
          <w:szCs w:val="32"/>
        </w:rPr>
        <w:t>，主要原因是人员工资有所增长。</w:t>
      </w:r>
    </w:p>
    <w:p>
      <w:pPr>
        <w:pStyle w:val="2"/>
        <w:ind w:firstLine="640"/>
        <w:spacing w:before="0" w:after="0" w:line="580" w:lineRule="exact"/>
        <w:rPr>
          <w:bCs w:val="0"/>
          <w:b w:val="0"/>
          <w:rFonts w:ascii="黑体" w:eastAsia="黑体"/>
        </w:rPr>
      </w:pPr>
      <w:r>
        <w:rPr>
          <w:bCs w:val="0"/>
          <w:b w:val="0"/>
          <w:rFonts w:ascii="黑体" w:eastAsia="黑体" w:hint="eastAsia"/>
        </w:rPr>
        <w:t>二、收入决算情况说明</w:t>
      </w:r>
    </w:p>
    <w:p>
      <w:pPr>
        <w:adjustRightInd w:val="0"/>
        <w:snapToGrid w:val="0"/>
        <w:ind w:firstLine="640"/>
        <w:spacing w:after="0" w:line="580" w:lineRule="exact"/>
      </w:pPr>
      <w:r>
        <w:rPr>
          <w:rFonts w:ascii="仿宋_GB2312" w:cs="DengXian-Regular" w:eastAsia="仿宋_GB2312" w:hint="eastAsia"/>
          <w:sz w:val="32"/>
          <w:szCs w:val="32"/>
        </w:rPr>
        <w:t>本部门</w:t>
      </w:r>
      <w:r>
        <w:rPr>
          <w:rFonts w:ascii="仿宋_GB2312" w:cs="DengXian-Regular" w:eastAsia="仿宋_GB2312"/>
          <w:sz w:val="32"/>
          <w:szCs w:val="32"/>
        </w:rPr>
        <w:t>2018</w:t>
      </w:r>
      <w:r>
        <w:rPr>
          <w:rFonts w:ascii="仿宋_GB2312" w:cs="DengXian-Regular" w:eastAsia="仿宋_GB2312" w:hint="eastAsia"/>
          <w:sz w:val="32"/>
          <w:szCs w:val="32"/>
        </w:rPr>
        <w:t>年度本年收入合计</w:t>
      </w:r>
      <w:r>
        <w:rPr>
          <w:rFonts w:ascii="仿宋_GB2312" w:cs="DengXian-Regular" w:eastAsia="仿宋_GB2312"/>
          <w:sz w:val="32"/>
          <w:szCs w:val="32"/>
        </w:rPr>
        <w:t>238.06</w:t>
      </w:r>
      <w:r>
        <w:rPr>
          <w:rFonts w:ascii="仿宋_GB2312" w:cs="DengXian-Regular" w:eastAsia="仿宋_GB2312" w:hint="eastAsia"/>
          <w:sz w:val="32"/>
          <w:szCs w:val="32"/>
        </w:rPr>
        <w:t>万元，其中：财政拨款收入</w:t>
      </w:r>
      <w:r>
        <w:rPr>
          <w:rFonts w:ascii="仿宋_GB2312" w:cs="DengXian-Regular" w:eastAsia="仿宋_GB2312"/>
          <w:sz w:val="32"/>
          <w:szCs w:val="32"/>
        </w:rPr>
        <w:t>211.28</w:t>
      </w:r>
      <w:r>
        <w:rPr>
          <w:rFonts w:ascii="仿宋_GB2312" w:cs="DengXian-Regular" w:eastAsia="仿宋_GB2312" w:hint="eastAsia"/>
          <w:sz w:val="32"/>
          <w:szCs w:val="32"/>
        </w:rPr>
        <w:t>万元，占</w:t>
      </w:r>
      <w:r>
        <w:rPr>
          <w:rFonts w:ascii="仿宋_GB2312" w:cs="DengXian-Regular" w:eastAsia="仿宋_GB2312"/>
          <w:sz w:val="32"/>
          <w:szCs w:val="32"/>
        </w:rPr>
        <w:t>88.8%</w:t>
      </w:r>
      <w:r>
        <w:rPr>
          <w:rFonts w:ascii="仿宋_GB2312" w:cs="DengXian-Regular" w:eastAsia="仿宋_GB2312" w:hint="eastAsia"/>
          <w:sz w:val="32"/>
          <w:szCs w:val="32"/>
        </w:rPr>
        <w:t>；事业收入</w:t>
      </w:r>
      <w:r>
        <w:rPr>
          <w:rFonts w:ascii="仿宋_GB2312" w:cs="DengXian-Regular" w:eastAsia="仿宋_GB2312"/>
          <w:sz w:val="32"/>
          <w:szCs w:val="32"/>
        </w:rPr>
        <w:t>0</w:t>
      </w:r>
      <w:r>
        <w:rPr>
          <w:rFonts w:ascii="仿宋_GB2312" w:cs="DengXian-Regular" w:eastAsia="仿宋_GB2312" w:hint="eastAsia"/>
          <w:sz w:val="32"/>
          <w:szCs w:val="32"/>
        </w:rPr>
        <w:t>万元，占</w:t>
      </w:r>
      <w:r>
        <w:rPr>
          <w:rFonts w:ascii="仿宋_GB2312" w:cs="DengXian-Regular" w:eastAsia="仿宋_GB2312"/>
          <w:sz w:val="32"/>
          <w:szCs w:val="32"/>
        </w:rPr>
        <w:t>0%</w:t>
      </w:r>
      <w:r>
        <w:rPr>
          <w:rFonts w:ascii="仿宋_GB2312" w:cs="DengXian-Regular" w:eastAsia="仿宋_GB2312" w:hint="eastAsia"/>
          <w:sz w:val="32"/>
          <w:szCs w:val="32"/>
        </w:rPr>
        <w:t>；经营收入</w:t>
      </w:r>
      <w:r>
        <w:rPr>
          <w:rFonts w:ascii="仿宋_GB2312" w:cs="DengXian-Regular" w:eastAsia="仿宋_GB2312"/>
          <w:sz w:val="32"/>
          <w:szCs w:val="32"/>
        </w:rPr>
        <w:t>0</w:t>
      </w:r>
      <w:r>
        <w:rPr>
          <w:rFonts w:ascii="仿宋_GB2312" w:cs="DengXian-Regular" w:eastAsia="仿宋_GB2312" w:hint="eastAsia"/>
          <w:sz w:val="32"/>
          <w:szCs w:val="32"/>
        </w:rPr>
        <w:t>万元，占</w:t>
      </w:r>
      <w:r>
        <w:rPr>
          <w:rFonts w:ascii="仿宋_GB2312" w:cs="DengXian-Regular" w:eastAsia="仿宋_GB2312"/>
          <w:sz w:val="32"/>
          <w:szCs w:val="32"/>
        </w:rPr>
        <w:t>0%</w:t>
      </w:r>
      <w:r>
        <w:rPr>
          <w:rFonts w:ascii="仿宋_GB2312" w:cs="DengXian-Regular" w:eastAsia="仿宋_GB2312" w:hint="eastAsia"/>
          <w:sz w:val="32"/>
          <w:szCs w:val="32"/>
        </w:rPr>
        <w:t>；其他收入</w:t>
      </w:r>
      <w:r>
        <w:rPr>
          <w:rFonts w:ascii="仿宋_GB2312" w:cs="DengXian-Regular" w:eastAsia="仿宋_GB2312"/>
          <w:sz w:val="32"/>
          <w:szCs w:val="32"/>
        </w:rPr>
        <w:t>26.78</w:t>
      </w:r>
      <w:r>
        <w:rPr>
          <w:rFonts w:ascii="仿宋_GB2312" w:cs="DengXian-Regular" w:eastAsia="仿宋_GB2312" w:hint="eastAsia"/>
          <w:sz w:val="32"/>
          <w:szCs w:val="32"/>
        </w:rPr>
        <w:t>万元，占</w:t>
      </w:r>
      <w:r>
        <w:rPr>
          <w:rFonts w:ascii="仿宋_GB2312" w:cs="DengXian-Regular" w:eastAsia="仿宋_GB2312"/>
          <w:sz w:val="32"/>
          <w:szCs w:val="32"/>
        </w:rPr>
        <w:t>11.2%</w:t>
      </w:r>
      <w:r>
        <w:rPr>
          <w:rFonts w:ascii="仿宋_GB2312" w:cs="DengXian-Regular" w:eastAsia="仿宋_GB2312" w:hint="eastAsia"/>
          <w:sz w:val="32"/>
          <w:szCs w:val="32"/>
        </w:rPr>
        <w:t>。</w:t>
      </w:r>
    </w:p>
    <w:p>
      <w:pPr>
        <w:pStyle w:val="2"/>
        <w:ind w:firstLine="640"/>
        <w:spacing w:before="0" w:after="0" w:line="580" w:lineRule="exact"/>
        <w:rPr>
          <w:bCs w:val="0"/>
          <w:b w:val="0"/>
          <w:rFonts w:ascii="黑体" w:eastAsia="黑体"/>
        </w:rPr>
      </w:pPr>
      <w:r>
        <w:rPr>
          <w:bCs w:val="0"/>
          <w:b w:val="0"/>
          <w:rFonts w:ascii="黑体" w:eastAsia="黑体" w:hint="eastAsia"/>
        </w:rPr>
        <w:t>三、支出决算情况说明</w:t>
      </w:r>
    </w:p>
    <w:p>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hint="eastAsia"/>
          <w:sz w:val="32"/>
          <w:szCs w:val="32"/>
        </w:rPr>
        <w:t>本部门</w:t>
      </w:r>
      <w:r>
        <w:rPr>
          <w:rFonts w:ascii="仿宋_GB2312" w:cs="DengXian-Regular" w:eastAsia="仿宋_GB2312"/>
          <w:sz w:val="32"/>
          <w:szCs w:val="32"/>
        </w:rPr>
        <w:t>2018</w:t>
      </w:r>
      <w:r>
        <w:rPr>
          <w:rFonts w:ascii="仿宋_GB2312" w:cs="DengXian-Regular" w:eastAsia="仿宋_GB2312" w:hint="eastAsia"/>
          <w:sz w:val="32"/>
          <w:szCs w:val="32"/>
        </w:rPr>
        <w:t>年度本年支出合计</w:t>
      </w:r>
      <w:r>
        <w:rPr>
          <w:rFonts w:ascii="仿宋_GB2312" w:cs="DengXian-Regular" w:eastAsia="仿宋_GB2312"/>
          <w:sz w:val="32"/>
          <w:szCs w:val="32"/>
        </w:rPr>
        <w:t>220.26</w:t>
      </w:r>
      <w:r>
        <w:rPr>
          <w:rFonts w:ascii="仿宋_GB2312" w:cs="DengXian-Regular" w:eastAsia="仿宋_GB2312" w:hint="eastAsia"/>
          <w:sz w:val="32"/>
          <w:szCs w:val="32"/>
        </w:rPr>
        <w:t>万元，其中：基本支出</w:t>
      </w:r>
      <w:r>
        <w:rPr>
          <w:rFonts w:ascii="仿宋_GB2312" w:cs="DengXian-Regular" w:eastAsia="仿宋_GB2312"/>
          <w:sz w:val="32"/>
          <w:szCs w:val="32"/>
        </w:rPr>
        <w:t>220.26</w:t>
      </w:r>
      <w:r>
        <w:rPr>
          <w:rFonts w:ascii="仿宋_GB2312" w:cs="DengXian-Regular" w:eastAsia="仿宋_GB2312" w:hint="eastAsia"/>
          <w:sz w:val="32"/>
          <w:szCs w:val="32"/>
        </w:rPr>
        <w:t>万元，占</w:t>
      </w:r>
      <w:r>
        <w:rPr>
          <w:rFonts w:ascii="仿宋_GB2312" w:cs="DengXian-Regular" w:eastAsia="仿宋_GB2312"/>
          <w:sz w:val="32"/>
          <w:szCs w:val="32"/>
        </w:rPr>
        <w:t>100%</w:t>
      </w:r>
      <w:r>
        <w:rPr>
          <w:rFonts w:ascii="仿宋_GB2312" w:cs="DengXian-Regular" w:eastAsia="仿宋_GB2312" w:hint="eastAsia"/>
          <w:sz w:val="32"/>
          <w:szCs w:val="32"/>
        </w:rPr>
        <w:t>；项目支出</w:t>
      </w:r>
      <w:r>
        <w:rPr>
          <w:rFonts w:ascii="仿宋_GB2312" w:cs="DengXian-Regular" w:eastAsia="仿宋_GB2312"/>
          <w:sz w:val="32"/>
          <w:szCs w:val="32"/>
        </w:rPr>
        <w:t>0</w:t>
      </w:r>
      <w:r>
        <w:rPr>
          <w:rFonts w:ascii="仿宋_GB2312" w:cs="DengXian-Regular" w:eastAsia="仿宋_GB2312" w:hint="eastAsia"/>
          <w:sz w:val="32"/>
          <w:szCs w:val="32"/>
        </w:rPr>
        <w:t>万元，占</w:t>
      </w:r>
      <w:r>
        <w:rPr>
          <w:rFonts w:ascii="仿宋_GB2312" w:cs="DengXian-Regular" w:eastAsia="仿宋_GB2312"/>
          <w:sz w:val="32"/>
          <w:szCs w:val="32"/>
        </w:rPr>
        <w:t>0%</w:t>
      </w:r>
      <w:r>
        <w:rPr>
          <w:rFonts w:ascii="仿宋_GB2312" w:cs="DengXian-Regular" w:eastAsia="仿宋_GB2312" w:hint="eastAsia"/>
          <w:sz w:val="32"/>
          <w:szCs w:val="32"/>
        </w:rPr>
        <w:t>；经营支出</w:t>
      </w:r>
      <w:r>
        <w:rPr>
          <w:rFonts w:ascii="仿宋_GB2312" w:cs="DengXian-Regular" w:eastAsia="仿宋_GB2312"/>
          <w:sz w:val="32"/>
          <w:szCs w:val="32"/>
        </w:rPr>
        <w:t>0</w:t>
      </w:r>
      <w:r>
        <w:rPr>
          <w:rFonts w:ascii="仿宋_GB2312" w:cs="DengXian-Regular" w:eastAsia="仿宋_GB2312" w:hint="eastAsia"/>
          <w:sz w:val="32"/>
          <w:szCs w:val="32"/>
        </w:rPr>
        <w:t>万元，占</w:t>
      </w:r>
      <w:r>
        <w:rPr>
          <w:rFonts w:ascii="仿宋_GB2312" w:cs="DengXian-Regular" w:eastAsia="仿宋_GB2312"/>
          <w:sz w:val="32"/>
          <w:szCs w:val="32"/>
        </w:rPr>
        <w:t>0%</w:t>
      </w:r>
      <w:r>
        <w:rPr>
          <w:rFonts w:ascii="仿宋_GB2312" w:cs="DengXian-Regular" w:eastAsia="仿宋_GB2312" w:hint="eastAsia"/>
          <w:sz w:val="32"/>
          <w:szCs w:val="32"/>
        </w:rPr>
        <w:t>。</w:t>
      </w:r>
    </w:p>
    <w:p>
      <w:pPr>
        <w:pStyle w:val="2"/>
        <w:ind w:firstLine="640"/>
        <w:spacing w:before="0" w:after="0" w:line="580" w:lineRule="exact"/>
        <w:rPr>
          <w:bCs w:val="0"/>
          <w:b w:val="0"/>
          <w:rFonts w:ascii="黑体" w:eastAsia="黑体"/>
        </w:rPr>
      </w:pPr>
      <w:r>
        <w:rPr>
          <w:bCs w:val="0"/>
          <w:b w:val="0"/>
          <w:rFonts w:ascii="黑体" w:eastAsia="黑体" w:hint="eastAsia"/>
        </w:rPr>
        <w:t>四、</w:t>
      </w:r>
      <w:r>
        <w:rPr>
          <w:bCs w:val="0"/>
          <w:kern w:val="0"/>
          <w:b w:val="0"/>
          <w:rFonts w:ascii="黑体" w:cs="黑体" w:eastAsia="黑体" w:hint="eastAsia"/>
        </w:rPr>
        <w:t>财政</w:t>
      </w:r>
      <w:r>
        <w:rPr>
          <w:bCs w:val="0"/>
          <w:b w:val="0"/>
          <w:rFonts w:ascii="黑体" w:eastAsia="黑体" w:hint="eastAsia"/>
        </w:rPr>
        <w:t>拨款收入支出决算情况说明</w:t>
      </w:r>
    </w:p>
    <w:p>
      <w:pPr>
        <w:ind w:firstLine="640"/>
        <w:spacing w:after="0" w:line="580" w:lineRule="exact"/>
        <w:rPr>
          <w:bCs/>
          <w:b/>
          <w:rFonts w:ascii="楷体_GB2312" w:cs="DengXian-Bold" w:eastAsia="楷体_GB2312"/>
          <w:sz w:val="32"/>
          <w:szCs w:val="32"/>
        </w:rPr>
      </w:pPr>
      <w:r>
        <w:rPr>
          <w:bCs/>
          <w:b/>
          <w:rFonts w:ascii="楷体_GB2312" w:cs="DengXian-Bold" w:eastAsia="楷体_GB2312" w:hint="eastAsia"/>
          <w:sz w:val="32"/>
          <w:szCs w:val="32"/>
        </w:rPr>
        <w:t>（一）财政拨款收支与</w:t>
      </w:r>
      <w:r>
        <w:rPr>
          <w:bCs/>
          <w:b/>
          <w:rFonts w:ascii="楷体_GB2312" w:cs="DengXian-Bold" w:eastAsia="楷体_GB2312"/>
          <w:sz w:val="32"/>
          <w:szCs w:val="32"/>
        </w:rPr>
        <w:t xml:space="preserve">2017 </w:t>
      </w:r>
      <w:r>
        <w:rPr>
          <w:bCs/>
          <w:b/>
          <w:rFonts w:ascii="楷体_GB2312" w:cs="DengXian-Bold" w:eastAsia="楷体_GB2312" w:hint="eastAsia"/>
          <w:sz w:val="32"/>
          <w:szCs w:val="32"/>
        </w:rPr>
        <w:t>年度决算对比情况</w:t>
      </w:r>
    </w:p>
    <w:p>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hint="eastAsia"/>
          <w:sz w:val="32"/>
          <w:szCs w:val="32"/>
        </w:rPr>
        <w:t>本部门</w:t>
      </w:r>
      <w:r>
        <w:rPr>
          <w:rFonts w:ascii="仿宋_GB2312" w:cs="DengXian-Regular" w:eastAsia="仿宋_GB2312"/>
          <w:sz w:val="32"/>
          <w:szCs w:val="32"/>
        </w:rPr>
        <w:t>2018</w:t>
      </w:r>
      <w:r>
        <w:rPr>
          <w:rFonts w:ascii="仿宋_GB2312" w:cs="DengXian-Regular" w:eastAsia="仿宋_GB2312" w:hint="eastAsia"/>
          <w:sz w:val="32"/>
          <w:szCs w:val="32"/>
        </w:rPr>
        <w:t>年度形成的财政拨款收支均为一般公共预算财政拨款，其中一般公共预算财政拨款本年收入</w:t>
      </w:r>
      <w:r>
        <w:rPr>
          <w:rFonts w:ascii="仿宋_GB2312" w:cs="DengXian-Regular" w:eastAsia="仿宋_GB2312"/>
          <w:sz w:val="32"/>
          <w:szCs w:val="32"/>
        </w:rPr>
        <w:t>211.28</w:t>
      </w:r>
      <w:r>
        <w:rPr>
          <w:rFonts w:ascii="仿宋_GB2312" w:cs="DengXian-Regular" w:eastAsia="仿宋_GB2312" w:hint="eastAsia"/>
          <w:sz w:val="32"/>
          <w:szCs w:val="32"/>
        </w:rPr>
        <w:t>万元</w:t>
      </w:r>
      <w:r>
        <w:rPr>
          <w:rFonts w:ascii="仿宋_GB2312" w:cs="DengXian-Regular" w:eastAsia="仿宋_GB2312"/>
          <w:sz w:val="32"/>
          <w:szCs w:val="32"/>
        </w:rPr>
        <w:t>,</w:t>
      </w:r>
      <w:r>
        <w:rPr>
          <w:rFonts w:ascii="仿宋_GB2312" w:cs="DengXian-Regular" w:eastAsia="仿宋_GB2312" w:hint="eastAsia"/>
          <w:sz w:val="32"/>
          <w:szCs w:val="32"/>
        </w:rPr>
        <w:t>比</w:t>
      </w:r>
      <w:r>
        <w:rPr>
          <w:rFonts w:ascii="仿宋_GB2312" w:cs="DengXian-Regular" w:eastAsia="仿宋_GB2312"/>
          <w:sz w:val="32"/>
          <w:szCs w:val="32"/>
        </w:rPr>
        <w:t>2017</w:t>
      </w:r>
      <w:r>
        <w:rPr>
          <w:rFonts w:ascii="仿宋_GB2312" w:cs="DengXian-Regular" w:eastAsia="仿宋_GB2312" w:hint="eastAsia"/>
          <w:sz w:val="32"/>
          <w:szCs w:val="32"/>
        </w:rPr>
        <w:t>年度增加</w:t>
      </w:r>
      <w:r>
        <w:rPr>
          <w:rFonts w:ascii="仿宋_GB2312" w:cs="DengXian-Regular" w:eastAsia="仿宋_GB2312"/>
          <w:sz w:val="32"/>
          <w:szCs w:val="32"/>
        </w:rPr>
        <w:t>40.21</w:t>
      </w:r>
      <w:r>
        <w:rPr>
          <w:rFonts w:ascii="仿宋_GB2312" w:cs="DengXian-Regular" w:eastAsia="仿宋_GB2312" w:hint="eastAsia"/>
          <w:sz w:val="32"/>
          <w:szCs w:val="32"/>
        </w:rPr>
        <w:t>万元，增长</w:t>
      </w:r>
      <w:r>
        <w:rPr>
          <w:rFonts w:ascii="仿宋_GB2312" w:cs="DengXian-Regular" w:eastAsia="仿宋_GB2312"/>
          <w:sz w:val="32"/>
          <w:szCs w:val="32"/>
        </w:rPr>
        <w:t>23.5%</w:t>
      </w:r>
      <w:r>
        <w:rPr>
          <w:rFonts w:ascii="仿宋_GB2312" w:cs="DengXian-Regular" w:eastAsia="仿宋_GB2312" w:hint="eastAsia"/>
          <w:sz w:val="32"/>
          <w:szCs w:val="32"/>
        </w:rPr>
        <w:t>，主要原因是人员工资有所增长；本年支出</w:t>
      </w:r>
      <w:r>
        <w:rPr>
          <w:rFonts w:ascii="仿宋_GB2312" w:cs="DengXian-Regular" w:eastAsia="仿宋_GB2312"/>
          <w:sz w:val="32"/>
          <w:szCs w:val="32"/>
        </w:rPr>
        <w:t>220.26</w:t>
      </w:r>
      <w:r>
        <w:rPr>
          <w:rFonts w:ascii="仿宋_GB2312" w:cs="DengXian-Regular" w:eastAsia="仿宋_GB2312" w:hint="eastAsia"/>
          <w:sz w:val="32"/>
          <w:szCs w:val="32"/>
        </w:rPr>
        <w:t>万元，增加</w:t>
      </w:r>
      <w:r>
        <w:rPr>
          <w:rFonts w:ascii="仿宋_GB2312" w:cs="DengXian-Regular" w:eastAsia="仿宋_GB2312"/>
          <w:sz w:val="32"/>
          <w:szCs w:val="32"/>
        </w:rPr>
        <w:t>39.99</w:t>
      </w:r>
      <w:r>
        <w:rPr>
          <w:rFonts w:ascii="仿宋_GB2312" w:cs="DengXian-Regular" w:eastAsia="仿宋_GB2312" w:hint="eastAsia"/>
          <w:sz w:val="32"/>
          <w:szCs w:val="32"/>
        </w:rPr>
        <w:t>万元，增长</w:t>
      </w:r>
      <w:r>
        <w:rPr>
          <w:rFonts w:ascii="仿宋_GB2312" w:cs="DengXian-Regular" w:eastAsia="仿宋_GB2312"/>
          <w:sz w:val="32"/>
          <w:szCs w:val="32"/>
        </w:rPr>
        <w:t>22.2%</w:t>
      </w:r>
      <w:r>
        <w:rPr>
          <w:rFonts w:ascii="仿宋_GB2312" w:cs="DengXian-Regular" w:eastAsia="仿宋_GB2312" w:hint="eastAsia"/>
          <w:sz w:val="32"/>
          <w:szCs w:val="32"/>
        </w:rPr>
        <w:t>，主要原因是人员工资有所增长。</w:t>
      </w:r>
    </w:p>
    <w:p>
      <w:pPr>
        <w:ind w:firstLine="640"/>
        <w:spacing w:after="0" w:line="580" w:lineRule="exact"/>
        <w:rPr>
          <w:bCs/>
          <w:b/>
          <w:rFonts w:ascii="仿宋_GB2312" w:cs="DengXian-Bold" w:eastAsia="仿宋_GB2312"/>
          <w:sz w:val="32"/>
          <w:szCs w:val="32"/>
        </w:rPr>
      </w:pPr>
      <w:r>
        <w:rPr>
          <w:bCs/>
          <w:b/>
          <w:rFonts w:ascii="楷体_GB2312" w:cs="DengXian-Bold" w:eastAsia="楷体_GB2312" w:hint="eastAsia"/>
          <w:sz w:val="32"/>
          <w:szCs w:val="32"/>
        </w:rPr>
        <w:t>（二）财政拨款收支与年初预算数对比情况</w:t>
      </w:r>
    </w:p>
    <w:p>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hint="eastAsia"/>
          <w:sz w:val="32"/>
          <w:szCs w:val="32"/>
        </w:rPr>
        <w:t>本部门</w:t>
      </w:r>
      <w:r>
        <w:rPr>
          <w:rFonts w:ascii="仿宋_GB2312" w:cs="DengXian-Regular" w:eastAsia="仿宋_GB2312"/>
          <w:sz w:val="32"/>
          <w:szCs w:val="32"/>
        </w:rPr>
        <w:t>2018</w:t>
      </w:r>
      <w:r>
        <w:rPr>
          <w:rFonts w:ascii="仿宋_GB2312" w:cs="DengXian-Regular" w:eastAsia="仿宋_GB2312" w:hint="eastAsia"/>
          <w:sz w:val="32"/>
          <w:szCs w:val="32"/>
        </w:rPr>
        <w:t>年度一般公共预算财政拨款收入</w:t>
      </w:r>
      <w:r>
        <w:rPr>
          <w:rFonts w:ascii="仿宋_GB2312" w:cs="DengXian-Regular" w:eastAsia="仿宋_GB2312"/>
          <w:sz w:val="32"/>
          <w:szCs w:val="32"/>
        </w:rPr>
        <w:t>211.28</w:t>
      </w:r>
      <w:r>
        <w:rPr>
          <w:rFonts w:ascii="仿宋_GB2312" w:cs="DengXian-Regular" w:eastAsia="仿宋_GB2312" w:hint="eastAsia"/>
          <w:sz w:val="32"/>
          <w:szCs w:val="32"/>
        </w:rPr>
        <w:t>万元，完成年初预算的</w:t>
      </w:r>
      <w:r>
        <w:rPr>
          <w:rFonts w:ascii="仿宋_GB2312" w:cs="DengXian-Regular" w:eastAsia="仿宋_GB2312"/>
          <w:sz w:val="32"/>
          <w:szCs w:val="32"/>
        </w:rPr>
        <w:t>118.7%,</w:t>
      </w:r>
      <w:r>
        <w:rPr>
          <w:rFonts w:ascii="仿宋_GB2312" w:cs="DengXian-Regular" w:eastAsia="仿宋_GB2312" w:hint="eastAsia"/>
          <w:sz w:val="32"/>
          <w:szCs w:val="32"/>
        </w:rPr>
        <w:t>比年初预算增加</w:t>
      </w:r>
      <w:r>
        <w:rPr>
          <w:rFonts w:ascii="仿宋_GB2312" w:cs="DengXian-Regular" w:eastAsia="仿宋_GB2312"/>
          <w:sz w:val="32"/>
          <w:szCs w:val="32"/>
        </w:rPr>
        <w:t>24.79</w:t>
      </w:r>
      <w:r>
        <w:rPr>
          <w:rFonts w:ascii="仿宋_GB2312" w:cs="DengXian-Regular" w:eastAsia="仿宋_GB2312" w:hint="eastAsia"/>
          <w:sz w:val="32"/>
          <w:szCs w:val="32"/>
        </w:rPr>
        <w:t>万元，决算数大于预算数，主要原因是人员工资有所增长；本年支出</w:t>
      </w:r>
      <w:r>
        <w:rPr>
          <w:rFonts w:ascii="仿宋_GB2312" w:cs="DengXian-Regular" w:eastAsia="仿宋_GB2312"/>
          <w:sz w:val="32"/>
          <w:szCs w:val="32"/>
        </w:rPr>
        <w:t>220.26</w:t>
      </w:r>
      <w:r>
        <w:rPr>
          <w:rFonts w:ascii="仿宋_GB2312" w:cs="DengXian-Regular" w:eastAsia="仿宋_GB2312" w:hint="eastAsia"/>
          <w:sz w:val="32"/>
          <w:szCs w:val="32"/>
        </w:rPr>
        <w:t>万元，完成年初预算的</w:t>
      </w:r>
      <w:r>
        <w:rPr>
          <w:rFonts w:ascii="仿宋_GB2312" w:cs="DengXian-Regular" w:eastAsia="仿宋_GB2312"/>
          <w:sz w:val="32"/>
          <w:szCs w:val="32"/>
        </w:rPr>
        <w:t>118.1%,</w:t>
      </w:r>
      <w:r>
        <w:rPr>
          <w:rFonts w:ascii="仿宋_GB2312" w:cs="DengXian-Regular" w:eastAsia="仿宋_GB2312" w:hint="eastAsia"/>
          <w:sz w:val="32"/>
          <w:szCs w:val="32"/>
        </w:rPr>
        <w:t>比年初预算增加</w:t>
      </w:r>
      <w:r>
        <w:rPr>
          <w:rFonts w:ascii="仿宋_GB2312" w:cs="DengXian-Regular" w:eastAsia="仿宋_GB2312"/>
          <w:sz w:val="32"/>
          <w:szCs w:val="32"/>
        </w:rPr>
        <w:t>33.77</w:t>
      </w:r>
      <w:r>
        <w:rPr>
          <w:rFonts w:ascii="仿宋_GB2312" w:cs="DengXian-Regular" w:eastAsia="仿宋_GB2312" w:hint="eastAsia"/>
          <w:sz w:val="32"/>
          <w:szCs w:val="32"/>
        </w:rPr>
        <w:t>万元，决算数大于预算数，主要原因是人员工资有所增长。</w:t>
      </w:r>
    </w:p>
    <w:p>
      <w:pPr>
        <w:adjustRightInd w:val="0"/>
        <w:snapToGrid w:val="0"/>
        <w:numPr>
          <w:ilvl w:val="0"/>
          <w:numId w:val="1"/>
        </w:numPr>
        <w:ind w:left="420"/>
        <w:spacing w:after="0" w:line="580" w:lineRule="exact"/>
        <w:rPr>
          <w:bCs/>
          <w:b/>
          <w:rFonts w:ascii="楷体_GB2312" w:cs="DengXian-Bold" w:eastAsia="楷体_GB2312"/>
          <w:sz w:val="32"/>
          <w:szCs w:val="32"/>
        </w:rPr>
      </w:pPr>
      <w:r>
        <w:rPr>
          <w:bCs/>
          <w:b/>
          <w:rFonts w:ascii="楷体_GB2312" w:cs="DengXian-Bold" w:eastAsia="楷体_GB2312" w:hint="eastAsia"/>
          <w:sz w:val="32"/>
          <w:szCs w:val="32"/>
        </w:rPr>
        <w:t>财政拨款支出决算结构情况。</w:t>
      </w:r>
    </w:p>
    <w:p>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sz w:val="32"/>
          <w:szCs w:val="32"/>
        </w:rPr>
        <w:t xml:space="preserve">2018 </w:t>
      </w:r>
      <w:r>
        <w:rPr>
          <w:rFonts w:ascii="仿宋_GB2312" w:cs="DengXian-Regular" w:eastAsia="仿宋_GB2312" w:hint="eastAsia"/>
          <w:sz w:val="32"/>
          <w:szCs w:val="32"/>
        </w:rPr>
        <w:t>年度财政拨款支出</w:t>
      </w:r>
      <w:r>
        <w:rPr>
          <w:rFonts w:ascii="仿宋_GB2312" w:cs="DengXian-Regular" w:eastAsia="仿宋_GB2312"/>
          <w:sz w:val="32"/>
          <w:szCs w:val="32"/>
        </w:rPr>
        <w:t>220.26</w:t>
      </w:r>
      <w:r>
        <w:rPr>
          <w:rFonts w:ascii="仿宋_GB2312" w:cs="DengXian-Regular" w:eastAsia="仿宋_GB2312" w:hint="eastAsia"/>
          <w:sz w:val="32"/>
          <w:szCs w:val="32"/>
        </w:rPr>
        <w:t>万元，主要用于以下方面：一般公共服务（类）支出</w:t>
      </w:r>
      <w:r>
        <w:rPr>
          <w:rFonts w:ascii="仿宋_GB2312" w:cs="DengXian-Regular" w:eastAsia="仿宋_GB2312"/>
          <w:sz w:val="32"/>
          <w:szCs w:val="32"/>
        </w:rPr>
        <w:t>0</w:t>
      </w:r>
      <w:r>
        <w:rPr>
          <w:rFonts w:ascii="仿宋_GB2312" w:cs="DengXian-Regular" w:eastAsia="仿宋_GB2312" w:hint="eastAsia"/>
          <w:sz w:val="32"/>
          <w:szCs w:val="32"/>
        </w:rPr>
        <w:t>万元，占</w:t>
      </w:r>
      <w:r>
        <w:rPr>
          <w:rFonts w:ascii="仿宋_GB2312" w:cs="DengXian-Regular" w:eastAsia="仿宋_GB2312"/>
          <w:sz w:val="32"/>
          <w:szCs w:val="32"/>
        </w:rPr>
        <w:t>0%</w:t>
      </w:r>
      <w:r>
        <w:rPr>
          <w:rFonts w:ascii="仿宋_GB2312" w:cs="DengXian-Regular" w:eastAsia="仿宋_GB2312" w:hint="eastAsia"/>
          <w:sz w:val="32"/>
          <w:szCs w:val="32"/>
        </w:rPr>
        <w:t>；公共安全（类）支出</w:t>
      </w:r>
      <w:r>
        <w:rPr>
          <w:rFonts w:ascii="仿宋_GB2312" w:cs="DengXian-Regular" w:eastAsia="仿宋_GB2312"/>
          <w:sz w:val="32"/>
          <w:szCs w:val="32"/>
        </w:rPr>
        <w:t>0</w:t>
      </w:r>
      <w:r>
        <w:rPr>
          <w:rFonts w:ascii="仿宋_GB2312" w:cs="DengXian-Regular" w:eastAsia="仿宋_GB2312" w:hint="eastAsia"/>
          <w:sz w:val="32"/>
          <w:szCs w:val="32"/>
        </w:rPr>
        <w:t>万元，占</w:t>
      </w:r>
      <w:r>
        <w:rPr>
          <w:rFonts w:ascii="仿宋_GB2312" w:cs="DengXian-Regular" w:eastAsia="仿宋_GB2312"/>
          <w:sz w:val="32"/>
          <w:szCs w:val="32"/>
        </w:rPr>
        <w:t>0%</w:t>
      </w:r>
      <w:r>
        <w:rPr>
          <w:rFonts w:ascii="仿宋_GB2312" w:cs="DengXian-Regular" w:eastAsia="仿宋_GB2312" w:hint="eastAsia"/>
          <w:sz w:val="32"/>
          <w:szCs w:val="32"/>
        </w:rPr>
        <w:t>；教育（类）支出</w:t>
      </w:r>
      <w:r>
        <w:rPr>
          <w:rFonts w:ascii="仿宋_GB2312" w:cs="DengXian-Regular" w:eastAsia="仿宋_GB2312"/>
          <w:sz w:val="32"/>
          <w:szCs w:val="32"/>
        </w:rPr>
        <w:t>0</w:t>
      </w:r>
      <w:r>
        <w:rPr>
          <w:rFonts w:ascii="仿宋_GB2312" w:cs="DengXian-Regular" w:eastAsia="仿宋_GB2312" w:hint="eastAsia"/>
          <w:sz w:val="32"/>
          <w:szCs w:val="32"/>
        </w:rPr>
        <w:t>万元，占</w:t>
      </w:r>
      <w:r>
        <w:rPr>
          <w:rFonts w:ascii="仿宋_GB2312" w:cs="DengXian-Regular" w:eastAsia="仿宋_GB2312"/>
          <w:sz w:val="32"/>
          <w:szCs w:val="32"/>
        </w:rPr>
        <w:t>0%</w:t>
      </w:r>
      <w:r>
        <w:rPr>
          <w:rFonts w:ascii="仿宋_GB2312" w:cs="DengXian-Regular" w:eastAsia="仿宋_GB2312" w:hint="eastAsia"/>
          <w:sz w:val="32"/>
          <w:szCs w:val="32"/>
        </w:rPr>
        <w:t>；科学技术（类）支出</w:t>
      </w:r>
      <w:r>
        <w:rPr>
          <w:rFonts w:ascii="仿宋_GB2312" w:cs="DengXian-Regular" w:eastAsia="仿宋_GB2312"/>
          <w:sz w:val="32"/>
          <w:szCs w:val="32"/>
        </w:rPr>
        <w:t>0</w:t>
      </w:r>
      <w:r>
        <w:rPr>
          <w:rFonts w:ascii="仿宋_GB2312" w:cs="DengXian-Regular" w:eastAsia="仿宋_GB2312" w:hint="eastAsia"/>
          <w:sz w:val="32"/>
          <w:szCs w:val="32"/>
        </w:rPr>
        <w:t>万元，占</w:t>
      </w:r>
      <w:r>
        <w:rPr>
          <w:rFonts w:ascii="仿宋_GB2312" w:cs="DengXian-Regular" w:eastAsia="仿宋_GB2312"/>
          <w:sz w:val="32"/>
          <w:szCs w:val="32"/>
        </w:rPr>
        <w:t xml:space="preserve"> 0%</w:t>
      </w:r>
      <w:r>
        <w:rPr>
          <w:rFonts w:ascii="仿宋_GB2312" w:cs="DengXian-Regular" w:eastAsia="仿宋_GB2312" w:hint="eastAsia"/>
          <w:sz w:val="32"/>
          <w:szCs w:val="32"/>
        </w:rPr>
        <w:t>；社会保障和就业（类）支出</w:t>
      </w:r>
      <w:r>
        <w:rPr>
          <w:rFonts w:ascii="仿宋_GB2312" w:cs="DengXian-Regular" w:eastAsia="仿宋_GB2312"/>
          <w:sz w:val="32"/>
          <w:szCs w:val="32"/>
        </w:rPr>
        <w:t xml:space="preserve"> 30.25</w:t>
      </w:r>
      <w:r>
        <w:rPr>
          <w:rFonts w:ascii="仿宋_GB2312" w:cs="DengXian-Regular" w:eastAsia="仿宋_GB2312" w:hint="eastAsia"/>
          <w:sz w:val="32"/>
          <w:szCs w:val="32"/>
        </w:rPr>
        <w:t>万元，占</w:t>
      </w:r>
      <w:r>
        <w:rPr>
          <w:rFonts w:ascii="仿宋_GB2312" w:cs="DengXian-Regular" w:eastAsia="仿宋_GB2312"/>
          <w:sz w:val="32"/>
          <w:szCs w:val="32"/>
        </w:rPr>
        <w:t>13.7%</w:t>
      </w:r>
      <w:r>
        <w:rPr>
          <w:rFonts w:ascii="仿宋_GB2312" w:cs="DengXian-Regular" w:eastAsia="仿宋_GB2312" w:hint="eastAsia"/>
          <w:sz w:val="32"/>
          <w:szCs w:val="32"/>
        </w:rPr>
        <w:t>；住房保障（类）支出</w:t>
      </w:r>
      <w:r>
        <w:rPr>
          <w:rFonts w:ascii="仿宋_GB2312" w:cs="DengXian-Regular" w:eastAsia="仿宋_GB2312"/>
          <w:sz w:val="32"/>
          <w:szCs w:val="32"/>
        </w:rPr>
        <w:t>9.89</w:t>
      </w:r>
      <w:r>
        <w:rPr>
          <w:rFonts w:ascii="仿宋_GB2312" w:cs="DengXian-Regular" w:eastAsia="仿宋_GB2312" w:hint="eastAsia"/>
          <w:sz w:val="32"/>
          <w:szCs w:val="32"/>
        </w:rPr>
        <w:t>万元，占</w:t>
      </w:r>
      <w:r>
        <w:rPr>
          <w:rFonts w:ascii="仿宋_GB2312" w:cs="DengXian-Regular" w:eastAsia="仿宋_GB2312"/>
          <w:sz w:val="32"/>
          <w:szCs w:val="32"/>
        </w:rPr>
        <w:t>4.5%;</w:t>
      </w:r>
      <w:r>
        <w:rPr>
          <w:rFonts w:ascii="仿宋_GB2312" w:cs="DengXian-Regular" w:eastAsia="仿宋_GB2312" w:hint="eastAsia"/>
          <w:sz w:val="32"/>
          <w:szCs w:val="32"/>
        </w:rPr>
        <w:t>医疗卫生与计划生育支出</w:t>
      </w:r>
      <w:r>
        <w:rPr>
          <w:rFonts w:ascii="仿宋_GB2312" w:cs="DengXian-Regular" w:eastAsia="仿宋_GB2312"/>
          <w:sz w:val="32"/>
          <w:szCs w:val="32"/>
        </w:rPr>
        <w:t>5.84</w:t>
      </w:r>
      <w:r>
        <w:rPr>
          <w:rFonts w:ascii="仿宋_GB2312" w:cs="DengXian-Regular" w:eastAsia="仿宋_GB2312" w:hint="eastAsia"/>
          <w:sz w:val="32"/>
          <w:szCs w:val="32"/>
        </w:rPr>
        <w:t>万元，占</w:t>
      </w:r>
      <w:r>
        <w:rPr>
          <w:rFonts w:ascii="仿宋_GB2312" w:cs="DengXian-Regular" w:eastAsia="仿宋_GB2312"/>
          <w:sz w:val="32"/>
          <w:szCs w:val="32"/>
        </w:rPr>
        <w:t>2.7%</w:t>
      </w:r>
      <w:r>
        <w:rPr>
          <w:rFonts w:ascii="仿宋_GB2312" w:cs="DengXian-Regular" w:eastAsia="仿宋_GB2312" w:hint="eastAsia"/>
          <w:sz w:val="32"/>
          <w:szCs w:val="32"/>
        </w:rPr>
        <w:t>；农林水支出</w:t>
      </w:r>
      <w:r>
        <w:rPr>
          <w:rFonts w:ascii="仿宋_GB2312" w:cs="DengXian-Regular" w:eastAsia="仿宋_GB2312"/>
          <w:sz w:val="32"/>
          <w:szCs w:val="32"/>
        </w:rPr>
        <w:t>174.28</w:t>
      </w:r>
      <w:r>
        <w:rPr>
          <w:rFonts w:ascii="仿宋_GB2312" w:cs="DengXian-Regular" w:eastAsia="仿宋_GB2312" w:hint="eastAsia"/>
          <w:sz w:val="32"/>
          <w:szCs w:val="32"/>
        </w:rPr>
        <w:t>万元，占</w:t>
      </w:r>
      <w:r>
        <w:rPr>
          <w:rFonts w:ascii="仿宋_GB2312" w:cs="DengXian-Regular" w:eastAsia="仿宋_GB2312"/>
          <w:sz w:val="32"/>
          <w:szCs w:val="32"/>
        </w:rPr>
        <w:t>79.1%</w:t>
      </w:r>
      <w:r>
        <w:rPr>
          <w:rFonts w:ascii="仿宋_GB2312" w:cs="DengXian-Regular" w:eastAsia="仿宋_GB2312" w:hint="eastAsia"/>
          <w:sz w:val="32"/>
          <w:szCs w:val="32"/>
        </w:rPr>
        <w:t>。</w:t>
      </w:r>
    </w:p>
    <w:p>
      <w:pPr>
        <w:adjustRightInd w:val="0"/>
        <w:snapToGrid w:val="0"/>
        <w:ind w:left="420"/>
        <w:spacing w:after="0" w:line="580" w:lineRule="exact"/>
        <w:rPr>
          <w:bCs/>
          <w:b/>
          <w:rFonts w:ascii="楷体_GB2312" w:cs="DengXian-Bold" w:eastAsia="楷体_GB2312"/>
          <w:sz w:val="32"/>
          <w:szCs w:val="32"/>
        </w:rPr>
      </w:pPr>
      <w:r>
        <w:rPr>
          <w:bCs/>
          <w:b/>
          <w:rFonts w:ascii="楷体_GB2312" w:cs="DengXian-Bold" w:eastAsia="楷体_GB2312" w:hint="eastAsia"/>
          <w:sz w:val="32"/>
          <w:szCs w:val="32"/>
        </w:rPr>
        <w:t>（四）一般公共预算财政拨款基本支出决算情况说明</w:t>
      </w:r>
    </w:p>
    <w:p>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sz w:val="32"/>
          <w:szCs w:val="32"/>
        </w:rPr>
        <w:t xml:space="preserve">2018 </w:t>
      </w:r>
      <w:r>
        <w:rPr>
          <w:rFonts w:ascii="仿宋_GB2312" w:cs="DengXian-Regular" w:eastAsia="仿宋_GB2312" w:hint="eastAsia"/>
          <w:sz w:val="32"/>
          <w:szCs w:val="32"/>
        </w:rPr>
        <w:t>年度一般公共预算财政拨款基本支出</w:t>
      </w:r>
      <w:r>
        <w:rPr>
          <w:rFonts w:ascii="仿宋_GB2312" w:cs="DengXian-Regular" w:eastAsia="仿宋_GB2312"/>
          <w:sz w:val="32"/>
          <w:szCs w:val="32"/>
        </w:rPr>
        <w:t>174.28</w:t>
      </w:r>
      <w:r>
        <w:rPr>
          <w:rFonts w:ascii="仿宋_GB2312" w:cs="DengXian-Regular" w:eastAsia="仿宋_GB2312" w:hint="eastAsia"/>
          <w:sz w:val="32"/>
          <w:szCs w:val="32"/>
        </w:rPr>
        <w:t>万元，其中：人员经费</w:t>
      </w:r>
      <w:r>
        <w:rPr>
          <w:rFonts w:ascii="仿宋_GB2312" w:cs="DengXian-Regular" w:eastAsia="仿宋_GB2312"/>
          <w:sz w:val="32"/>
          <w:szCs w:val="32"/>
        </w:rPr>
        <w:t xml:space="preserve"> 172.14</w:t>
      </w:r>
      <w:r>
        <w:rPr>
          <w:rFonts w:ascii="仿宋_GB2312" w:cs="DengXian-Regular" w:eastAsia="仿宋_GB2312"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ascii="仿宋_GB2312" w:cs="DengXian-Regular" w:eastAsia="仿宋_GB2312"/>
          <w:sz w:val="32"/>
          <w:szCs w:val="32"/>
        </w:rPr>
        <w:t>2.14</w:t>
      </w:r>
      <w:r>
        <w:rPr>
          <w:rFonts w:ascii="仿宋_GB2312" w:cs="DengXian-Regular" w:eastAsia="仿宋_GB2312" w:hint="eastAsia"/>
          <w:sz w:val="32"/>
          <w:szCs w:val="32"/>
        </w:rPr>
        <w:t>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2"/>
        <w:ind w:firstLine="640"/>
        <w:spacing w:before="0" w:after="0" w:line="580" w:lineRule="exact"/>
        <w:rPr>
          <w:bCs w:val="0"/>
          <w:b w:val="0"/>
          <w:rFonts w:ascii="黑体" w:eastAsia="黑体"/>
        </w:rPr>
      </w:pPr>
      <w:r>
        <w:rPr>
          <w:bCs w:val="0"/>
          <w:b w:val="0"/>
          <w:rFonts w:ascii="黑体" w:eastAsia="黑体" w:hint="eastAsia"/>
        </w:rPr>
        <w:t>五、一般公共预算财政拨款“三公”</w:t>
      </w:r>
      <w:r>
        <w:rPr>
          <w:bCs w:val="0"/>
          <w:b w:val="0"/>
          <w:rFonts w:ascii="黑体" w:eastAsia="黑体"/>
        </w:rPr>
        <w:t xml:space="preserve"> </w:t>
      </w:r>
      <w:r>
        <w:rPr>
          <w:bCs w:val="0"/>
          <w:b w:val="0"/>
          <w:rFonts w:ascii="黑体" w:eastAsia="黑体" w:hint="eastAsia"/>
        </w:rPr>
        <w:t>经费支出决算情况说明</w:t>
      </w:r>
    </w:p>
    <w:p>
      <w:pPr>
        <w:adjustRightInd w:val="0"/>
        <w:snapToGrid w:val="0"/>
        <w:ind w:firstLine="640"/>
        <w:spacing w:line="584" w:lineRule="exact"/>
        <w:rPr>
          <w:highlight w:val="yellow"/>
          <w:rFonts w:eastAsia="仿宋_GB2312"/>
          <w:sz w:val="32"/>
          <w:szCs w:val="32"/>
        </w:rPr>
      </w:pPr>
      <w:r>
        <w:rPr>
          <w:rFonts w:eastAsia="仿宋_GB2312" w:hint="eastAsia"/>
          <w:sz w:val="32"/>
          <w:szCs w:val="32"/>
        </w:rPr>
        <w:t>本部门</w:t>
      </w:r>
      <w:r>
        <w:rPr>
          <w:rFonts w:eastAsia="仿宋_GB2312"/>
          <w:sz w:val="32"/>
          <w:szCs w:val="32"/>
        </w:rPr>
        <w:t>2018</w:t>
      </w:r>
      <w:r>
        <w:rPr>
          <w:rFonts w:eastAsia="仿宋_GB2312" w:hint="eastAsia"/>
          <w:sz w:val="32"/>
          <w:szCs w:val="32"/>
        </w:rPr>
        <w:t>年度一般公共预算财政拨款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经费支出共计</w:t>
      </w:r>
      <w:r>
        <w:rPr>
          <w:rFonts w:eastAsia="仿宋_GB2312"/>
          <w:sz w:val="32"/>
          <w:szCs w:val="32"/>
        </w:rPr>
        <w:t>1.04</w:t>
      </w:r>
      <w:r>
        <w:rPr>
          <w:rFonts w:eastAsia="仿宋_GB2312" w:hint="eastAsia"/>
          <w:sz w:val="32"/>
          <w:szCs w:val="32"/>
        </w:rPr>
        <w:t>万元，比年初预算减少</w:t>
      </w:r>
      <w:r>
        <w:rPr>
          <w:rFonts w:eastAsia="仿宋_GB2312"/>
          <w:sz w:val="32"/>
          <w:szCs w:val="32"/>
        </w:rPr>
        <w:t>1.26</w:t>
      </w:r>
      <w:r>
        <w:rPr>
          <w:rFonts w:eastAsia="仿宋_GB2312" w:hint="eastAsia"/>
          <w:sz w:val="32"/>
          <w:szCs w:val="32"/>
        </w:rPr>
        <w:t>万元，降低</w:t>
      </w:r>
      <w:r>
        <w:rPr>
          <w:rFonts w:eastAsia="仿宋_GB2312"/>
          <w:sz w:val="32"/>
          <w:szCs w:val="32"/>
        </w:rPr>
        <w:t>45.2%</w:t>
      </w:r>
      <w:r>
        <w:rPr>
          <w:rFonts w:eastAsia="仿宋_GB2312" w:hint="eastAsia"/>
          <w:sz w:val="32"/>
          <w:szCs w:val="32"/>
        </w:rPr>
        <w:t>，主要</w:t>
      </w:r>
      <w:r>
        <w:rPr>
          <w:rFonts w:ascii="仿宋_GB2312" w:cs="DengXian-Regular" w:eastAsia="仿宋_GB2312" w:hint="eastAsia"/>
          <w:sz w:val="32"/>
          <w:szCs w:val="32"/>
        </w:rPr>
        <w:t>原因</w:t>
      </w:r>
      <w:r>
        <w:rPr>
          <w:rFonts w:eastAsia="仿宋_GB2312" w:hint="eastAsia"/>
          <w:sz w:val="32"/>
          <w:szCs w:val="32"/>
        </w:rPr>
        <w:t>是</w:t>
      </w:r>
      <w:r>
        <w:rPr>
          <w:kern w:val="0"/>
          <w:color w:val="000000"/>
          <w:rFonts w:eastAsia="仿宋_GB2312" w:hint="eastAsia"/>
          <w:sz w:val="32"/>
          <w:szCs w:val="32"/>
        </w:rPr>
        <w:t>认真落实中央</w:t>
      </w:r>
      <w:r>
        <w:rPr>
          <w:kern w:val="0"/>
          <w:color w:val="000000"/>
          <w:rFonts w:eastAsia="仿宋_GB2312" w:hint="eastAsia"/>
          <w:sz w:val="32"/>
          <w:szCs w:val="32"/>
        </w:rPr>
        <w:t>八项规定</w:t>
      </w:r>
      <w:r>
        <w:rPr>
          <w:kern w:val="0"/>
          <w:color w:val="000000"/>
          <w:rFonts w:eastAsia="仿宋_GB2312" w:hint="eastAsia"/>
          <w:sz w:val="32"/>
          <w:szCs w:val="32"/>
        </w:rPr>
        <w:t>精神和厉行节约要求，管理制度不断完善，</w:t>
      </w:r>
      <w:r>
        <w:rPr>
          <w:kern w:val="0"/>
          <w:color w:val="000000"/>
          <w:rFonts w:eastAsia="仿宋_GB2312"/>
          <w:sz w:val="32"/>
          <w:szCs w:val="32"/>
        </w:rPr>
        <w:t>“</w:t>
      </w:r>
      <w:r>
        <w:rPr>
          <w:kern w:val="0"/>
          <w:color w:val="000000"/>
          <w:rFonts w:eastAsia="仿宋_GB2312" w:hint="eastAsia"/>
          <w:sz w:val="32"/>
          <w:szCs w:val="32"/>
        </w:rPr>
        <w:t>三公</w:t>
      </w:r>
      <w:r>
        <w:rPr>
          <w:kern w:val="0"/>
          <w:color w:val="000000"/>
          <w:rFonts w:eastAsia="仿宋_GB2312"/>
          <w:sz w:val="32"/>
          <w:szCs w:val="32"/>
        </w:rPr>
        <w:t>”</w:t>
      </w:r>
      <w:r>
        <w:rPr>
          <w:kern w:val="0"/>
          <w:color w:val="000000"/>
          <w:rFonts w:eastAsia="仿宋_GB2312" w:hint="eastAsia"/>
          <w:sz w:val="32"/>
          <w:szCs w:val="32"/>
        </w:rPr>
        <w:t>经费支出得到了有效控制</w:t>
      </w:r>
      <w:r>
        <w:rPr>
          <w:rFonts w:eastAsia="仿宋_GB2312" w:hint="eastAsia"/>
          <w:sz w:val="32"/>
          <w:szCs w:val="32"/>
        </w:rPr>
        <w:t>；比</w:t>
      </w:r>
      <w:r>
        <w:rPr>
          <w:rFonts w:eastAsia="仿宋_GB2312"/>
          <w:sz w:val="32"/>
          <w:szCs w:val="32"/>
        </w:rPr>
        <w:t>2017</w:t>
      </w:r>
      <w:r>
        <w:rPr>
          <w:rFonts w:eastAsia="仿宋_GB2312" w:hint="eastAsia"/>
          <w:sz w:val="32"/>
          <w:szCs w:val="32"/>
        </w:rPr>
        <w:t>年度决算减少</w:t>
      </w:r>
      <w:r>
        <w:rPr>
          <w:rFonts w:eastAsia="仿宋_GB2312"/>
          <w:sz w:val="32"/>
          <w:szCs w:val="32"/>
        </w:rPr>
        <w:t>0.77</w:t>
      </w:r>
      <w:r>
        <w:rPr>
          <w:rFonts w:eastAsia="仿宋_GB2312" w:hint="eastAsia"/>
          <w:sz w:val="32"/>
          <w:szCs w:val="32"/>
        </w:rPr>
        <w:t>万元，降低</w:t>
      </w:r>
      <w:r>
        <w:rPr>
          <w:rFonts w:eastAsia="仿宋_GB2312"/>
          <w:sz w:val="32"/>
          <w:szCs w:val="32"/>
        </w:rPr>
        <w:t>42.5%</w:t>
      </w:r>
      <w:r>
        <w:rPr>
          <w:rFonts w:eastAsia="仿宋_GB2312" w:hint="eastAsia"/>
          <w:sz w:val="32"/>
          <w:szCs w:val="32"/>
        </w:rPr>
        <w:t>，主要</w:t>
      </w:r>
      <w:r>
        <w:rPr>
          <w:rFonts w:ascii="仿宋_GB2312" w:cs="DengXian-Regular" w:eastAsia="仿宋_GB2312" w:hint="eastAsia"/>
          <w:sz w:val="32"/>
          <w:szCs w:val="32"/>
        </w:rPr>
        <w:t>原因</w:t>
      </w:r>
      <w:r>
        <w:rPr>
          <w:rFonts w:eastAsia="仿宋_GB2312" w:hint="eastAsia"/>
          <w:sz w:val="32"/>
          <w:szCs w:val="32"/>
        </w:rPr>
        <w:t>是</w:t>
      </w:r>
      <w:r>
        <w:rPr>
          <w:kern w:val="0"/>
          <w:color w:val="000000"/>
          <w:rFonts w:eastAsia="仿宋_GB2312" w:hint="eastAsia"/>
          <w:sz w:val="32"/>
          <w:szCs w:val="32"/>
        </w:rPr>
        <w:t>认真落实中央</w:t>
      </w:r>
      <w:r>
        <w:rPr>
          <w:kern w:val="0"/>
          <w:color w:val="000000"/>
          <w:rFonts w:eastAsia="仿宋_GB2312" w:hint="eastAsia"/>
          <w:sz w:val="32"/>
          <w:szCs w:val="32"/>
        </w:rPr>
        <w:t>八项规定</w:t>
      </w:r>
      <w:r>
        <w:rPr>
          <w:kern w:val="0"/>
          <w:color w:val="000000"/>
          <w:rFonts w:eastAsia="仿宋_GB2312" w:hint="eastAsia"/>
          <w:sz w:val="32"/>
          <w:szCs w:val="32"/>
        </w:rPr>
        <w:t>精神和厉行节约要求，管理制度不断完善</w:t>
      </w:r>
      <w:r>
        <w:rPr>
          <w:rFonts w:eastAsia="仿宋_GB2312" w:hint="eastAsia"/>
          <w:sz w:val="32"/>
          <w:szCs w:val="32"/>
        </w:rPr>
        <w:t>。具体情况如下：</w:t>
      </w:r>
    </w:p>
    <w:p>
      <w:pPr>
        <w:adjustRightInd w:val="0"/>
        <w:snapToGrid w:val="0"/>
        <w:ind w:firstLine="640"/>
        <w:spacing w:line="584" w:lineRule="exact"/>
        <w:rPr>
          <w:highlight w:val="yellow"/>
          <w:rFonts w:eastAsia="仿宋_GB2312"/>
          <w:sz w:val="32"/>
          <w:szCs w:val="32"/>
        </w:rPr>
      </w:pPr>
      <w:r>
        <w:rPr>
          <w:bCs/>
          <w:b/>
          <w:rFonts w:eastAsia="楷体_GB2312" w:hint="eastAsia"/>
          <w:sz w:val="32"/>
          <w:szCs w:val="32"/>
        </w:rPr>
        <w:t>（一）因公出国（境）费支出</w:t>
      </w:r>
      <w:r>
        <w:rPr>
          <w:bCs/>
          <w:b/>
          <w:rFonts w:eastAsia="楷体_GB2312"/>
          <w:sz w:val="32"/>
          <w:szCs w:val="32"/>
        </w:rPr>
        <w:t>0</w:t>
      </w:r>
      <w:r>
        <w:rPr>
          <w:bCs/>
          <w:b/>
          <w:rFonts w:eastAsia="楷体_GB2312" w:hint="eastAsia"/>
          <w:sz w:val="32"/>
          <w:szCs w:val="32"/>
        </w:rPr>
        <w:t>万元。</w:t>
      </w:r>
      <w:r>
        <w:rPr>
          <w:rFonts w:eastAsia="仿宋_GB2312"/>
          <w:sz w:val="32"/>
          <w:szCs w:val="32"/>
        </w:rPr>
        <w:t>本部门201</w:t>
      </w:r>
      <w:r>
        <w:rPr>
          <w:rFonts w:eastAsia="仿宋_GB2312" w:hint="eastAsia"/>
          <w:sz w:val="32"/>
          <w:szCs w:val="32"/>
        </w:rPr>
        <w:t>8</w:t>
      </w:r>
      <w:r>
        <w:rPr>
          <w:rFonts w:eastAsia="仿宋_GB2312"/>
          <w:sz w:val="32"/>
          <w:szCs w:val="32"/>
        </w:rPr>
        <w:t>年度</w:t>
      </w:r>
      <w:r>
        <w:rPr>
          <w:rFonts w:ascii="仿宋_GB2312" w:cs="DengXian-Regular" w:eastAsia="仿宋_GB2312" w:hint="eastAsia"/>
          <w:sz w:val="32"/>
          <w:szCs w:val="32"/>
        </w:rPr>
        <w:t>因公出国（境）团组</w:t>
      </w:r>
      <w:r>
        <w:rPr>
          <w:rFonts w:ascii="仿宋_GB2312" w:cs="DengXian-Regular" w:eastAsia="仿宋_GB2312"/>
          <w:sz w:val="32"/>
          <w:szCs w:val="32"/>
        </w:rPr>
        <w:t>0</w:t>
      </w:r>
      <w:r>
        <w:rPr>
          <w:rFonts w:ascii="仿宋_GB2312" w:cs="DengXian-Regular" w:eastAsia="仿宋_GB2312" w:hint="eastAsia"/>
          <w:sz w:val="32"/>
          <w:szCs w:val="32"/>
        </w:rPr>
        <w:t>个、共</w:t>
      </w:r>
      <w:r>
        <w:rPr>
          <w:rFonts w:ascii="仿宋_GB2312" w:cs="DengXian-Regular" w:eastAsia="仿宋_GB2312"/>
          <w:sz w:val="32"/>
          <w:szCs w:val="32"/>
        </w:rPr>
        <w:t>0</w:t>
      </w:r>
      <w:r>
        <w:rPr>
          <w:rFonts w:ascii="仿宋_GB2312" w:cs="DengXian-Regular" w:eastAsia="仿宋_GB2312" w:hint="eastAsia"/>
          <w:sz w:val="32"/>
          <w:szCs w:val="32"/>
        </w:rPr>
        <w:t>人参加其他单位组织的因公出国（境）团组</w:t>
      </w:r>
      <w:r>
        <w:rPr>
          <w:rFonts w:ascii="仿宋_GB2312" w:cs="DengXian-Regular" w:eastAsia="仿宋_GB2312"/>
          <w:sz w:val="32"/>
          <w:szCs w:val="32"/>
        </w:rPr>
        <w:t>0</w:t>
      </w:r>
      <w:r>
        <w:rPr>
          <w:rFonts w:ascii="仿宋_GB2312" w:cs="DengXian-Regular" w:eastAsia="仿宋_GB2312" w:hint="eastAsia"/>
          <w:sz w:val="32"/>
          <w:szCs w:val="32"/>
        </w:rPr>
        <w:t>个。</w:t>
      </w:r>
      <w:r>
        <w:rPr>
          <w:rFonts w:eastAsia="仿宋_GB2312"/>
          <w:sz w:val="32"/>
          <w:szCs w:val="32"/>
        </w:rPr>
        <w:t>因公出国（境）费支出</w:t>
      </w:r>
      <w:r>
        <w:rPr>
          <w:rFonts w:eastAsia="仿宋_GB2312" w:hint="eastAsia"/>
          <w:sz w:val="32"/>
          <w:szCs w:val="32"/>
        </w:rPr>
        <w:t>比</w:t>
      </w:r>
      <w:r>
        <w:rPr>
          <w:rFonts w:eastAsia="仿宋_GB2312"/>
          <w:sz w:val="32"/>
          <w:szCs w:val="32"/>
        </w:rPr>
        <w:t>年初预算增加0万元，增长0.0%，主要是无此类支出；</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年度决算增加0万元，增长0.0%，主要是无此类支出</w:t>
      </w:r>
      <w:r>
        <w:rPr>
          <w:rFonts w:eastAsia="仿宋_GB2312" w:hint="eastAsia"/>
          <w:sz w:val="32"/>
          <w:szCs w:val="32"/>
        </w:rPr>
        <w:t>。</w:t>
      </w:r>
    </w:p>
    <w:p>
      <w:pPr>
        <w:adjustRightInd w:val="0"/>
        <w:snapToGrid w:val="0"/>
        <w:ind w:firstLine="640"/>
        <w:spacing w:line="584" w:lineRule="exact"/>
        <w:rPr>
          <w:bCs/>
          <w:b/>
          <w:rFonts w:eastAsia="仿宋_GB2312"/>
          <w:sz w:val="32"/>
          <w:szCs w:val="32"/>
        </w:rPr>
      </w:pPr>
      <w:r>
        <w:rPr>
          <w:bCs/>
          <w:b/>
          <w:rFonts w:eastAsia="楷体_GB2312" w:hint="eastAsia"/>
          <w:sz w:val="32"/>
          <w:szCs w:val="32"/>
        </w:rPr>
        <w:t>（二）公务用车购置及运行维护费支出</w:t>
      </w:r>
      <w:r>
        <w:rPr>
          <w:bCs/>
          <w:b/>
          <w:rFonts w:eastAsia="楷体_GB2312"/>
          <w:sz w:val="32"/>
          <w:szCs w:val="32"/>
        </w:rPr>
        <w:t>1.04</w:t>
      </w:r>
      <w:r>
        <w:rPr>
          <w:bCs/>
          <w:b/>
          <w:rFonts w:eastAsia="楷体_GB2312" w:hint="eastAsia"/>
          <w:sz w:val="32"/>
          <w:szCs w:val="32"/>
        </w:rPr>
        <w:t>万元。</w:t>
      </w:r>
      <w:r>
        <w:rPr>
          <w:rFonts w:ascii="仿宋_GB2312" w:cs="DengXian-Regular" w:eastAsia="仿宋_GB2312" w:hint="eastAsia"/>
          <w:sz w:val="32"/>
          <w:szCs w:val="32"/>
        </w:rPr>
        <w:t>本部门</w:t>
      </w:r>
      <w:r>
        <w:rPr>
          <w:rFonts w:ascii="仿宋_GB2312" w:cs="DengXian-Regular" w:eastAsia="仿宋_GB2312"/>
          <w:sz w:val="32"/>
          <w:szCs w:val="32"/>
        </w:rPr>
        <w:t>2018</w:t>
      </w:r>
      <w:r>
        <w:rPr>
          <w:rFonts w:ascii="仿宋_GB2312" w:cs="DengXian-Regular" w:eastAsia="仿宋_GB2312" w:hint="eastAsia"/>
          <w:sz w:val="32"/>
          <w:szCs w:val="32"/>
        </w:rPr>
        <w:t>年度公务用车购置及运行维护费比年初预算</w:t>
      </w:r>
      <w:r>
        <w:rPr>
          <w:rFonts w:eastAsia="仿宋_GB2312" w:hint="eastAsia"/>
          <w:sz w:val="32"/>
          <w:szCs w:val="32"/>
        </w:rPr>
        <w:t>减少</w:t>
      </w:r>
      <w:r>
        <w:rPr>
          <w:rFonts w:eastAsia="仿宋_GB2312"/>
          <w:sz w:val="32"/>
          <w:szCs w:val="32"/>
        </w:rPr>
        <w:t>1.26</w:t>
      </w:r>
      <w:r>
        <w:rPr>
          <w:rFonts w:eastAsia="仿宋_GB2312" w:hint="eastAsia"/>
          <w:sz w:val="32"/>
          <w:szCs w:val="32"/>
        </w:rPr>
        <w:t>万元</w:t>
      </w:r>
      <w:r>
        <w:rPr>
          <w:rFonts w:ascii="仿宋_GB2312" w:cs="DengXian-Regular" w:eastAsia="仿宋_GB2312" w:hint="eastAsia"/>
          <w:sz w:val="32"/>
          <w:szCs w:val="32"/>
        </w:rPr>
        <w:t>，</w:t>
      </w:r>
      <w:r>
        <w:rPr>
          <w:rFonts w:eastAsia="仿宋_GB2312" w:hint="eastAsia"/>
          <w:sz w:val="32"/>
          <w:szCs w:val="32"/>
        </w:rPr>
        <w:t>降低</w:t>
      </w:r>
      <w:r>
        <w:rPr>
          <w:rFonts w:eastAsia="仿宋_GB2312"/>
          <w:sz w:val="32"/>
          <w:szCs w:val="32"/>
        </w:rPr>
        <w:t>45.2%</w:t>
      </w:r>
      <w:r>
        <w:rPr>
          <w:rFonts w:ascii="仿宋_GB2312" w:cs="DengXian-Regular" w:eastAsia="仿宋_GB2312"/>
          <w:sz w:val="32"/>
          <w:szCs w:val="32"/>
        </w:rPr>
        <w:t>,</w:t>
      </w:r>
      <w:r>
        <w:rPr>
          <w:rFonts w:ascii="仿宋_GB2312" w:cs="DengXian-Regular" w:eastAsia="仿宋_GB2312" w:hint="eastAsia"/>
          <w:sz w:val="32"/>
          <w:szCs w:val="32"/>
        </w:rPr>
        <w:t>主要原因是</w:t>
      </w:r>
      <w:r>
        <w:rPr>
          <w:kern w:val="0"/>
          <w:color w:val="000000"/>
          <w:rFonts w:eastAsia="仿宋_GB2312" w:hint="eastAsia"/>
          <w:sz w:val="32"/>
          <w:szCs w:val="32"/>
        </w:rPr>
        <w:t>认真落实中央</w:t>
      </w:r>
      <w:r>
        <w:rPr>
          <w:kern w:val="0"/>
          <w:color w:val="000000"/>
          <w:rFonts w:eastAsia="仿宋_GB2312" w:hint="eastAsia"/>
          <w:sz w:val="32"/>
          <w:szCs w:val="32"/>
        </w:rPr>
        <w:t>八项规定</w:t>
      </w:r>
      <w:r>
        <w:rPr>
          <w:kern w:val="0"/>
          <w:color w:val="000000"/>
          <w:rFonts w:eastAsia="仿宋_GB2312" w:hint="eastAsia"/>
          <w:sz w:val="32"/>
          <w:szCs w:val="32"/>
        </w:rPr>
        <w:t>精神和厉行节约要求，管理制度不断完善，</w:t>
      </w:r>
      <w:r>
        <w:rPr>
          <w:kern w:val="0"/>
          <w:color w:val="000000"/>
          <w:rFonts w:eastAsia="仿宋_GB2312"/>
          <w:sz w:val="32"/>
          <w:szCs w:val="32"/>
        </w:rPr>
        <w:t>“</w:t>
      </w:r>
      <w:r>
        <w:rPr>
          <w:kern w:val="0"/>
          <w:color w:val="000000"/>
          <w:rFonts w:eastAsia="仿宋_GB2312" w:hint="eastAsia"/>
          <w:sz w:val="32"/>
          <w:szCs w:val="32"/>
        </w:rPr>
        <w:t>三公</w:t>
      </w:r>
      <w:r>
        <w:rPr>
          <w:kern w:val="0"/>
          <w:color w:val="000000"/>
          <w:rFonts w:eastAsia="仿宋_GB2312"/>
          <w:sz w:val="32"/>
          <w:szCs w:val="32"/>
        </w:rPr>
        <w:t>”</w:t>
      </w:r>
      <w:r>
        <w:rPr>
          <w:kern w:val="0"/>
          <w:color w:val="000000"/>
          <w:rFonts w:eastAsia="仿宋_GB2312" w:hint="eastAsia"/>
          <w:sz w:val="32"/>
          <w:szCs w:val="32"/>
        </w:rPr>
        <w:t>经费支出得到了有效控制</w:t>
      </w:r>
      <w:r>
        <w:rPr>
          <w:rFonts w:eastAsia="仿宋_GB2312" w:hint="eastAsia"/>
          <w:sz w:val="32"/>
          <w:szCs w:val="32"/>
        </w:rPr>
        <w:t>；比</w:t>
      </w:r>
      <w:r>
        <w:rPr>
          <w:rFonts w:eastAsia="仿宋_GB2312"/>
          <w:sz w:val="32"/>
          <w:szCs w:val="32"/>
        </w:rPr>
        <w:t>2017</w:t>
      </w:r>
      <w:r>
        <w:rPr>
          <w:rFonts w:eastAsia="仿宋_GB2312" w:hint="eastAsia"/>
          <w:sz w:val="32"/>
          <w:szCs w:val="32"/>
        </w:rPr>
        <w:t>年度决算减少</w:t>
      </w:r>
      <w:r>
        <w:rPr>
          <w:rFonts w:eastAsia="仿宋_GB2312"/>
          <w:sz w:val="32"/>
          <w:szCs w:val="32"/>
        </w:rPr>
        <w:t>0.77</w:t>
      </w:r>
      <w:r>
        <w:rPr>
          <w:rFonts w:eastAsia="仿宋_GB2312" w:hint="eastAsia"/>
          <w:sz w:val="32"/>
          <w:szCs w:val="32"/>
        </w:rPr>
        <w:t>万元，降低</w:t>
      </w:r>
      <w:r>
        <w:rPr>
          <w:rFonts w:eastAsia="仿宋_GB2312"/>
          <w:sz w:val="32"/>
          <w:szCs w:val="32"/>
        </w:rPr>
        <w:t>42.5%</w:t>
      </w:r>
      <w:r>
        <w:rPr>
          <w:rFonts w:eastAsia="仿宋_GB2312" w:hint="eastAsia"/>
          <w:sz w:val="32"/>
          <w:szCs w:val="32"/>
        </w:rPr>
        <w:t>，主要</w:t>
      </w:r>
      <w:r>
        <w:rPr>
          <w:rFonts w:ascii="仿宋_GB2312" w:cs="DengXian-Regular" w:eastAsia="仿宋_GB2312" w:hint="eastAsia"/>
          <w:sz w:val="32"/>
          <w:szCs w:val="32"/>
        </w:rPr>
        <w:t>原因</w:t>
      </w:r>
      <w:r>
        <w:rPr>
          <w:rFonts w:eastAsia="仿宋_GB2312" w:hint="eastAsia"/>
          <w:sz w:val="32"/>
          <w:szCs w:val="32"/>
        </w:rPr>
        <w:t>是</w:t>
      </w:r>
      <w:r>
        <w:rPr>
          <w:kern w:val="0"/>
          <w:color w:val="000000"/>
          <w:rFonts w:eastAsia="仿宋_GB2312" w:hint="eastAsia"/>
          <w:sz w:val="32"/>
          <w:szCs w:val="32"/>
        </w:rPr>
        <w:t>认真落实中央</w:t>
      </w:r>
      <w:r>
        <w:rPr>
          <w:kern w:val="0"/>
          <w:color w:val="000000"/>
          <w:rFonts w:eastAsia="仿宋_GB2312" w:hint="eastAsia"/>
          <w:sz w:val="32"/>
          <w:szCs w:val="32"/>
        </w:rPr>
        <w:t>八项规定</w:t>
      </w:r>
      <w:r>
        <w:rPr>
          <w:kern w:val="0"/>
          <w:color w:val="000000"/>
          <w:rFonts w:eastAsia="仿宋_GB2312" w:hint="eastAsia"/>
          <w:sz w:val="32"/>
          <w:szCs w:val="32"/>
        </w:rPr>
        <w:t>精神和厉行节约要求，管理制度不断完善</w:t>
      </w:r>
      <w:r>
        <w:rPr>
          <w:rFonts w:eastAsia="仿宋_GB2312" w:hint="eastAsia"/>
          <w:sz w:val="32"/>
          <w:szCs w:val="32"/>
        </w:rPr>
        <w:t>。</w:t>
      </w:r>
      <w:r>
        <w:rPr>
          <w:bCs/>
          <w:b/>
          <w:rFonts w:eastAsia="仿宋_GB2312" w:hint="eastAsia"/>
          <w:sz w:val="32"/>
          <w:szCs w:val="32"/>
        </w:rPr>
        <w:t>其中：</w:t>
      </w:r>
    </w:p>
    <w:p>
      <w:pPr>
        <w:adjustRightInd w:val="0"/>
        <w:snapToGrid w:val="0"/>
        <w:ind w:firstLine="640"/>
        <w:spacing w:line="584" w:lineRule="exact"/>
        <w:rPr>
          <w:highlight w:val="yellow"/>
          <w:rFonts w:eastAsia="仿宋_GB2312"/>
          <w:sz w:val="32"/>
          <w:szCs w:val="32"/>
        </w:rPr>
      </w:pPr>
      <w:r>
        <w:rPr>
          <w:b/>
          <w:rFonts w:eastAsia="仿宋_GB2312" w:hint="eastAsia"/>
          <w:sz w:val="32"/>
          <w:szCs w:val="32"/>
        </w:rPr>
        <w:t>公务用车购置费支出</w:t>
      </w:r>
      <w:r>
        <w:rPr>
          <w:b/>
          <w:rFonts w:eastAsia="仿宋_GB2312"/>
          <w:sz w:val="32"/>
          <w:szCs w:val="32"/>
        </w:rPr>
        <w:t>0</w:t>
      </w:r>
      <w:r>
        <w:rPr>
          <w:b/>
          <w:rFonts w:eastAsia="仿宋_GB2312" w:hint="eastAsia"/>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年度未发生公务用车购置经费支出。较年初预算无增减变化；较</w:t>
      </w:r>
      <w:r>
        <w:rPr>
          <w:rFonts w:eastAsia="仿宋_GB2312"/>
          <w:sz w:val="32"/>
          <w:szCs w:val="32"/>
        </w:rPr>
        <w:t>2017</w:t>
      </w:r>
      <w:r>
        <w:rPr>
          <w:rFonts w:eastAsia="仿宋_GB2312" w:hint="eastAsia"/>
          <w:sz w:val="32"/>
          <w:szCs w:val="32"/>
        </w:rPr>
        <w:t>年度决算无增减变化。</w:t>
      </w:r>
    </w:p>
    <w:p>
      <w:pPr>
        <w:adjustRightInd w:val="0"/>
        <w:snapToGrid w:val="0"/>
        <w:ind w:firstLine="640"/>
        <w:spacing w:line="584" w:lineRule="exact"/>
        <w:rPr>
          <w:highlight w:val="yellow"/>
          <w:rFonts w:eastAsia="仿宋_GB2312"/>
          <w:sz w:val="32"/>
          <w:szCs w:val="32"/>
        </w:rPr>
      </w:pPr>
      <w:r>
        <w:rPr>
          <w:b/>
          <w:rFonts w:eastAsia="仿宋_GB2312" w:hint="eastAsia"/>
          <w:sz w:val="32"/>
          <w:szCs w:val="32"/>
        </w:rPr>
        <w:t>公务用车运行维护费支出</w:t>
      </w:r>
      <w:r>
        <w:rPr>
          <w:b/>
          <w:rFonts w:eastAsia="仿宋_GB2312"/>
          <w:sz w:val="32"/>
          <w:szCs w:val="32"/>
        </w:rPr>
        <w:t>1.04</w:t>
      </w:r>
      <w:r>
        <w:rPr>
          <w:b/>
          <w:rFonts w:eastAsia="仿宋_GB2312" w:hint="eastAsia"/>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年末单位公务用车保有量</w:t>
      </w:r>
      <w:r>
        <w:rPr>
          <w:rFonts w:eastAsia="仿宋_GB2312"/>
          <w:sz w:val="32"/>
          <w:szCs w:val="32"/>
        </w:rPr>
        <w:t>1</w:t>
      </w:r>
      <w:r>
        <w:rPr>
          <w:rFonts w:eastAsia="仿宋_GB2312" w:hint="eastAsia"/>
          <w:sz w:val="32"/>
          <w:szCs w:val="32"/>
        </w:rPr>
        <w:t>辆。公车运行维护费支出比年初预算减少</w:t>
      </w:r>
      <w:r>
        <w:rPr>
          <w:rFonts w:eastAsia="仿宋_GB2312"/>
          <w:sz w:val="32"/>
          <w:szCs w:val="32"/>
        </w:rPr>
        <w:t>1.26</w:t>
      </w:r>
      <w:r>
        <w:rPr>
          <w:rFonts w:eastAsia="仿宋_GB2312" w:hint="eastAsia"/>
          <w:sz w:val="32"/>
          <w:szCs w:val="32"/>
        </w:rPr>
        <w:t>万元，降低</w:t>
      </w:r>
      <w:r>
        <w:rPr>
          <w:rFonts w:eastAsia="仿宋_GB2312"/>
          <w:sz w:val="32"/>
          <w:szCs w:val="32"/>
        </w:rPr>
        <w:t>45.2%</w:t>
      </w:r>
      <w:r>
        <w:rPr>
          <w:rFonts w:eastAsia="仿宋_GB2312" w:hint="eastAsia"/>
          <w:sz w:val="32"/>
          <w:szCs w:val="32"/>
        </w:rPr>
        <w:t>，主要</w:t>
      </w:r>
      <w:r>
        <w:rPr>
          <w:rFonts w:ascii="仿宋_GB2312" w:cs="DengXian-Regular" w:eastAsia="仿宋_GB2312" w:hint="eastAsia"/>
          <w:sz w:val="32"/>
          <w:szCs w:val="32"/>
        </w:rPr>
        <w:t>原因</w:t>
      </w:r>
      <w:r>
        <w:rPr>
          <w:rFonts w:eastAsia="仿宋_GB2312" w:hint="eastAsia"/>
          <w:sz w:val="32"/>
          <w:szCs w:val="32"/>
        </w:rPr>
        <w:t>是</w:t>
      </w:r>
      <w:r>
        <w:rPr>
          <w:kern w:val="0"/>
          <w:color w:val="000000"/>
          <w:rFonts w:eastAsia="仿宋_GB2312" w:hint="eastAsia"/>
          <w:sz w:val="32"/>
          <w:szCs w:val="32"/>
        </w:rPr>
        <w:t>认真落实中央</w:t>
      </w:r>
      <w:r>
        <w:rPr>
          <w:kern w:val="0"/>
          <w:color w:val="000000"/>
          <w:rFonts w:eastAsia="仿宋_GB2312" w:hint="eastAsia"/>
          <w:sz w:val="32"/>
          <w:szCs w:val="32"/>
        </w:rPr>
        <w:t>八项规定</w:t>
      </w:r>
      <w:r>
        <w:rPr>
          <w:kern w:val="0"/>
          <w:color w:val="000000"/>
          <w:rFonts w:eastAsia="仿宋_GB2312" w:hint="eastAsia"/>
          <w:sz w:val="32"/>
          <w:szCs w:val="32"/>
        </w:rPr>
        <w:t>精神和厉行节约要求，管理制度不断完善，</w:t>
      </w:r>
      <w:r>
        <w:rPr>
          <w:kern w:val="0"/>
          <w:color w:val="000000"/>
          <w:rFonts w:eastAsia="仿宋_GB2312"/>
          <w:sz w:val="32"/>
          <w:szCs w:val="32"/>
        </w:rPr>
        <w:t>“</w:t>
      </w:r>
      <w:r>
        <w:rPr>
          <w:kern w:val="0"/>
          <w:color w:val="000000"/>
          <w:rFonts w:eastAsia="仿宋_GB2312" w:hint="eastAsia"/>
          <w:sz w:val="32"/>
          <w:szCs w:val="32"/>
        </w:rPr>
        <w:t>三公</w:t>
      </w:r>
      <w:r>
        <w:rPr>
          <w:kern w:val="0"/>
          <w:color w:val="000000"/>
          <w:rFonts w:eastAsia="仿宋_GB2312"/>
          <w:sz w:val="32"/>
          <w:szCs w:val="32"/>
        </w:rPr>
        <w:t>”</w:t>
      </w:r>
      <w:r>
        <w:rPr>
          <w:kern w:val="0"/>
          <w:color w:val="000000"/>
          <w:rFonts w:eastAsia="仿宋_GB2312" w:hint="eastAsia"/>
          <w:sz w:val="32"/>
          <w:szCs w:val="32"/>
        </w:rPr>
        <w:t>经费支出得到了有效控制</w:t>
      </w:r>
      <w:r>
        <w:rPr>
          <w:rFonts w:eastAsia="仿宋_GB2312" w:hint="eastAsia"/>
          <w:sz w:val="32"/>
          <w:szCs w:val="32"/>
        </w:rPr>
        <w:t>；比</w:t>
      </w:r>
      <w:r>
        <w:rPr>
          <w:rFonts w:eastAsia="仿宋_GB2312"/>
          <w:sz w:val="32"/>
          <w:szCs w:val="32"/>
        </w:rPr>
        <w:t>2017</w:t>
      </w:r>
      <w:r>
        <w:rPr>
          <w:rFonts w:eastAsia="仿宋_GB2312" w:hint="eastAsia"/>
          <w:sz w:val="32"/>
          <w:szCs w:val="32"/>
        </w:rPr>
        <w:t>年度决算减少</w:t>
      </w:r>
      <w:r>
        <w:rPr>
          <w:rFonts w:eastAsia="仿宋_GB2312"/>
          <w:sz w:val="32"/>
          <w:szCs w:val="32"/>
        </w:rPr>
        <w:t>0.77</w:t>
      </w:r>
      <w:r>
        <w:rPr>
          <w:rFonts w:eastAsia="仿宋_GB2312" w:hint="eastAsia"/>
          <w:sz w:val="32"/>
          <w:szCs w:val="32"/>
        </w:rPr>
        <w:t>万元，降低</w:t>
      </w:r>
      <w:r>
        <w:rPr>
          <w:rFonts w:eastAsia="仿宋_GB2312"/>
          <w:sz w:val="32"/>
          <w:szCs w:val="32"/>
        </w:rPr>
        <w:t>42.5%</w:t>
      </w:r>
      <w:r>
        <w:rPr>
          <w:rFonts w:eastAsia="仿宋_GB2312" w:hint="eastAsia"/>
          <w:sz w:val="32"/>
          <w:szCs w:val="32"/>
        </w:rPr>
        <w:t>，主要</w:t>
      </w:r>
      <w:r>
        <w:rPr>
          <w:rFonts w:ascii="仿宋_GB2312" w:cs="DengXian-Regular" w:eastAsia="仿宋_GB2312" w:hint="eastAsia"/>
          <w:sz w:val="32"/>
          <w:szCs w:val="32"/>
        </w:rPr>
        <w:t>原因</w:t>
      </w:r>
      <w:r>
        <w:rPr>
          <w:rFonts w:eastAsia="仿宋_GB2312" w:hint="eastAsia"/>
          <w:sz w:val="32"/>
          <w:szCs w:val="32"/>
        </w:rPr>
        <w:t>是</w:t>
      </w:r>
      <w:r>
        <w:rPr>
          <w:kern w:val="0"/>
          <w:color w:val="000000"/>
          <w:rFonts w:eastAsia="仿宋_GB2312" w:hint="eastAsia"/>
          <w:sz w:val="32"/>
          <w:szCs w:val="32"/>
        </w:rPr>
        <w:t>认真落实中央</w:t>
      </w:r>
      <w:r>
        <w:rPr>
          <w:kern w:val="0"/>
          <w:color w:val="000000"/>
          <w:rFonts w:eastAsia="仿宋_GB2312" w:hint="eastAsia"/>
          <w:sz w:val="32"/>
          <w:szCs w:val="32"/>
        </w:rPr>
        <w:t>八项规定</w:t>
      </w:r>
      <w:r>
        <w:rPr>
          <w:kern w:val="0"/>
          <w:color w:val="000000"/>
          <w:rFonts w:eastAsia="仿宋_GB2312" w:hint="eastAsia"/>
          <w:sz w:val="32"/>
          <w:szCs w:val="32"/>
        </w:rPr>
        <w:t>精神和厉行节约要求，管理制度不断完善，</w:t>
      </w:r>
      <w:r>
        <w:rPr>
          <w:kern w:val="0"/>
          <w:color w:val="000000"/>
          <w:rFonts w:eastAsia="仿宋_GB2312"/>
          <w:sz w:val="32"/>
          <w:szCs w:val="32"/>
        </w:rPr>
        <w:t>“</w:t>
      </w:r>
      <w:r>
        <w:rPr>
          <w:kern w:val="0"/>
          <w:color w:val="000000"/>
          <w:rFonts w:eastAsia="仿宋_GB2312" w:hint="eastAsia"/>
          <w:sz w:val="32"/>
          <w:szCs w:val="32"/>
        </w:rPr>
        <w:t>三公</w:t>
      </w:r>
      <w:r>
        <w:rPr>
          <w:kern w:val="0"/>
          <w:color w:val="000000"/>
          <w:rFonts w:eastAsia="仿宋_GB2312"/>
          <w:sz w:val="32"/>
          <w:szCs w:val="32"/>
        </w:rPr>
        <w:t>”</w:t>
      </w:r>
      <w:r>
        <w:rPr>
          <w:kern w:val="0"/>
          <w:color w:val="000000"/>
          <w:rFonts w:eastAsia="仿宋_GB2312" w:hint="eastAsia"/>
          <w:sz w:val="32"/>
          <w:szCs w:val="32"/>
        </w:rPr>
        <w:t>经费支出得到了有效控制</w:t>
      </w:r>
      <w:r>
        <w:rPr>
          <w:rFonts w:eastAsia="仿宋_GB2312" w:hint="eastAsia"/>
          <w:sz w:val="32"/>
          <w:szCs w:val="32"/>
        </w:rPr>
        <w:t>。</w:t>
      </w:r>
    </w:p>
    <w:p>
      <w:pPr>
        <w:adjustRightInd w:val="0"/>
        <w:snapToGrid w:val="0"/>
        <w:ind w:firstLine="640"/>
        <w:spacing w:line="584" w:lineRule="exact"/>
        <w:rPr>
          <w:highlight w:val="yellow"/>
          <w:rFonts w:eastAsia="仿宋_GB2312"/>
          <w:sz w:val="32"/>
          <w:szCs w:val="32"/>
        </w:rPr>
      </w:pPr>
      <w:r>
        <w:rPr>
          <w:bCs/>
          <w:b/>
          <w:rFonts w:eastAsia="楷体_GB2312" w:hint="eastAsia"/>
          <w:sz w:val="32"/>
          <w:szCs w:val="32"/>
        </w:rPr>
        <w:t>（三）公务接待费支出</w:t>
      </w:r>
      <w:r>
        <w:rPr>
          <w:bCs/>
          <w:b/>
          <w:rFonts w:eastAsia="楷体_GB2312"/>
          <w:sz w:val="32"/>
          <w:szCs w:val="32"/>
        </w:rPr>
        <w:t>0</w:t>
      </w:r>
      <w:r>
        <w:rPr>
          <w:bCs/>
          <w:b/>
          <w:rFonts w:eastAsia="楷体_GB2312" w:hint="eastAsia"/>
          <w:sz w:val="32"/>
          <w:szCs w:val="32"/>
        </w:rPr>
        <w:t>万元。</w:t>
      </w:r>
      <w:r>
        <w:rPr>
          <w:rFonts w:eastAsia="仿宋_GB2312"/>
          <w:sz w:val="32"/>
          <w:szCs w:val="32"/>
        </w:rPr>
        <w:t>本部门201</w:t>
      </w:r>
      <w:r>
        <w:rPr>
          <w:rFonts w:eastAsia="仿宋_GB2312" w:hint="eastAsia"/>
          <w:sz w:val="32"/>
          <w:szCs w:val="32"/>
        </w:rPr>
        <w:t>8</w:t>
      </w:r>
      <w:r>
        <w:rPr>
          <w:rFonts w:eastAsia="仿宋_GB2312"/>
          <w:sz w:val="32"/>
          <w:szCs w:val="32"/>
        </w:rPr>
        <w:t>年度公务接待共0批次、0人次。公务接待费支出</w:t>
      </w:r>
      <w:r>
        <w:rPr>
          <w:rFonts w:eastAsia="仿宋_GB2312" w:hint="eastAsia"/>
          <w:sz w:val="32"/>
          <w:szCs w:val="32"/>
        </w:rPr>
        <w:t>比</w:t>
      </w:r>
      <w:r>
        <w:rPr>
          <w:rFonts w:eastAsia="仿宋_GB2312"/>
          <w:sz w:val="32"/>
          <w:szCs w:val="32"/>
        </w:rPr>
        <w:t>年初预算增加0万元，增长0.0%，主要是无此类支出；</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年度决算增加0万元，增长（降低）0.0%，主要是无此类支出</w:t>
      </w:r>
      <w:r>
        <w:rPr>
          <w:rFonts w:eastAsia="仿宋_GB2312" w:hint="eastAsia"/>
          <w:sz w:val="32"/>
          <w:szCs w:val="32"/>
        </w:rPr>
        <w:t>。</w:t>
      </w:r>
    </w:p>
    <w:p>
      <w:pPr>
        <w:adjustRightInd w:val="0"/>
        <w:snapToGrid w:val="0"/>
        <w:ind w:firstLine="640"/>
        <w:spacing w:after="0" w:line="580" w:lineRule="exact"/>
        <w:rPr>
          <w:rFonts w:ascii="黑体" w:eastAsia="黑体"/>
          <w:sz w:val="32"/>
          <w:szCs w:val="40"/>
        </w:rPr>
      </w:pPr>
      <w:r>
        <w:rPr>
          <w:rFonts w:ascii="黑体" w:eastAsia="黑体" w:hint="eastAsia"/>
          <w:sz w:val="32"/>
          <w:szCs w:val="40"/>
        </w:rPr>
        <w:t>六、预算绩效情况说明</w:t>
      </w:r>
    </w:p>
    <w:p>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hint="eastAsia"/>
          <w:sz w:val="32"/>
          <w:szCs w:val="32"/>
        </w:rPr>
        <w:t>（一）预算绩效管理工作开展情况。根据绩效预算管理改革要求，本部门认真开展了预算绩效管理改革开展情况自查，对部门全面规范绩效预算编制、严格预算执行管理、推进绩效评价工作、推进预决算信息公开等方面进行了自评，考核结果为优秀。</w:t>
      </w:r>
    </w:p>
    <w:p>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hint="eastAsia"/>
          <w:sz w:val="32"/>
          <w:szCs w:val="32"/>
        </w:rPr>
        <w:t>（二）项目绩效自评结果。根据预算绩效管理要求，本部门组织对</w:t>
      </w:r>
      <w:r>
        <w:rPr>
          <w:rFonts w:ascii="仿宋_GB2312" w:cs="DengXian-Regular" w:eastAsia="仿宋_GB2312"/>
          <w:sz w:val="32"/>
          <w:szCs w:val="32"/>
        </w:rPr>
        <w:t xml:space="preserve">2018 </w:t>
      </w:r>
      <w:r>
        <w:rPr>
          <w:rFonts w:ascii="仿宋_GB2312" w:cs="DengXian-Regular" w:eastAsia="仿宋_GB2312" w:hint="eastAsia"/>
          <w:sz w:val="32"/>
          <w:szCs w:val="32"/>
        </w:rPr>
        <w:t>年度专项项目预算支出开展绩效自评。从评价情况看，项目评价结果为优秀。</w:t>
      </w:r>
    </w:p>
    <w:p>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hint="eastAsia"/>
          <w:sz w:val="32"/>
          <w:szCs w:val="32"/>
        </w:rPr>
        <w:t>（三）重点项目绩效评价结果。本单位无重点支出项目。</w:t>
      </w:r>
    </w:p>
    <w:p>
      <w:pPr>
        <w:pStyle w:val="2"/>
        <w:ind w:firstLine="640"/>
        <w:spacing w:before="0" w:after="0" w:line="580" w:lineRule="exact"/>
        <w:rPr>
          <w:bCs w:val="0"/>
          <w:b w:val="0"/>
          <w:rFonts w:ascii="黑体" w:cs="Times New Roman" w:eastAsia="黑体"/>
        </w:rPr>
      </w:pPr>
      <w:r>
        <w:rPr>
          <w:bCs w:val="0"/>
          <w:b w:val="0"/>
          <w:rFonts w:ascii="黑体" w:cs="Times New Roman" w:eastAsia="黑体" w:hint="eastAsia"/>
        </w:rPr>
        <w:t>七、其他重要事项的说明</w:t>
      </w:r>
    </w:p>
    <w:p>
      <w:pPr>
        <w:pStyle w:val="3"/>
        <w:ind w:firstLine="640"/>
        <w:spacing w:before="0" w:after="0" w:line="580" w:lineRule="exact"/>
        <w:rPr>
          <w:rFonts w:ascii="楷体_GB2312" w:cs="DengXian-Bold" w:eastAsia="楷体_GB2312"/>
        </w:rPr>
      </w:pPr>
      <w:r>
        <w:rPr>
          <w:rFonts w:ascii="楷体_GB2312" w:cs="DengXian-Bold" w:eastAsia="楷体_GB2312" w:hint="eastAsia"/>
        </w:rPr>
        <w:t>（一）机关运行经费情况</w:t>
      </w:r>
    </w:p>
    <w:p>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hint="eastAsia"/>
          <w:sz w:val="32"/>
          <w:szCs w:val="32"/>
        </w:rPr>
        <w:t>本部门</w:t>
      </w:r>
      <w:r>
        <w:rPr>
          <w:rFonts w:ascii="仿宋_GB2312" w:cs="DengXian-Regular" w:eastAsia="仿宋_GB2312"/>
          <w:sz w:val="32"/>
          <w:szCs w:val="32"/>
        </w:rPr>
        <w:t>2018</w:t>
      </w:r>
      <w:r>
        <w:rPr>
          <w:rFonts w:ascii="仿宋_GB2312" w:cs="DengXian-Regular" w:eastAsia="仿宋_GB2312" w:hint="eastAsia"/>
          <w:sz w:val="32"/>
          <w:szCs w:val="32"/>
        </w:rPr>
        <w:t>年度机关运行经费支出</w:t>
      </w:r>
      <w:r>
        <w:rPr>
          <w:rFonts w:ascii="仿宋_GB2312" w:cs="DengXian-Regular" w:eastAsia="仿宋_GB2312"/>
          <w:sz w:val="32"/>
          <w:szCs w:val="32"/>
        </w:rPr>
        <w:t>2.14</w:t>
      </w:r>
      <w:r>
        <w:rPr>
          <w:rFonts w:ascii="仿宋_GB2312" w:cs="DengXian-Regular" w:eastAsia="仿宋_GB2312" w:hint="eastAsia"/>
          <w:sz w:val="32"/>
          <w:szCs w:val="32"/>
        </w:rPr>
        <w:t>万元，</w:t>
      </w:r>
      <w:r>
        <w:rPr>
          <w:rFonts w:eastAsia="仿宋_GB2312" w:hint="eastAsia"/>
          <w:sz w:val="32"/>
          <w:szCs w:val="32"/>
        </w:rPr>
        <w:t>较</w:t>
      </w:r>
      <w:r>
        <w:rPr>
          <w:rFonts w:eastAsia="仿宋_GB2312"/>
          <w:sz w:val="32"/>
          <w:szCs w:val="32"/>
        </w:rPr>
        <w:t>2017</w:t>
      </w:r>
      <w:r>
        <w:rPr>
          <w:rFonts w:eastAsia="仿宋_GB2312" w:hint="eastAsia"/>
          <w:sz w:val="32"/>
          <w:szCs w:val="32"/>
        </w:rPr>
        <w:t>年度决算减少</w:t>
      </w:r>
      <w:r>
        <w:rPr>
          <w:rFonts w:eastAsia="仿宋_GB2312"/>
          <w:sz w:val="32"/>
          <w:szCs w:val="32"/>
        </w:rPr>
        <w:t>1.74</w:t>
      </w:r>
      <w:r>
        <w:rPr>
          <w:rFonts w:eastAsia="仿宋_GB2312" w:hint="eastAsia"/>
          <w:sz w:val="32"/>
          <w:szCs w:val="32"/>
        </w:rPr>
        <w:t>万元，降低</w:t>
      </w:r>
      <w:r>
        <w:rPr>
          <w:rFonts w:eastAsia="仿宋_GB2312"/>
          <w:sz w:val="32"/>
          <w:szCs w:val="32"/>
        </w:rPr>
        <w:t>48.8%</w:t>
      </w:r>
      <w:r>
        <w:rPr>
          <w:rFonts w:eastAsia="仿宋_GB2312" w:hint="eastAsia"/>
          <w:sz w:val="32"/>
          <w:szCs w:val="32"/>
        </w:rPr>
        <w:t>，主要</w:t>
      </w:r>
      <w:r>
        <w:rPr>
          <w:rFonts w:ascii="仿宋_GB2312" w:cs="DengXian-Regular" w:eastAsia="仿宋_GB2312" w:hint="eastAsia"/>
          <w:sz w:val="32"/>
          <w:szCs w:val="32"/>
        </w:rPr>
        <w:t>原因</w:t>
      </w:r>
      <w:r>
        <w:rPr>
          <w:kern w:val="0"/>
          <w:color w:val="000000"/>
          <w:rFonts w:eastAsia="仿宋_GB2312" w:hint="eastAsia"/>
          <w:sz w:val="32"/>
          <w:szCs w:val="32"/>
        </w:rPr>
        <w:t>严格执行中央八项规定的文件要求，精简节约和减少外出产生的交通费用。</w:t>
      </w:r>
    </w:p>
    <w:p>
      <w:pPr>
        <w:pStyle w:val="3"/>
        <w:ind w:firstLine="640"/>
        <w:spacing w:before="0" w:after="0" w:line="580" w:lineRule="exact"/>
        <w:rPr>
          <w:rFonts w:ascii="楷体_GB2312" w:cs="DengXian-Bold" w:eastAsia="楷体_GB2312"/>
        </w:rPr>
      </w:pPr>
      <w:r>
        <w:rPr>
          <w:rFonts w:ascii="楷体_GB2312" w:cs="DengXian-Bold" w:eastAsia="楷体_GB2312" w:hint="eastAsia"/>
        </w:rPr>
        <w:t>（二）政府采购情况</w:t>
      </w:r>
    </w:p>
    <w:p>
      <w:pPr>
        <w:widowControl/>
        <w:jc w:val="left"/>
        <w:ind w:firstLine="640"/>
        <w:spacing w:after="0" w:line="580" w:lineRule="exact"/>
        <w:rPr>
          <w:rFonts w:ascii="仿宋_GB2312" w:cs="DengXian-Regular" w:eastAsia="仿宋_GB2312"/>
          <w:sz w:val="32"/>
          <w:szCs w:val="32"/>
        </w:rPr>
      </w:pPr>
      <w:r>
        <w:rPr>
          <w:rFonts w:ascii="仿宋_GB2312" w:cs="DengXian-Regular" w:eastAsia="仿宋_GB2312" w:hint="eastAsia"/>
          <w:sz w:val="32"/>
          <w:szCs w:val="32"/>
        </w:rPr>
        <w:t>本部门2018年度政府采购支出总额</w:t>
      </w:r>
      <w:r>
        <w:rPr>
          <w:rFonts w:ascii="仿宋_GB2312" w:cs="DengXian-Regular" w:eastAsia="仿宋_GB2312"/>
          <w:sz w:val="32"/>
          <w:szCs w:val="32"/>
        </w:rPr>
        <w:t>0</w:t>
      </w:r>
      <w:r>
        <w:rPr>
          <w:rFonts w:ascii="仿宋_GB2312" w:cs="DengXian-Regular" w:eastAsia="仿宋_GB2312" w:hint="eastAsia"/>
          <w:sz w:val="32"/>
          <w:szCs w:val="32"/>
        </w:rPr>
        <w:t>万元，从采购类型来看，</w:t>
      </w:r>
      <w:r>
        <w:rPr>
          <w:kern w:val="0"/>
          <w:color w:val="000000"/>
          <w:rFonts w:ascii="仿宋_GB2312" w:cs="仿宋_GB2312" w:eastAsia="仿宋_GB2312"/>
          <w:sz w:val="32"/>
          <w:szCs w:val="32"/>
        </w:rPr>
        <w:t>政府采购货物支出0 万元、政府采购工程支出0万元、政府采购服务支出0万元。授予中小企业合同金0万元，占政府采购支出总额的0.0</w:t>
      </w:r>
      <w:r>
        <w:rPr>
          <w:kern w:val="0"/>
          <w:color w:val="000000"/>
          <w:rFonts w:ascii="仿宋_GB2312" w:cs="仿宋_GB2312" w:eastAsia="仿宋_GB2312" w:hint="eastAsia"/>
          <w:sz w:val="32"/>
          <w:szCs w:val="32"/>
        </w:rPr>
        <w:t>%，</w:t>
      </w:r>
      <w:r>
        <w:rPr>
          <w:kern w:val="0"/>
          <w:color w:val="000000"/>
          <w:rFonts w:ascii="仿宋_GB2312" w:cs="仿宋_GB2312" w:eastAsia="仿宋_GB2312"/>
          <w:sz w:val="32"/>
          <w:szCs w:val="32"/>
        </w:rPr>
        <w:t>其中授予小微企业合同金额0万元，占政府采购支出总额的0%。</w:t>
      </w:r>
    </w:p>
    <w:p>
      <w:pPr>
        <w:pStyle w:val="3"/>
        <w:ind w:firstLine="640"/>
        <w:spacing w:before="0" w:after="0" w:line="580" w:lineRule="exact"/>
        <w:rPr>
          <w:rFonts w:ascii="楷体_GB2312" w:cs="DengXian-Bold" w:eastAsia="楷体_GB2312"/>
        </w:rPr>
      </w:pPr>
      <w:r>
        <w:rPr>
          <w:rFonts w:ascii="楷体_GB2312" w:cs="DengXian-Bold" w:eastAsia="楷体_GB2312" w:hint="eastAsia"/>
        </w:rPr>
        <w:t>（三）国有资产占用情况</w:t>
      </w:r>
    </w:p>
    <w:p>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hint="eastAsia"/>
          <w:sz w:val="32"/>
          <w:szCs w:val="32"/>
        </w:rPr>
        <w:t>截至</w:t>
      </w:r>
      <w:r>
        <w:rPr>
          <w:rFonts w:ascii="仿宋_GB2312" w:cs="DengXian-Regular" w:eastAsia="仿宋_GB2312"/>
          <w:sz w:val="32"/>
          <w:szCs w:val="32"/>
        </w:rPr>
        <w:t>2018</w:t>
      </w:r>
      <w:r>
        <w:rPr>
          <w:rFonts w:ascii="仿宋_GB2312" w:cs="DengXian-Regular" w:eastAsia="仿宋_GB2312" w:hint="eastAsia"/>
          <w:sz w:val="32"/>
          <w:szCs w:val="32"/>
        </w:rPr>
        <w:t>年</w:t>
      </w:r>
      <w:r>
        <w:rPr>
          <w:rFonts w:ascii="仿宋_GB2312" w:cs="DengXian-Regular" w:eastAsia="仿宋_GB2312"/>
          <w:sz w:val="32"/>
          <w:szCs w:val="32"/>
        </w:rPr>
        <w:t>12</w:t>
      </w:r>
      <w:r>
        <w:rPr>
          <w:rFonts w:ascii="仿宋_GB2312" w:cs="DengXian-Regular" w:eastAsia="仿宋_GB2312" w:hint="eastAsia"/>
          <w:sz w:val="32"/>
          <w:szCs w:val="32"/>
        </w:rPr>
        <w:t>月</w:t>
      </w:r>
      <w:r>
        <w:rPr>
          <w:rFonts w:ascii="仿宋_GB2312" w:cs="DengXian-Regular" w:eastAsia="仿宋_GB2312"/>
          <w:sz w:val="32"/>
          <w:szCs w:val="32"/>
        </w:rPr>
        <w:t>31</w:t>
      </w:r>
      <w:r>
        <w:rPr>
          <w:rFonts w:ascii="仿宋_GB2312" w:cs="DengXian-Regular" w:eastAsia="仿宋_GB2312" w:hint="eastAsia"/>
          <w:sz w:val="32"/>
          <w:szCs w:val="32"/>
        </w:rPr>
        <w:t>日，本部门共有车辆</w:t>
      </w:r>
      <w:r>
        <w:rPr>
          <w:rFonts w:ascii="仿宋_GB2312" w:cs="DengXian-Regular" w:eastAsia="仿宋_GB2312"/>
          <w:sz w:val="32"/>
          <w:szCs w:val="32"/>
        </w:rPr>
        <w:t>1</w:t>
      </w:r>
      <w:r>
        <w:rPr>
          <w:rFonts w:ascii="仿宋_GB2312" w:cs="DengXian-Regular" w:eastAsia="仿宋_GB2312" w:hint="eastAsia"/>
          <w:sz w:val="32"/>
          <w:szCs w:val="32"/>
        </w:rPr>
        <w:t>辆，与上年持平。其中，副部（省）级及以上领导用车</w:t>
      </w:r>
      <w:r>
        <w:rPr>
          <w:rFonts w:ascii="仿宋_GB2312" w:cs="DengXian-Regular" w:eastAsia="仿宋_GB2312"/>
          <w:sz w:val="32"/>
          <w:szCs w:val="32"/>
        </w:rPr>
        <w:t>0</w:t>
      </w:r>
      <w:r>
        <w:rPr>
          <w:rFonts w:ascii="仿宋_GB2312" w:cs="DengXian-Regular" w:eastAsia="仿宋_GB2312" w:hint="eastAsia"/>
          <w:sz w:val="32"/>
          <w:szCs w:val="32"/>
        </w:rPr>
        <w:t>辆，主要领导干部用车</w:t>
      </w:r>
      <w:r>
        <w:rPr>
          <w:rFonts w:ascii="仿宋_GB2312" w:cs="DengXian-Regular" w:eastAsia="仿宋_GB2312"/>
          <w:sz w:val="32"/>
          <w:szCs w:val="32"/>
        </w:rPr>
        <w:t>0</w:t>
      </w:r>
      <w:r>
        <w:rPr>
          <w:rFonts w:ascii="仿宋_GB2312" w:cs="DengXian-Regular" w:eastAsia="仿宋_GB2312" w:hint="eastAsia"/>
          <w:sz w:val="32"/>
          <w:szCs w:val="32"/>
        </w:rPr>
        <w:t>辆，机要通信用车</w:t>
      </w:r>
      <w:r>
        <w:rPr>
          <w:rFonts w:ascii="仿宋_GB2312" w:cs="DengXian-Regular" w:eastAsia="仿宋_GB2312"/>
          <w:sz w:val="32"/>
          <w:szCs w:val="32"/>
        </w:rPr>
        <w:t>1</w:t>
      </w:r>
      <w:r>
        <w:rPr>
          <w:rFonts w:ascii="仿宋_GB2312" w:cs="DengXian-Regular" w:eastAsia="仿宋_GB2312" w:hint="eastAsia"/>
          <w:sz w:val="32"/>
          <w:szCs w:val="32"/>
        </w:rPr>
        <w:t>辆，应急保障用车</w:t>
      </w:r>
      <w:r>
        <w:rPr>
          <w:rFonts w:ascii="仿宋_GB2312" w:cs="DengXian-Regular" w:eastAsia="仿宋_GB2312"/>
          <w:sz w:val="32"/>
          <w:szCs w:val="32"/>
        </w:rPr>
        <w:t>0</w:t>
      </w:r>
      <w:r>
        <w:rPr>
          <w:rFonts w:ascii="仿宋_GB2312" w:cs="DengXian-Regular" w:eastAsia="仿宋_GB2312" w:hint="eastAsia"/>
          <w:sz w:val="32"/>
          <w:szCs w:val="32"/>
        </w:rPr>
        <w:t>辆，执法执勤用车</w:t>
      </w:r>
      <w:r>
        <w:rPr>
          <w:rFonts w:ascii="仿宋_GB2312" w:cs="DengXian-Regular" w:eastAsia="仿宋_GB2312"/>
          <w:sz w:val="32"/>
          <w:szCs w:val="32"/>
        </w:rPr>
        <w:t>0</w:t>
      </w:r>
      <w:r>
        <w:rPr>
          <w:rFonts w:ascii="仿宋_GB2312" w:cs="DengXian-Regular" w:eastAsia="仿宋_GB2312" w:hint="eastAsia"/>
          <w:sz w:val="32"/>
          <w:szCs w:val="32"/>
        </w:rPr>
        <w:t>辆，特种专业技术用车</w:t>
      </w:r>
      <w:r>
        <w:rPr>
          <w:rFonts w:ascii="仿宋_GB2312" w:cs="DengXian-Regular" w:eastAsia="仿宋_GB2312"/>
          <w:sz w:val="32"/>
          <w:szCs w:val="32"/>
        </w:rPr>
        <w:t>0</w:t>
      </w:r>
      <w:r>
        <w:rPr>
          <w:rFonts w:ascii="仿宋_GB2312" w:cs="DengXian-Regular" w:eastAsia="仿宋_GB2312" w:hint="eastAsia"/>
          <w:sz w:val="32"/>
          <w:szCs w:val="32"/>
        </w:rPr>
        <w:t>辆，离退休干部用车</w:t>
      </w:r>
      <w:r>
        <w:rPr>
          <w:rFonts w:ascii="仿宋_GB2312" w:cs="DengXian-Regular" w:eastAsia="仿宋_GB2312"/>
          <w:sz w:val="32"/>
          <w:szCs w:val="32"/>
        </w:rPr>
        <w:t>0</w:t>
      </w:r>
      <w:r>
        <w:rPr>
          <w:rFonts w:ascii="仿宋_GB2312" w:cs="DengXian-Regular" w:eastAsia="仿宋_GB2312" w:hint="eastAsia"/>
          <w:sz w:val="32"/>
          <w:szCs w:val="32"/>
        </w:rPr>
        <w:t>辆，其他用车</w:t>
      </w:r>
      <w:r>
        <w:rPr>
          <w:rFonts w:ascii="仿宋_GB2312" w:cs="DengXian-Regular" w:eastAsia="仿宋_GB2312"/>
          <w:sz w:val="32"/>
          <w:szCs w:val="32"/>
        </w:rPr>
        <w:t>0</w:t>
      </w:r>
      <w:r>
        <w:rPr>
          <w:rFonts w:ascii="仿宋_GB2312" w:cs="DengXian-Regular" w:eastAsia="仿宋_GB2312" w:hint="eastAsia"/>
          <w:sz w:val="32"/>
          <w:szCs w:val="32"/>
        </w:rPr>
        <w:t>辆</w:t>
      </w:r>
      <w:r>
        <w:rPr>
          <w:rFonts w:ascii="仿宋_GB2312" w:cs="DengXian-Regular" w:eastAsia="仿宋_GB2312"/>
          <w:sz w:val="32"/>
          <w:szCs w:val="32"/>
        </w:rPr>
        <w:t>0</w:t>
      </w:r>
      <w:r>
        <w:rPr>
          <w:rFonts w:ascii="仿宋_GB2312" w:cs="DengXian-Regular" w:eastAsia="仿宋_GB2312" w:hint="eastAsia"/>
          <w:sz w:val="32"/>
          <w:szCs w:val="32"/>
        </w:rPr>
        <w:t>；单位价值</w:t>
      </w:r>
      <w:r>
        <w:rPr>
          <w:rFonts w:ascii="仿宋_GB2312" w:cs="TimesNewRomanPSMT" w:eastAsia="仿宋_GB2312"/>
          <w:sz w:val="32"/>
          <w:szCs w:val="32"/>
        </w:rPr>
        <w:t>50</w:t>
      </w:r>
      <w:r>
        <w:rPr>
          <w:rFonts w:ascii="仿宋_GB2312" w:cs="DengXian-Regular" w:eastAsia="仿宋_GB2312" w:hint="eastAsia"/>
          <w:sz w:val="32"/>
          <w:szCs w:val="32"/>
        </w:rPr>
        <w:t>万元以上通用设备</w:t>
      </w:r>
      <w:r>
        <w:rPr>
          <w:rFonts w:ascii="仿宋_GB2312" w:cs="DengXian-Regular" w:eastAsia="仿宋_GB2312"/>
          <w:sz w:val="32"/>
          <w:szCs w:val="32"/>
        </w:rPr>
        <w:t>0</w:t>
      </w:r>
      <w:r>
        <w:rPr>
          <w:rFonts w:ascii="仿宋_GB2312" w:cs="DengXian-Regular" w:eastAsia="仿宋_GB2312" w:hint="eastAsia"/>
          <w:sz w:val="32"/>
          <w:szCs w:val="32"/>
        </w:rPr>
        <w:t>台（套），与上年持平</w:t>
      </w:r>
      <w:r>
        <w:rPr>
          <w:rFonts w:ascii="仿宋_GB2312" w:cs="DengXian-Regular" w:eastAsia="仿宋_GB2312"/>
          <w:sz w:val="32"/>
          <w:szCs w:val="32"/>
        </w:rPr>
        <w:t>0</w:t>
      </w:r>
      <w:r>
        <w:rPr>
          <w:rFonts w:ascii="仿宋_GB2312" w:cs="DengXian-Regular" w:eastAsia="仿宋_GB2312" w:hint="eastAsia"/>
          <w:sz w:val="32"/>
          <w:szCs w:val="32"/>
        </w:rPr>
        <w:t>，单位价值</w:t>
      </w:r>
      <w:r>
        <w:rPr>
          <w:rFonts w:ascii="仿宋_GB2312" w:cs="TimesNewRomanPSMT" w:eastAsia="仿宋_GB2312"/>
          <w:sz w:val="32"/>
          <w:szCs w:val="32"/>
        </w:rPr>
        <w:t>100</w:t>
      </w:r>
      <w:r>
        <w:rPr>
          <w:rFonts w:ascii="仿宋_GB2312" w:cs="DengXian-Regular" w:eastAsia="仿宋_GB2312" w:hint="eastAsia"/>
          <w:sz w:val="32"/>
          <w:szCs w:val="32"/>
        </w:rPr>
        <w:t>万元以上专用设备</w:t>
      </w:r>
      <w:r>
        <w:rPr>
          <w:rFonts w:ascii="仿宋_GB2312" w:cs="DengXian-Regular" w:eastAsia="仿宋_GB2312"/>
          <w:sz w:val="32"/>
          <w:szCs w:val="32"/>
        </w:rPr>
        <w:t>0</w:t>
      </w:r>
      <w:r>
        <w:rPr>
          <w:rFonts w:ascii="仿宋_GB2312" w:cs="DengXian-Regular" w:eastAsia="仿宋_GB2312" w:hint="eastAsia"/>
          <w:sz w:val="32"/>
          <w:szCs w:val="32"/>
        </w:rPr>
        <w:t>台（套），与上年持平。</w:t>
      </w:r>
    </w:p>
    <w:p>
      <w:pPr>
        <w:pStyle w:val="3"/>
        <w:ind w:firstLine="640"/>
        <w:spacing w:before="0" w:after="0" w:line="580" w:lineRule="exact"/>
        <w:rPr>
          <w:rFonts w:ascii="楷体_GB2312" w:cs="DengXian-Bold" w:eastAsia="楷体_GB2312"/>
        </w:rPr>
      </w:pPr>
      <w:r>
        <w:rPr>
          <w:rFonts w:ascii="楷体_GB2312" w:cs="DengXian-Bold" w:eastAsia="楷体_GB2312" w:hint="eastAsia"/>
        </w:rPr>
        <w:t>（四）其他需要说明的情况</w:t>
      </w:r>
    </w:p>
    <w:p>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sz w:val="32"/>
          <w:szCs w:val="32"/>
        </w:rPr>
        <w:t>1</w:t>
      </w:r>
      <w:r>
        <w:rPr>
          <w:rFonts w:ascii="仿宋_GB2312" w:cs="DengXian-Regular" w:eastAsia="仿宋_GB2312" w:hint="eastAsia"/>
          <w:sz w:val="32"/>
          <w:szCs w:val="32"/>
        </w:rPr>
        <w:t>、本部门</w:t>
      </w:r>
      <w:r>
        <w:rPr>
          <w:rFonts w:ascii="仿宋_GB2312" w:cs="DengXian-Regular" w:eastAsia="仿宋_GB2312"/>
          <w:sz w:val="32"/>
          <w:szCs w:val="32"/>
        </w:rPr>
        <w:t>2018</w:t>
      </w:r>
      <w:r>
        <w:rPr>
          <w:rFonts w:ascii="仿宋_GB2312" w:cs="DengXian-Regular" w:eastAsia="仿宋_GB2312" w:hint="eastAsia"/>
          <w:sz w:val="32"/>
          <w:szCs w:val="32"/>
        </w:rPr>
        <w:t>年度政府性基金预算、国有资本经营预算、政府采购无收支及结转结余情况，故</w:t>
      </w:r>
      <w:r>
        <w:rPr>
          <w:rFonts w:eastAsia="仿宋_GB2312" w:hint="eastAsia"/>
          <w:sz w:val="32"/>
          <w:szCs w:val="32"/>
        </w:rPr>
        <w:t>政府性基金预算财政拨款收入支出决算表、国有资本经营预算财政拨款支出决算表、政府采购情况表</w:t>
      </w:r>
      <w:r>
        <w:rPr>
          <w:rFonts w:ascii="仿宋_GB2312" w:cs="DengXian-Regular" w:eastAsia="仿宋_GB2312" w:hint="eastAsia"/>
          <w:sz w:val="32"/>
          <w:szCs w:val="32"/>
        </w:rPr>
        <w:t>以空表列示。</w:t>
      </w:r>
    </w:p>
    <w:p>
      <w:pPr>
        <w:widowControl/>
        <w:jc w:val="left"/>
        <w:ind w:firstLine="640"/>
        <w:spacing w:after="0" w:line="580" w:lineRule="exact"/>
        <w:sectPr>
          <w:docGrid w:type="lines" w:linePitch="312" w:charSpace="0"/>
          <w:pgSz w:w="11906" w:h="16838"/>
          <w:pgMar w:left="1588" w:right="1474" w:top="2098" w:bottom="1984" w:header="851" w:footer="992" w:gutter="0"/>
        </w:sectPr>
        <w:rPr>
          <w:bCs/>
          <w:kern w:val="0"/>
          <w:b/>
          <w:rFonts w:ascii="宋体" w:cs="MS-UIGothic,Bold"/>
          <w:sz w:val="44"/>
          <w:szCs w:val="44"/>
        </w:rPr>
      </w:pPr>
      <w:r>
        <w:rPr>
          <w:rFonts w:ascii="仿宋_GB2312" w:cs="DengXian-Regular" w:eastAsia="仿宋_GB2312"/>
          <w:sz w:val="32"/>
          <w:szCs w:val="32"/>
        </w:rPr>
        <w:t>2</w:t>
      </w:r>
      <w:r>
        <w:rPr>
          <w:rFonts w:ascii="仿宋_GB2312" w:cs="DengXian-Regular" w:eastAsia="仿宋_GB2312" w:hint="eastAsia"/>
          <w:sz w:val="32"/>
          <w:szCs w:val="32"/>
        </w:rPr>
        <w:t>、由于决算公开表格中金额数值应当保留两位小数，公开数据为四舍五入计算结果，个别数据合计项与分项之和存在小数点后差额，特此说明。</w:t>
      </w:r>
    </w:p>
    <w:p>
      <w:pPr>
        <w:widowControl/>
        <w:jc w:val="center"/>
        <w:spacing w:line="1200" w:lineRule="exact"/>
        <w:rPr>
          <w:color w:val="000000"/>
          <w:rFonts w:ascii="黑体" w:eastAsia="黑体"/>
          <w:sz w:val="96"/>
          <w:szCs w:val="96"/>
        </w:rPr>
      </w:pPr>
    </w:p>
    <w:p>
      <w:pPr>
        <w:widowControl/>
        <w:jc w:val="center"/>
        <w:spacing w:line="1200" w:lineRule="exact"/>
        <w:rPr>
          <w:color w:val="000000"/>
          <w:rFonts w:ascii="黑体" w:eastAsia="黑体"/>
          <w:sz w:val="96"/>
          <w:szCs w:val="96"/>
        </w:rPr>
      </w:pPr>
    </w:p>
    <w:p>
      <w:pPr>
        <w:widowControl/>
        <w:jc w:val="center"/>
        <w:spacing w:line="1200" w:lineRule="exact"/>
        <w:rPr>
          <w:color w:val="000000"/>
          <w:rFonts w:ascii="黑体" w:eastAsia="黑体"/>
          <w:sz w:val="96"/>
          <w:szCs w:val="96"/>
        </w:rPr>
      </w:pPr>
    </w:p>
    <w:p>
      <w:pPr>
        <w:widowControl/>
        <w:jc w:val="center"/>
        <w:spacing w:line="1200" w:lineRule="exact"/>
        <w:rPr>
          <w:color w:val="000000"/>
          <w:rFonts w:ascii="黑体" w:eastAsia="黑体"/>
          <w:sz w:val="96"/>
          <w:szCs w:val="96"/>
        </w:rPr>
      </w:pPr>
      <w:r>
        <w:rPr>
          <w:color w:val="000000"/>
          <w:rFonts w:ascii="黑体" w:eastAsia="黑体" w:hint="eastAsia"/>
          <w:sz w:val="96"/>
          <w:szCs w:val="96"/>
        </w:rPr>
        <w:t>第四部分</w:t>
      </w:r>
    </w:p>
    <w:p>
      <w:pPr>
        <w:widowControl/>
        <w:jc w:val="center"/>
        <w:spacing w:line="1200" w:lineRule="exact"/>
        <w:rPr>
          <w:color w:val="000000"/>
          <w:sz w:val="96"/>
          <w:szCs w:val="96"/>
        </w:rPr>
      </w:pPr>
      <w:r>
        <w:rPr>
          <w:color w:val="000000"/>
          <w:rFonts w:ascii="黑体" w:eastAsia="黑体" w:hint="eastAsia"/>
          <w:sz w:val="96"/>
          <w:szCs w:val="96"/>
        </w:rPr>
        <w:t>名词解释</w:t>
      </w:r>
    </w:p>
    <w:p>
      <w:pPr>
        <w:sectPr>
          <w:docGrid w:type="lines" w:linePitch="312" w:charSpace="0"/>
          <w:pgSz w:w="11906" w:h="16838"/>
          <w:pgMar w:left="1588" w:right="1474" w:top="2098" w:bottom="1984" w:header="851" w:footer="992" w:gutter="0"/>
        </w:sectPr>
        <w:rPr>
          <w:kern w:val="0"/>
          <w:color w:val="000000"/>
          <w:rFonts w:ascii="宋体" w:cs="ArialUnicodeMS"/>
        </w:rPr>
      </w:pPr>
    </w:p>
    <w:p>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（一）财政拨款收入：</w:t>
      </w:r>
      <w:r>
        <w:rPr>
          <w:kern w:val="0"/>
          <w:color w:val="000000"/>
          <w:rFonts w:ascii="仿宋_GB2312" w:eastAsia="仿宋_GB2312" w:hint="eastAsia"/>
          <w:sz w:val="32"/>
          <w:szCs w:val="32"/>
        </w:rPr>
        <w:t>本年度从本级财政部门取得的财政拨款，包括一般公共预算财政拨款和政府性基金预算财政拨款。</w:t>
      </w:r>
    </w:p>
    <w:p>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（二）事业收入：</w:t>
      </w:r>
      <w:r>
        <w:rPr>
          <w:kern w:val="0"/>
          <w:color w:val="000000"/>
          <w:rFonts w:ascii="仿宋_GB2312" w:eastAsia="仿宋_GB2312" w:hint="eastAsia"/>
          <w:sz w:val="32"/>
          <w:szCs w:val="32"/>
        </w:rPr>
        <w:t>指事业单位开展专业业务活动及辅助活动所取得的收入。</w:t>
      </w:r>
    </w:p>
    <w:p>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（三）其他收入：</w:t>
      </w:r>
      <w:r>
        <w:rPr>
          <w:kern w:val="0"/>
          <w:color w:val="000000"/>
          <w:rFonts w:ascii="仿宋_GB2312" w:eastAsia="仿宋_GB2312" w:hint="eastAsia"/>
          <w:sz w:val="32"/>
          <w:szCs w:val="32"/>
        </w:rPr>
        <w:t>指除上述“财政拨款收入”“事业收入”“经营收入”等以外的收入。</w:t>
      </w:r>
    </w:p>
    <w:p>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（四）用事业基金弥补收支差额：</w:t>
      </w:r>
      <w:r>
        <w:rPr>
          <w:kern w:val="0"/>
          <w:color w:val="000000"/>
          <w:rFonts w:ascii="仿宋_GB2312" w:eastAsia="仿宋_GB2312" w:hint="eastAsia"/>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（五）年初结转和结余：</w:t>
      </w:r>
      <w:r>
        <w:rPr>
          <w:kern w:val="0"/>
          <w:color w:val="000000"/>
          <w:rFonts w:ascii="仿宋_GB2312" w:eastAsia="仿宋_GB2312" w:hint="eastAsia"/>
          <w:sz w:val="32"/>
          <w:szCs w:val="32"/>
        </w:rPr>
        <w:t>指以前年度尚未完成、结转到本年仍按原规定用途继续使用的资金，或项目已完成等产生的结余资金。</w:t>
      </w:r>
    </w:p>
    <w:p>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（六）结余分配：</w:t>
      </w:r>
      <w:r>
        <w:rPr>
          <w:kern w:val="0"/>
          <w:color w:val="000000"/>
          <w:rFonts w:ascii="仿宋_GB2312" w:eastAsia="仿宋_GB2312" w:hint="eastAsia"/>
          <w:sz w:val="32"/>
          <w:szCs w:val="32"/>
        </w:rPr>
        <w:t>指事业单位按照事业单位会计制度的规定从非财政补助结余中分配的事业基金和职工福利基金等。</w:t>
      </w:r>
    </w:p>
    <w:p>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（七）年末结转和结余：</w:t>
      </w:r>
      <w:r>
        <w:rPr>
          <w:kern w:val="0"/>
          <w:color w:val="000000"/>
          <w:rFonts w:ascii="仿宋_GB2312" w:eastAsia="仿宋_GB2312" w:hint="eastAsia"/>
          <w:sz w:val="32"/>
          <w:szCs w:val="32"/>
        </w:rPr>
        <w:t>指单位按有关规定结转到下年或以后年度继续使用的资金，或项目已完成等产生的结余资金。</w:t>
      </w:r>
    </w:p>
    <w:p>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（八）基本支出：</w:t>
      </w:r>
      <w:r>
        <w:rPr>
          <w:kern w:val="0"/>
          <w:color w:val="000000"/>
          <w:rFonts w:ascii="仿宋_GB2312" w:eastAsia="仿宋_GB2312" w:hint="eastAsia"/>
          <w:sz w:val="32"/>
          <w:szCs w:val="32"/>
        </w:rPr>
        <w:t>填列单位为保障机构正常运转、完成日常工作任务而发生的各项支出。</w:t>
      </w:r>
    </w:p>
    <w:p>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（九）项目支出：</w:t>
      </w:r>
      <w:r>
        <w:rPr>
          <w:kern w:val="0"/>
          <w:color w:val="000000"/>
          <w:rFonts w:ascii="仿宋_GB2312" w:eastAsia="仿宋_GB2312" w:hint="eastAsia"/>
          <w:sz w:val="32"/>
          <w:szCs w:val="32"/>
        </w:rPr>
        <w:t>填列单位为完成特定的行政工作任务或事业发展目标，在基本支出之外发生的各项支出</w:t>
      </w:r>
    </w:p>
    <w:p>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（十）资本性支出（基本建设）：</w:t>
      </w:r>
      <w:r>
        <w:rPr>
          <w:kern w:val="0"/>
          <w:color w:val="000000"/>
          <w:rFonts w:ascii="仿宋_GB2312" w:eastAsia="仿宋_GB2312" w:hint="eastAsia"/>
          <w:sz w:val="32"/>
          <w:szCs w:val="32"/>
        </w:rPr>
        <w:t>填列切块由发展改革部门安排的基本建设支出，对企业补助支出不在此科目反映。</w:t>
      </w:r>
    </w:p>
    <w:p>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（十一）资本性支出：</w:t>
      </w:r>
      <w:r>
        <w:rPr>
          <w:kern w:val="0"/>
          <w:color w:val="000000"/>
          <w:rFonts w:ascii="仿宋_GB2312" w:eastAsia="仿宋_GB2312" w:hint="eastAsia"/>
          <w:sz w:val="32"/>
          <w:szCs w:val="32"/>
        </w:rPr>
        <w:t>填列各单位安排的资本性支出。切块由发展改革部门安排的基本建设支出不在此科目反映。</w:t>
      </w:r>
    </w:p>
    <w:p>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（十二）“三公”经费：</w:t>
      </w:r>
      <w:r>
        <w:rPr>
          <w:kern w:val="0"/>
          <w:color w:val="000000"/>
          <w:rFonts w:ascii="仿宋_GB2312" w:eastAsia="仿宋_GB2312" w:hint="eastAsia"/>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（十三）其他交通费用：</w:t>
      </w:r>
      <w:r>
        <w:rPr>
          <w:kern w:val="0"/>
          <w:color w:val="000000"/>
          <w:rFonts w:ascii="仿宋_GB2312" w:eastAsia="仿宋_GB2312" w:hint="eastAsia"/>
          <w:sz w:val="32"/>
          <w:szCs w:val="32"/>
        </w:rPr>
        <w:t>填列单位除公务用车运行维护费以外的其他交通费用。如公务交通补贴、租车费用、出租车费用、飞机、船舶等的燃料费、维修费、保险费等。</w:t>
      </w:r>
    </w:p>
    <w:p>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（十四）公务用车购置：</w:t>
      </w:r>
      <w:r>
        <w:rPr>
          <w:kern w:val="0"/>
          <w:color w:val="000000"/>
          <w:rFonts w:ascii="仿宋_GB2312" w:eastAsia="仿宋_GB2312" w:hint="eastAsia"/>
          <w:sz w:val="32"/>
          <w:szCs w:val="32"/>
        </w:rPr>
        <w:t>填列单位公务用车购置支出（含车辆购置税、牌照费）。</w:t>
      </w:r>
    </w:p>
    <w:p>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（十五）其他交通工具购置：</w:t>
      </w:r>
      <w:r>
        <w:rPr>
          <w:kern w:val="0"/>
          <w:color w:val="000000"/>
          <w:rFonts w:ascii="仿宋_GB2312" w:eastAsia="仿宋_GB2312" w:hint="eastAsia"/>
          <w:sz w:val="32"/>
          <w:szCs w:val="32"/>
        </w:rPr>
        <w:t>填列单位除公务用车外的其他各类交通工具（如船舶、飞机）购置支出（含车辆购置税、牌照费）。</w:t>
      </w:r>
    </w:p>
    <w:p>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（十六）机关运行经费：</w:t>
      </w:r>
      <w:r>
        <w:rPr>
          <w:kern w:val="0"/>
          <w:color w:val="000000"/>
          <w:rFonts w:ascii="仿宋_GB2312" w:eastAsia="仿宋_GB2312" w:hint="eastAsia"/>
          <w:sz w:val="32"/>
          <w:szCs w:val="32"/>
        </w:rPr>
        <w:t>指为保障行政单位（包括参照公务员法管理的事业单位）运行用于购买货物和服务的各项资金，包括办</w:t>
      </w:r>
      <w:bookmarkStart w:id="0" w:name="_GoBack"/>
      <w:bookmarkEnd w:id="0"/>
      <w:r>
        <w:rPr>
          <w:kern w:val="0"/>
          <w:color w:val="000000"/>
          <w:rFonts w:ascii="仿宋_GB2312" w:eastAsia="仿宋_GB2312" w:hint="eastAsia"/>
          <w:sz w:val="32"/>
          <w:szCs w:val="32"/>
        </w:rPr>
        <w:t>公及印刷费、邮电费、差旅费、会议费、福利费、日常维修费、专用材料以及一般设备购置费、办公用房水电费、办公用房取暖费、办公用房物业管理费、公务用车运行维护费以及其他费用。</w:t>
      </w:r>
    </w:p>
    <w:p>
      <w:pPr>
        <w:widowControl/>
        <w:ind w:firstLine="640"/>
        <w:spacing w:after="0" w:line="560" w:lineRule="exact"/>
        <w:rPr>
          <w:kern w:val="0"/>
          <w:rFonts w:ascii="仿宋_GB2312" w:cs="ArialUnicodeMS" w:eastAsia="仿宋_GB2312"/>
          <w:sz w:val="32"/>
          <w:szCs w:val="32"/>
        </w:rPr>
      </w:pPr>
      <w:r>
        <w:rPr>
          <w:bCs/>
          <w:kern w:val="0"/>
          <w:b/>
          <w:color w:val="000000"/>
          <w:rFonts w:ascii="仿宋_GB2312" w:eastAsia="仿宋_GB2312" w:hint="eastAsia"/>
          <w:sz w:val="32"/>
          <w:szCs w:val="32"/>
        </w:rPr>
        <w:t>（十七）经费形式</w:t>
      </w:r>
      <w:r>
        <w:rPr>
          <w:bCs/>
          <w:kern w:val="0"/>
          <w:b/>
          <w:color w:val="000000"/>
          <w:rFonts w:ascii="仿宋_GB2312" w:eastAsia="仿宋_GB2312"/>
          <w:sz w:val="32"/>
          <w:szCs w:val="32"/>
        </w:rPr>
        <w:t>:</w:t>
      </w:r>
      <w:r>
        <w:rPr>
          <w:kern w:val="0"/>
          <w:color w:val="000000"/>
          <w:rFonts w:ascii="仿宋_GB2312" w:eastAsia="仿宋_GB2312" w:hint="eastAsia"/>
          <w:sz w:val="32"/>
          <w:szCs w:val="32"/>
        </w:rPr>
        <w:t>按照经费来源，</w:t>
      </w:r>
      <w:r>
        <w:rPr>
          <w:kern w:val="0"/>
          <w:rFonts w:ascii="仿宋_GB2312" w:cs="ArialUnicodeMS" w:eastAsia="仿宋_GB2312" w:hint="eastAsia"/>
          <w:sz w:val="32"/>
          <w:szCs w:val="32"/>
        </w:rPr>
        <w:t>可分为财政拨款、财政性资金基本保证、财政性资金定额或定项补助、财政性资金零补助四类。</w:t>
      </w:r>
    </w:p>
    <w:p>
      <w:pPr>
        <w:widowControl/>
        <w:ind w:firstLine="640"/>
        <w:spacing w:after="0" w:line="560" w:lineRule="exact"/>
        <w:rPr>
          <w:kern w:val="0"/>
          <w:rFonts w:ascii="仿宋_GB2312" w:cs="ArialUnicodeMS" w:eastAsia="仿宋_GB2312"/>
          <w:sz w:val="32"/>
          <w:szCs w:val="32"/>
        </w:rPr>
      </w:pPr>
    </w:p>
    <w:p>
      <w:pPr>
        <w:widowControl/>
        <w:ind w:firstLine="640"/>
        <w:spacing w:after="0" w:line="560" w:lineRule="exact"/>
        <w:rPr>
          <w:kern w:val="0"/>
          <w:rFonts w:ascii="仿宋_GB2312" w:cs="ArialUnicodeMS" w:eastAsia="仿宋_GB2312"/>
          <w:sz w:val="32"/>
          <w:szCs w:val="32"/>
        </w:rPr>
      </w:pPr>
    </w:p>
    <w:p>
      <w:pPr>
        <w:widowControl/>
        <w:ind w:firstLine="640"/>
        <w:spacing w:after="0" w:line="560" w:lineRule="exact"/>
        <w:rPr>
          <w:kern w:val="0"/>
          <w:rFonts w:ascii="仿宋_GB2312" w:cs="ArialUnicodeMS" w:eastAsia="仿宋_GB2312"/>
          <w:sz w:val="32"/>
          <w:szCs w:val="32"/>
        </w:rPr>
      </w:pPr>
    </w:p>
    <w:p>
      <w:pPr>
        <w:widowControl/>
        <w:ind w:firstLine="640"/>
        <w:spacing w:after="0" w:line="560" w:lineRule="exact"/>
        <w:rPr>
          <w:kern w:val="0"/>
          <w:rFonts w:ascii="仿宋_GB2312" w:cs="ArialUnicodeMS" w:eastAsia="仿宋_GB2312"/>
          <w:sz w:val="32"/>
          <w:szCs w:val="32"/>
        </w:rPr>
      </w:pPr>
    </w:p>
    <w:p>
      <w:pPr>
        <w:widowControl/>
        <w:ind w:firstLine="640"/>
        <w:spacing w:after="0" w:line="560" w:lineRule="exact"/>
        <w:rPr>
          <w:kern w:val="0"/>
          <w:rFonts w:ascii="仿宋_GB2312" w:cs="ArialUnicodeMS" w:eastAsia="仿宋_GB2312"/>
          <w:sz w:val="32"/>
          <w:szCs w:val="32"/>
        </w:rPr>
      </w:pPr>
    </w:p>
    <w:p>
      <w:pPr>
        <w:widowControl/>
        <w:ind w:firstLine="640"/>
        <w:spacing w:after="0" w:line="560" w:lineRule="exact"/>
        <w:rPr>
          <w:kern w:val="0"/>
          <w:rFonts w:ascii="仿宋_GB2312" w:cs="ArialUnicodeMS" w:eastAsia="仿宋_GB2312"/>
          <w:sz w:val="32"/>
          <w:szCs w:val="32"/>
        </w:rPr>
      </w:pPr>
    </w:p>
    <w:p>
      <w:pPr>
        <w:widowControl/>
        <w:ind w:firstLine="640"/>
        <w:spacing w:after="0" w:line="560" w:lineRule="exact"/>
        <w:rPr>
          <w:kern w:val="0"/>
          <w:rFonts w:ascii="仿宋_GB2312" w:cs="ArialUnicodeMS" w:eastAsia="仿宋_GB2312"/>
          <w:sz w:val="32"/>
          <w:szCs w:val="32"/>
        </w:rPr>
      </w:pPr>
    </w:p>
    <w:p>
      <w:pPr>
        <w:widowControl/>
        <w:ind w:firstLine="640"/>
        <w:spacing w:after="0" w:line="560" w:lineRule="exact"/>
        <w:rPr>
          <w:kern w:val="0"/>
          <w:rFonts w:ascii="仿宋_GB2312" w:cs="ArialUnicodeMS" w:eastAsia="仿宋_GB2312"/>
          <w:sz w:val="32"/>
          <w:szCs w:val="32"/>
        </w:rPr>
      </w:pPr>
    </w:p>
    <w:p>
      <w:pPr>
        <w:widowControl/>
        <w:ind w:firstLine="640"/>
        <w:spacing w:after="0" w:line="560" w:lineRule="exact"/>
        <w:rPr>
          <w:kern w:val="0"/>
          <w:rFonts w:ascii="仿宋_GB2312" w:cs="ArialUnicodeMS" w:eastAsia="仿宋_GB2312"/>
          <w:sz w:val="32"/>
          <w:szCs w:val="32"/>
        </w:rPr>
      </w:pPr>
    </w:p>
    <w:p>
      <w:pPr>
        <w:widowControl/>
        <w:spacing w:after="0" w:line="560" w:lineRule="exact"/>
        <w:rPr>
          <w:kern w:val="0"/>
          <w:rFonts w:ascii="仿宋_GB2312" w:cs="ArialUnicodeMS" w:eastAsia="仿宋_GB2312"/>
          <w:sz w:val="32"/>
          <w:szCs w:val="32"/>
        </w:rPr>
      </w:pPr>
    </w:p>
    <w:sectPr>
      <w:docGrid w:type="lines" w:linePitch="312" w:charSpace="0"/>
      <w:pgSz w:w="11906" w:h="16838"/>
      <w:pgMar w:left="1588" w:right="1474" w:top="2098" w:bottom="1985" w:header="851" w:footer="992" w:gutter="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黑体">
    <w:altName w:val="SimHei"/>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ArialUnicodeMS">
    <w:altName w:val="Arial Unicode MS"/>
    <w:panose1 w:val="00000000000000000000"/>
    <w:charset w:val="81"/>
    <w:family w:val="auto"/>
    <w:pitch w:val="variable"/>
    <w:sig w:usb0="00000001" w:usb1="09060000" w:usb2="00000010" w:usb3="00000000" w:csb0="00080000" w:csb1="00000000"/>
  </w:font>
  <w:font w:name="MS-UIGothic,Bold">
    <w:altName w:val="Arial Unicode MS"/>
    <w:panose1 w:val="00000000000000000000"/>
    <w:charset w:val="81"/>
    <w:family w:val="auto"/>
    <w:pitch w:val="variable"/>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DengXian-Regular">
    <w:altName w:val="宋体"/>
    <w:panose1 w:val="00000000000000000000"/>
    <w:charset w:val="86"/>
    <w:family w:val="auto"/>
    <w:pitch w:val="variable"/>
    <w:sig w:usb0="00000001" w:usb1="080E0000" w:usb2="00000010" w:usb3="00000000" w:csb0="00040000" w:csb1="00000000"/>
  </w:font>
  <w:font w:name="楷体_GB2312">
    <w:altName w:val="楷体"/>
    <w:panose1 w:val="00000000000000000000"/>
    <w:charset w:val="86"/>
    <w:family w:val="modern"/>
    <w:pitch w:val="variable"/>
    <w:sig w:usb0="00000001" w:usb1="080E0000" w:usb2="00000010" w:usb3="00000000" w:csb0="00040000" w:csb1="00000000"/>
  </w:font>
  <w:font w:name="DengXian-Bold">
    <w:altName w:val="宋体"/>
    <w:panose1 w:val="00000000000000000000"/>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TimesNewRomanPSMT">
    <w:altName w:val="Arial"/>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nsid w:val="45DB9A87"/>
    <w:tmpl w:val="45DB9A87"/>
    <w:lvl w:ilvl="0">
      <w:numFmt w:val="chineseCounting"/>
      <w:lvlText w:val="（%1）"/>
      <w:start w:val="3"/>
      <w:rPr>
        <w:rFonts w:cs="Times New Roman" w:hint="eastAsia"/>
      </w:rPr>
      <w:pPr>
        <w:ind w:left="0"/>
        <w:ind w:hanging="0"/>
        <w:tabs>
          <w:tab w:val="num" w:pos="0"/>
        </w:tabs>
      </w:pPr>
      <w:lvlRestart w:val="0"/>
      <w:suff w:val="nothing"/>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displayBackgroundShape/>
  <w:bordersDoNotSurroundHeader/>
  <w:bordersDoNotSurroundFooter/>
  <w:defaultTabStop w:val="420"/>
  <w:drawingGridHorizontalSpacing w:val="105"/>
  <w:drawingGridVerticalSpacing w:val="158"/>
  <w:displayHorizontalDrawingGridEvery w:val="0"/>
  <w:displayVerticalDrawingGridEvery w:val="2"/>
  <w:noPunctuationKerning/>
  <w:characterSpacingControl w:val="compressPunctuation"/>
  <w:noLineBreaksAfter w:lang="zh-CN" w:val="$([{£¥·‘“〈《「『【〔〖〝﹙﹛﹝＄（．［｛￡￥"/>
  <w:noLineBreaksBefore w:lang="zh-CN" w:val="!%),.:;&gt;?]}¢¨°·ˇˉ―‖’”…‰′″›℃∶、。〃〉》」』】〕〗〞︶︺︾﹀﹄﹚﹜﹞！＂％＇），．：；？］｀｜｝～￠"/>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US" w:eastAsia="zh-CN" w:bidi="ar-SA"/>
        <w:rFonts w:ascii="Times New Roman" w:cs="Times New Roman" w:eastAsia="宋体" w:hAnsi="Times New Roma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default="1" w:styleId="0">
    <w:name w:val="Normal"/>
    <w:pPr>
      <w:widowControl w:val="0"/>
      <w:jc w:val="both"/>
      <w:spacing w:after="160" w:line="480" w:lineRule="auto"/>
    </w:pPr>
    <w:rPr>
      <w:kern w:val="2"/>
      <w:lang w:val="en-US" w:eastAsia="zh-CN" w:bidi="ar-SA"/>
      <w:rFonts w:ascii="Times New Roman" w:cs="Times New Roman" w:eastAsia="宋体" w:hAnsi="Times New Roman"/>
      <w:sz w:val="21"/>
      <w:szCs w:val="24"/>
    </w:rPr>
  </w:style>
  <w:style w:type="paragraph" w:styleId="1">
    <w:name w:val="Heading 1"/>
    <w:basedOn w:val="0"/>
    <w:next w:val="0"/>
    <w:pPr>
      <w:keepNext/>
      <w:keepLines/>
      <w:widowControl w:val="0"/>
      <w:outlineLvl w:val="0"/>
      <w:spacing w:before="340" w:after="330" w:line="578" w:lineRule="auto"/>
    </w:pPr>
    <w:rPr>
      <w:bCs/>
      <w:kern w:val="44"/>
      <w:b/>
      <w:sz w:val="44"/>
      <w:szCs w:val="44"/>
    </w:rPr>
  </w:style>
  <w:style w:type="paragraph" w:styleId="2">
    <w:name w:val="Heading 2"/>
    <w:basedOn w:val="0"/>
    <w:next w:val="0"/>
    <w:pPr>
      <w:keepNext/>
      <w:keepLines/>
      <w:widowControl w:val="0"/>
      <w:outlineLvl w:val="1"/>
      <w:spacing w:before="260" w:after="260" w:line="415" w:lineRule="auto"/>
    </w:pPr>
    <w:rPr>
      <w:bCs/>
      <w:b/>
      <w:rFonts w:ascii="Calibri" w:cs="Arial" w:hAnsi="Calibri"/>
      <w:sz w:val="32"/>
      <w:szCs w:val="32"/>
    </w:rPr>
  </w:style>
  <w:style w:type="paragraph" w:styleId="3">
    <w:name w:val="Heading 3"/>
    <w:basedOn w:val="0"/>
    <w:next w:val="0"/>
    <w:pPr>
      <w:keepNext/>
      <w:keepLines/>
      <w:widowControl w:val="0"/>
      <w:outlineLvl w:val="2"/>
      <w:spacing w:before="260" w:after="260" w:line="415" w:lineRule="auto"/>
    </w:pPr>
    <w:rPr>
      <w:bCs/>
      <w:b/>
      <w:sz w:val="32"/>
      <w:szCs w:val="32"/>
    </w:rPr>
  </w:style>
  <w:style w:type="paragraph" w:styleId="4">
    <w:name w:val="Heading 4"/>
    <w:basedOn w:val="0"/>
    <w:next w:val="0"/>
    <w:pPr>
      <w:keepNext/>
      <w:keepLines/>
      <w:widowControl w:val="0"/>
      <w:outlineLvl w:val="3"/>
      <w:spacing w:before="280" w:after="290" w:line="377" w:lineRule="auto"/>
    </w:pPr>
    <w:rPr>
      <w:bCs/>
      <w:b/>
      <w:rFonts w:ascii="Calibri" w:cs="Arial" w:hAnsi="Calibri"/>
      <w:sz w:val="28"/>
      <w:szCs w:val="28"/>
    </w:rPr>
  </w:style>
  <w:style w:type="character" w:default="1" w:styleId="10">
    <w:name w:val="Default Paragraph Font"/>
  </w:style>
  <w:style w:type="paragraph" w:styleId="15">
    <w:name w:val="Date"/>
    <w:basedOn w:val="0"/>
    <w:next w:val="0"/>
    <w:pPr>
      <w:ind w:left="2500"/>
    </w:pPr>
  </w:style>
  <w:style w:type="paragraph" w:styleId="16">
    <w:name w:val="Balloon Text"/>
    <w:basedOn w:val="0"/>
    <w:rPr>
      <w:sz w:val="18"/>
      <w:szCs w:val="18"/>
    </w:rPr>
  </w:style>
  <w:style w:type="paragraph" w:styleId="17">
    <w:name w:val="footer"/>
    <w:basedOn w:val="0"/>
    <w:pPr>
      <w:snapToGrid w:val="0"/>
      <w:jc w:val="left"/>
      <w:tabs>
        <w:tab w:val="center" w:pos="4153"/>
        <w:tab w:val="right" w:pos="8306"/>
      </w:tabs>
    </w:pPr>
    <w:rPr>
      <w:rFonts w:ascii="Cambria" w:eastAsia="黑体" w:hAnsi="Cambria"/>
      <w:sz w:val="18"/>
      <w:szCs w:val="18"/>
    </w:rPr>
  </w:style>
  <w:style w:type="paragraph" w:styleId="18">
    <w:name w:val="header"/>
    <w:basedOn w:val="0"/>
    <w:pPr>
      <w:snapToGrid w:val="0"/>
      <w:pBdr>
        <w:bottom w:val="single" w:sz="6" w:color="auto" w:space="1"/>
      </w:pBdr>
      <w:jc w:val="center"/>
      <w:tabs>
        <w:tab w:val="center" w:pos="4153"/>
        <w:tab w:val="right" w:pos="8306"/>
      </w:tabs>
    </w:pPr>
    <w:rPr>
      <w:rFonts w:ascii="Cambria" w:eastAsia="黑体" w:hAnsi="Cambria"/>
      <w:sz w:val="18"/>
      <w:szCs w:val="18"/>
    </w:rPr>
  </w:style>
  <w:style w:type="paragraph" w:styleId="19">
    <w:name w:val="Subtitle"/>
    <w:basedOn w:val="0"/>
    <w:next w:val="0"/>
    <w:pPr>
      <w:widowControl/>
      <w:jc w:val="left"/>
      <w:spacing w:after="200" w:line="276" w:lineRule="auto"/>
    </w:pPr>
    <w:rPr>
      <w:iCs/>
      <w:spacing w:val="15"/>
      <w:kern w:val="0"/>
      <w:i/>
      <w:color w:val="F0A22E"/>
      <w:rFonts w:ascii="Calibri" w:cs="Arial" w:hAnsi="Calibri"/>
      <w:sz w:val="24"/>
    </w:rPr>
  </w:style>
  <w:style w:type="paragraph" w:styleId="20">
    <w:name w:val="Title"/>
    <w:basedOn w:val="0"/>
    <w:next w:val="0"/>
    <w:pPr>
      <w:widowControl/>
      <w:pBdr>
        <w:bottom w:val="single" w:sz="8" w:color="F0A22E" w:space="4"/>
      </w:pBdr>
      <w:jc w:val="left"/>
      <w:contextualSpacing/>
      <w:spacing w:after="300"/>
    </w:pPr>
    <w:rPr>
      <w:spacing w:val="5"/>
      <w:kern w:val="28"/>
      <w:color w:val="3A2C24"/>
      <w:rFonts w:ascii="Calibri" w:cs="Arial" w:hAnsi="Calibri"/>
      <w:sz w:val="52"/>
      <w:szCs w:val="52"/>
    </w:rPr>
  </w:style>
  <w:style w:type="paragraph" w:styleId="21">
    <w:name w:val="No Spacing1"/>
    <w:pPr>
      <w:spacing w:after="160" w:line="480" w:lineRule="auto"/>
    </w:pPr>
    <w:rPr>
      <w:kern w:val="0"/>
      <w:lang w:val="en-US" w:eastAsia="zh-CN" w:bidi="ar-SA"/>
      <w:rFonts w:ascii="Cambria" w:cs="Times New Roman" w:eastAsia="黑体" w:hAnsi="Cambria"/>
      <w:sz w:val="22"/>
      <w:szCs w:val="22"/>
    </w:rPr>
  </w:style>
  <w:style w:type="character" w:styleId="22">
    <w:name w:val="Style1"/>
    <w:basedOn w:val="10"/>
    <w:rPr>
      <w:lang w:eastAsia="zh-CN"/>
      <w:rFonts w:ascii="Cambria" w:cs="Times New Roman" w:eastAsia="黑体" w:hAnsi="Cambria"/>
      <w:sz w:val="22"/>
      <w:szCs w:val="22"/>
    </w:rPr>
  </w:style>
  <w:style w:type="character" w:styleId="23">
    <w:name w:val="Style2"/>
    <w:basedOn w:val="10"/>
    <w:rPr>
      <w:lang w:eastAsia="zh-CN"/>
      <w:rFonts w:ascii="Cambria" w:cs="Times New Roman" w:eastAsia="黑体" w:hAnsi="Cambria"/>
      <w:sz w:val="22"/>
      <w:szCs w:val="22"/>
    </w:rPr>
  </w:style>
  <w:style w:type="character" w:styleId="24">
    <w:name w:val="Style3"/>
    <w:basedOn w:val="10"/>
    <w:rPr>
      <w:lang w:eastAsia="zh-CN"/>
      <w:rFonts w:ascii="Cambria" w:cs="Times New Roman" w:eastAsia="黑体" w:hAnsi="Cambria"/>
      <w:sz w:val="22"/>
      <w:szCs w:val="22"/>
    </w:rPr>
  </w:style>
  <w:style w:type="character" w:styleId="25">
    <w:name w:val="Style4"/>
    <w:basedOn w:val="10"/>
    <w:rPr>
      <w:lang w:eastAsia="zh-CN"/>
      <w:rFonts w:ascii="Cambria" w:cs="Times New Roman" w:eastAsia="黑体" w:hAnsi="Cambria"/>
      <w:sz w:val="22"/>
      <w:szCs w:val="22"/>
    </w:rPr>
  </w:style>
  <w:style w:type="character" w:styleId="26">
    <w:name w:val="Style5"/>
    <w:basedOn w:val="10"/>
    <w:rPr>
      <w:lang w:eastAsia="zh-CN"/>
      <w:rFonts w:ascii="Cambria" w:cs="Times New Roman" w:eastAsia="黑体" w:hAnsi="Cambria"/>
      <w:sz w:val="22"/>
      <w:szCs w:val="22"/>
    </w:rPr>
  </w:style>
  <w:style w:type="paragraph" w:styleId="27">
    <w:name w:val="List Paragraph1"/>
    <w:basedOn w:val="0"/>
    <w:pPr>
      <w:ind w:firstLine="200"/>
    </w:pPr>
  </w:style>
  <w:style w:type="paragraph" w:styleId="28">
    <w:name w:val="[Normal]"/>
    <w:pPr>
      <w:widowControl w:val="0"/>
      <w:autoSpaceDE w:val="0"/>
      <w:autoSpaceDN w:val="0"/>
      <w:adjustRightInd w:val="0"/>
    </w:pPr>
    <w:rPr>
      <w:kern w:val="0"/>
      <w:lang w:val="en-US" w:eastAsia="zh-CN" w:bidi="ar-SA"/>
      <w:rFonts w:ascii="宋体" w:cs="Times New Roman" w:eastAsia="宋体"/>
      <w:sz w:val="24"/>
      <w:szCs w:val="20"/>
    </w:rPr>
  </w:style>
  <w:style w:type="character" w:styleId="29">
    <w:name w:val="annotation reference"/>
    <w:basedOn w:val="10"/>
    <w:rPr>
      <w:rFonts w:cs="Times New Roman"/>
      <w:sz w:val="21"/>
      <w:szCs w:val="21"/>
    </w:rPr>
  </w:style>
  <w:style w:type="paragraph" w:styleId="30">
    <w:name w:val="annotation text"/>
    <w:basedOn w:val="0"/>
    <w:pPr>
      <w:jc w:val="left"/>
    </w:pPr>
  </w:style>
  <w:style w:type="paragraph" w:styleId="31">
    <w:name w:val="annotation subject"/>
    <w:basedOn w:val="30"/>
    <w:next w:val="30"/>
    <w:rPr>
      <w:bCs/>
      <w:b/>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274</TotalTime>
  <Application>Yozo_Office</Application>
  <Pages>16</Pages>
  <Words>4189</Words>
  <Characters>4528</Characters>
  <Lines>262</Lines>
  <Paragraphs>87</Paragraphs>
  <CharactersWithSpaces>4547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2017年度部门决算</dc:title>
  <dc:subject>石家庄市xxx部门</dc:subject>
  <dc:creator>User</dc:creator>
  <cp:lastModifiedBy>user</cp:lastModifiedBy>
  <cp:revision>45</cp:revision>
  <cp:lastPrinted>2019-09-27T00:42:00Z</cp:lastPrinted>
  <dcterms:created xsi:type="dcterms:W3CDTF">2019-09-26T01:09:00Z</dcterms:created>
  <dcterms:modified xsi:type="dcterms:W3CDTF">2021-06-01T07:33:17Z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2052-11.1.0.9098</vt:lpwstr>
  </property>
</Properties>
</file>