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widowControl/>
        <w:spacing w:line="1200" w:lineRule="exact"/>
        <w:jc w:val="center"/>
        <w:rPr>
          <w:rFonts w:ascii="宋体" w:cs="宋体"/>
          <w:color w:val="000000"/>
          <w:sz w:val="32"/>
          <w:szCs w:val="32"/>
        </w:rPr>
      </w:pPr>
    </w:p>
    <w:p>
      <w:pPr>
        <w:widowControl/>
        <w:spacing w:line="1200" w:lineRule="exact"/>
        <w:jc w:val="center"/>
        <w:rPr>
          <w:rFonts w:ascii="??" w:hAnsi="??"/>
          <w:color w:val="000000"/>
          <w:sz w:val="96"/>
          <w:szCs w:val="96"/>
        </w:rPr>
      </w:pPr>
    </w:p>
    <w:p>
      <w:pPr>
        <w:widowControl/>
        <w:spacing w:line="1200" w:lineRule="exact"/>
        <w:jc w:val="center"/>
        <w:rPr>
          <w:color w:val="000000"/>
          <w:sz w:val="96"/>
          <w:szCs w:val="96"/>
        </w:rPr>
      </w:pPr>
      <w:r>
        <w:rPr>
          <w:sz w:val="84"/>
          <w:szCs w:val="84"/>
        </w:rPr>
        <w:t>2018</w:t>
      </w:r>
      <w:r>
        <w:rPr>
          <w:rFonts w:hint="eastAsia"/>
          <w:sz w:val="84"/>
          <w:szCs w:val="84"/>
        </w:rPr>
        <w:t>年度部门决算公开</w:t>
      </w:r>
    </w:p>
    <w:p>
      <w:pPr>
        <w:widowControl/>
        <w:jc w:val="center"/>
        <w:rPr>
          <w:rFonts w:ascii="??" w:hAnsi="??"/>
          <w:color w:val="002060"/>
          <w:sz w:val="72"/>
          <w:szCs w:val="72"/>
        </w:rPr>
      </w:pPr>
    </w:p>
    <w:p>
      <w:pPr>
        <w:widowControl/>
        <w:jc w:val="center"/>
        <w:rPr>
          <w:rFonts w:ascii="??" w:hAnsi="??"/>
          <w:b/>
          <w:sz w:val="72"/>
          <w:szCs w:val="72"/>
        </w:rPr>
      </w:pPr>
    </w:p>
    <w:p>
      <w:pPr>
        <w:widowControl/>
        <w:jc w:val="center"/>
        <w:rPr>
          <w:rFonts w:ascii="??" w:hAnsi="??"/>
          <w:b/>
          <w:sz w:val="72"/>
          <w:szCs w:val="72"/>
        </w:rPr>
      </w:pPr>
    </w:p>
    <w:p>
      <w:pPr>
        <w:widowControl/>
        <w:jc w:val="center"/>
        <w:rPr>
          <w:rFonts w:ascii="??" w:hAnsi="??"/>
          <w:b/>
          <w:sz w:val="72"/>
          <w:szCs w:val="72"/>
        </w:rPr>
      </w:pPr>
    </w:p>
    <w:p>
      <w:pPr>
        <w:widowControl/>
        <w:jc w:val="center"/>
        <w:rPr>
          <w:rFonts w:ascii="??" w:hAnsi="??"/>
          <w:b/>
          <w:sz w:val="72"/>
          <w:szCs w:val="72"/>
        </w:rPr>
      </w:pPr>
    </w:p>
    <w:p>
      <w:pPr>
        <w:widowControl/>
        <w:jc w:val="center"/>
        <w:rPr>
          <w:rFonts w:ascii="??" w:hAnsi="??"/>
          <w:b/>
          <w:sz w:val="72"/>
          <w:szCs w:val="72"/>
        </w:rPr>
      </w:pPr>
    </w:p>
    <w:p>
      <w:pPr>
        <w:jc w:val="center"/>
        <w:rPr>
          <w:sz w:val="44"/>
          <w:szCs w:val="44"/>
        </w:rPr>
      </w:pPr>
      <w:r>
        <w:rPr>
          <w:rFonts w:hint="eastAsia"/>
          <w:sz w:val="44"/>
          <w:szCs w:val="44"/>
        </w:rPr>
        <w:t>廊坊市广阳区粮食局</w:t>
      </w:r>
    </w:p>
    <w:p/>
    <w:p/>
    <w:p/>
    <w:p/>
    <w:p/>
    <w:p>
      <w:pPr>
        <w:widowControl/>
        <w:jc w:val="center"/>
        <w:rPr>
          <w:color w:val="000000"/>
          <w:sz w:val="72"/>
          <w:szCs w:val="72"/>
        </w:rPr>
      </w:pPr>
      <w:r>
        <w:rPr>
          <w:rFonts w:ascii="??" w:hAnsi="??" w:hint="eastAsia"/>
          <w:color w:val="000000"/>
          <w:sz w:val="72"/>
          <w:szCs w:val="72"/>
        </w:rPr>
        <w:t>第一部分</w:t>
      </w:r>
      <w:r>
        <w:rPr>
          <w:rFonts w:ascii="??" w:hAnsi="??"/>
          <w:color w:val="000000"/>
          <w:sz w:val="72"/>
          <w:szCs w:val="72"/>
        </w:rPr>
        <w:t xml:space="preserve">  </w:t>
      </w:r>
      <w:r>
        <w:rPr>
          <w:rFonts w:ascii="??" w:hAnsi="??" w:hint="eastAsia"/>
          <w:color w:val="000000"/>
          <w:sz w:val="72"/>
          <w:szCs w:val="72"/>
        </w:rPr>
        <w:t>部门概况</w:t>
      </w:r>
    </w:p>
    <w:p/>
    <w:p/>
    <w:p/>
    <w:p/>
    <w:p/>
    <w:p/>
    <w:p/>
    <w:p/>
    <w:p/>
    <w:p/>
    <w:p/>
    <w:p/>
    <w:p>
      <w:pPr>
        <w:pStyle w:val="1"/>
        <w:spacing w:before="0" w:after="0" w:line="600" w:lineRule="exact"/>
        <w:ind w:firstLineChars="200" w:firstLine="640"/>
        <w:jc w:val="left"/>
        <w:rPr>
          <w:rFonts w:ascii="??" w:cs="??" w:hAnsi="??"/>
          <w:b w:val="0"/>
          <w:bCs w:val="0"/>
          <w:kern w:val="0"/>
          <w:sz w:val="32"/>
          <w:szCs w:val="32"/>
        </w:rPr>
      </w:pPr>
      <w:r>
        <w:rPr>
          <w:rFonts w:ascii="??" w:cs="??" w:hAnsi="??" w:hint="eastAsia"/>
          <w:b w:val="0"/>
          <w:bCs w:val="0"/>
          <w:kern w:val="0"/>
          <w:sz w:val="32"/>
          <w:szCs w:val="32"/>
        </w:rPr>
        <w:t>一、部门职责</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t>1</w:t>
      </w:r>
      <w:r>
        <w:rPr>
          <w:rFonts w:ascii="仿宋_GB2312" w:eastAsia="仿宋_GB2312" w:cs="ArialUnicodeMS" w:hint="eastAsia"/>
          <w:kern w:val="0"/>
          <w:sz w:val="32"/>
          <w:szCs w:val="32"/>
        </w:rPr>
        <w:t>、负责全区粮食流通管理，对从事粮食收购经营者，按照有关规定进行行政审批；对粮食经营者从事的粮食收购、储存、运输和政策性用粮购销活动进行监督检查，维护粮食市场秩序。</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t>2</w:t>
      </w:r>
      <w:r>
        <w:rPr>
          <w:rFonts w:ascii="仿宋_GB2312" w:eastAsia="仿宋_GB2312" w:cs="ArialUnicodeMS" w:hint="eastAsia"/>
          <w:kern w:val="0"/>
          <w:sz w:val="32"/>
          <w:szCs w:val="32"/>
        </w:rPr>
        <w:t>、引导国有粮食企业深化改革；指导、监督国有独资、国有控股企业对国家粮食各项政策的贯彻落实，管理好国有资产，使国有资产保值增值，不流失。</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t>3</w:t>
      </w:r>
      <w:r>
        <w:rPr>
          <w:rFonts w:ascii="仿宋_GB2312" w:eastAsia="仿宋_GB2312" w:cs="ArialUnicodeMS" w:hint="eastAsia"/>
          <w:kern w:val="0"/>
          <w:sz w:val="32"/>
          <w:szCs w:val="32"/>
        </w:rPr>
        <w:t>、建立科学的粮食市场信息和价格监控体系，及时掌握市场信息；以稳定粮价，稳定市场为重点，引导粮食生产和流通，当好政府粮食宏观调控助手和参谋。</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t>4</w:t>
      </w:r>
      <w:r>
        <w:rPr>
          <w:rFonts w:ascii="仿宋_GB2312" w:eastAsia="仿宋_GB2312" w:cs="ArialUnicodeMS" w:hint="eastAsia"/>
          <w:kern w:val="0"/>
          <w:sz w:val="32"/>
          <w:szCs w:val="32"/>
        </w:rPr>
        <w:t>、建立粮食储备体系，落实宏观调控措施，保证粮食市场安全；建立粮食应急预案；推广安全储粮技术，确保储粮安全。</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kern w:val="0"/>
          <w:sz w:val="32"/>
          <w:szCs w:val="32"/>
        </w:rPr>
        <w:t>5</w:t>
      </w:r>
      <w:r>
        <w:rPr>
          <w:rFonts w:ascii="仿宋_GB2312" w:eastAsia="仿宋_GB2312" w:cs="ArialUnicodeMS" w:hint="eastAsia"/>
          <w:kern w:val="0"/>
          <w:sz w:val="32"/>
          <w:szCs w:val="32"/>
        </w:rPr>
        <w:t>、负责对全社会粮食流通统计及粮情调查工作，并及时上报各种统计报表。</w:t>
      </w:r>
    </w:p>
    <w:p>
      <w:pPr>
        <w:pStyle w:val="1"/>
        <w:spacing w:before="0" w:after="0" w:line="600" w:lineRule="exact"/>
        <w:ind w:firstLineChars="200" w:firstLine="640"/>
        <w:jc w:val="left"/>
        <w:rPr>
          <w:rFonts w:ascii="??" w:cs="??" w:hAnsi="??"/>
          <w:b w:val="0"/>
          <w:bCs w:val="0"/>
          <w:kern w:val="0"/>
          <w:sz w:val="32"/>
          <w:szCs w:val="32"/>
        </w:rPr>
      </w:pPr>
      <w:r>
        <w:rPr>
          <w:rFonts w:ascii="??" w:cs="??" w:hAnsi="??" w:hint="eastAsia"/>
          <w:b w:val="0"/>
          <w:bCs w:val="0"/>
          <w:kern w:val="0"/>
          <w:sz w:val="32"/>
          <w:szCs w:val="32"/>
        </w:rPr>
        <w:t>二、机构设置</w:t>
      </w:r>
    </w:p>
    <w:p>
      <w:pPr>
        <w:spacing w:after="0" w:line="560" w:lineRule="exact"/>
        <w:ind w:firstLineChars="200" w:firstLine="640"/>
        <w:rPr>
          <w:rFonts w:ascii="仿宋_GB2312" w:eastAsia="仿宋_GB2312" w:cs="ArialUnicodeMS"/>
          <w:kern w:val="0"/>
          <w:sz w:val="32"/>
          <w:szCs w:val="32"/>
        </w:rPr>
      </w:pPr>
      <w:r>
        <w:rPr>
          <w:rFonts w:ascii="仿宋_GB2312" w:eastAsia="仿宋_GB2312" w:cs="ArialUnicodeMS" w:hint="eastAsia"/>
          <w:kern w:val="0"/>
          <w:sz w:val="32"/>
          <w:szCs w:val="32"/>
        </w:rPr>
        <w:t>从决算编报单位构成看，纳入</w:t>
      </w:r>
      <w:r>
        <w:rPr>
          <w:rFonts w:ascii="仿宋_GB2312" w:eastAsia="仿宋_GB2312" w:cs="ArialUnicodeMS"/>
          <w:kern w:val="0"/>
          <w:sz w:val="32"/>
          <w:szCs w:val="32"/>
        </w:rPr>
        <w:t xml:space="preserve">2018 </w:t>
      </w:r>
      <w:r>
        <w:rPr>
          <w:rFonts w:ascii="仿宋_GB2312" w:eastAsia="仿宋_GB2312" w:cs="ArialUnicodeMS" w:hint="eastAsia"/>
          <w:kern w:val="0"/>
          <w:sz w:val="32"/>
          <w:szCs w:val="32"/>
        </w:rPr>
        <w:t>年度本部门决算汇编范围的独立核算单位（以下简称“单位”）共</w:t>
      </w:r>
      <w:r>
        <w:rPr>
          <w:rFonts w:ascii="仿宋_GB2312" w:eastAsia="仿宋_GB2312" w:cs="ArialUnicodeMS"/>
          <w:kern w:val="0"/>
          <w:sz w:val="32"/>
          <w:szCs w:val="32"/>
        </w:rPr>
        <w:t>1</w:t>
      </w:r>
      <w:r>
        <w:rPr>
          <w:rFonts w:ascii="仿宋_GB2312" w:eastAsia="仿宋_GB2312" w:cs="ArialUnicodeMS" w:hint="eastAsia"/>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75"/>
        <w:gridCol w:w="3810"/>
        <w:gridCol w:w="2230"/>
        <w:gridCol w:w="2665"/>
      </w:tblGrid>
      <w:tr>
        <w:trPr>
          <w:trHeight w:val="811"/>
        </w:trPr>
        <w:tc>
          <w:tcPr>
            <w:tcW w:w="87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序号</w:t>
            </w:r>
          </w:p>
        </w:tc>
        <w:tc>
          <w:tcPr>
            <w:tcW w:w="3810"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单位名称</w:t>
            </w:r>
          </w:p>
        </w:tc>
        <w:tc>
          <w:tcPr>
            <w:tcW w:w="2230"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单位基本性质</w:t>
            </w:r>
          </w:p>
        </w:tc>
        <w:tc>
          <w:tcPr>
            <w:tcW w:w="2665" w:type="dxa"/>
            <w:vAlign w:val="center"/>
          </w:tcPr>
          <w:p>
            <w:pPr>
              <w:spacing w:after="0" w:line="560" w:lineRule="exact"/>
              <w:jc w:val="center"/>
              <w:rPr>
                <w:rFonts w:ascii="仿宋_GB2312" w:eastAsia="仿宋_GB2312" w:cs="ArialUnicodeMS"/>
                <w:b/>
                <w:bCs/>
                <w:kern w:val="0"/>
                <w:sz w:val="28"/>
                <w:szCs w:val="28"/>
              </w:rPr>
            </w:pPr>
            <w:r>
              <w:rPr>
                <w:rFonts w:ascii="仿宋_GB2312" w:eastAsia="仿宋_GB2312" w:cs="ArialUnicodeMS" w:hint="eastAsia"/>
                <w:b/>
                <w:bCs/>
                <w:kern w:val="0"/>
                <w:sz w:val="28"/>
                <w:szCs w:val="28"/>
              </w:rPr>
              <w:t>经费形式</w:t>
            </w:r>
          </w:p>
        </w:tc>
      </w:tr>
      <w:tr>
        <w:trPr>
          <w:trHeight w:val="596"/>
        </w:trPr>
        <w:tc>
          <w:tcPr>
            <w:tcW w:w="875" w:type="dxa"/>
          </w:tcPr>
          <w:p>
            <w:pPr>
              <w:spacing w:after="0" w:line="560" w:lineRule="exact"/>
              <w:jc w:val="center"/>
              <w:rPr>
                <w:rFonts w:ascii="仿宋_GB2312" w:eastAsia="仿宋_GB2312" w:cs="ArialUnicodeMS"/>
                <w:kern w:val="0"/>
                <w:sz w:val="28"/>
                <w:szCs w:val="28"/>
              </w:rPr>
            </w:pPr>
            <w:r>
              <w:rPr>
                <w:rFonts w:ascii="仿宋_GB2312" w:eastAsia="仿宋_GB2312" w:cs="ArialUnicodeMS"/>
                <w:kern w:val="0"/>
                <w:sz w:val="28"/>
                <w:szCs w:val="28"/>
              </w:rPr>
              <w:t>1</w:t>
            </w:r>
          </w:p>
        </w:tc>
        <w:tc>
          <w:tcPr>
            <w:tcW w:w="3810" w:type="dxa"/>
          </w:tcPr>
          <w:p>
            <w:pPr>
              <w:spacing w:after="0" w:line="560" w:lineRule="exact"/>
              <w:rPr>
                <w:rFonts w:ascii="仿宋_GB2312" w:eastAsia="仿宋_GB2312" w:cs="ArialUnicodeMS"/>
                <w:kern w:val="0"/>
                <w:sz w:val="28"/>
                <w:szCs w:val="28"/>
              </w:rPr>
            </w:pPr>
            <w:r>
              <w:rPr>
                <w:rFonts w:ascii="仿宋_GB2312" w:eastAsia="仿宋_GB2312" w:cs="ArialUnicodeMS" w:hint="eastAsia"/>
                <w:kern w:val="0"/>
                <w:sz w:val="28"/>
                <w:szCs w:val="28"/>
              </w:rPr>
              <w:t>廊坊市广阳区粮食局</w:t>
            </w:r>
            <w:r>
              <w:rPr>
                <w:rFonts w:ascii="仿宋_GB2312" w:eastAsia="仿宋_GB2312" w:cs="ArialUnicodeMS"/>
                <w:kern w:val="0"/>
                <w:sz w:val="28"/>
                <w:szCs w:val="28"/>
              </w:rPr>
              <w:t xml:space="preserve"> (</w:t>
            </w:r>
            <w:r>
              <w:rPr>
                <w:rFonts w:ascii="仿宋_GB2312" w:eastAsia="仿宋_GB2312" w:cs="ArialUnicodeMS" w:hint="eastAsia"/>
                <w:kern w:val="0"/>
                <w:sz w:val="28"/>
                <w:szCs w:val="28"/>
              </w:rPr>
              <w:t>本级</w:t>
            </w:r>
            <w:r>
              <w:rPr>
                <w:rFonts w:ascii="仿宋_GB2312" w:eastAsia="仿宋_GB2312" w:cs="ArialUnicodeMS"/>
                <w:kern w:val="0"/>
                <w:sz w:val="28"/>
                <w:szCs w:val="28"/>
              </w:rPr>
              <w:t>)</w:t>
            </w:r>
          </w:p>
        </w:tc>
        <w:tc>
          <w:tcPr>
            <w:tcW w:w="2230"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参公事业单位</w:t>
            </w:r>
          </w:p>
        </w:tc>
        <w:tc>
          <w:tcPr>
            <w:tcW w:w="2665" w:type="dxa"/>
          </w:tcPr>
          <w:p>
            <w:pPr>
              <w:spacing w:after="0" w:line="560" w:lineRule="exact"/>
              <w:jc w:val="center"/>
              <w:rPr>
                <w:rFonts w:ascii="仿宋_GB2312" w:eastAsia="仿宋_GB2312" w:cs="ArialUnicodeMS"/>
                <w:kern w:val="0"/>
                <w:sz w:val="28"/>
                <w:szCs w:val="28"/>
              </w:rPr>
            </w:pPr>
            <w:r>
              <w:rPr>
                <w:rFonts w:ascii="仿宋_GB2312" w:eastAsia="仿宋_GB2312" w:cs="ArialUnicodeMS" w:hint="eastAsia"/>
                <w:kern w:val="0"/>
                <w:sz w:val="28"/>
                <w:szCs w:val="28"/>
              </w:rPr>
              <w:t>财政拨款</w:t>
            </w:r>
          </w:p>
        </w:tc>
      </w:tr>
    </w:tbl>
    <w:p>
      <w:pPr>
        <w:widowControl/>
        <w:spacing w:line="560" w:lineRule="exact"/>
        <w:rPr>
          <w:rFonts w:ascii="??" w:cs="MS-UIGothic,Bold" w:hAnsi="??"/>
          <w:bCs/>
          <w:kern w:val="0"/>
          <w:sz w:val="52"/>
          <w:szCs w:val="52"/>
        </w:rPr>
        <w:sectPr>
          <w:pgSz w:w="11906" w:h="16838"/>
          <w:pgMar w:top="2098" w:right="1474" w:bottom="1984" w:left="1588" w:header="851" w:footer="992" w:gutter="0"/>
          <w:docGrid w:type="lines" w:linePitch="312" w:charSpace="0"/>
        </w:sectPr>
      </w:pPr>
    </w:p>
    <w:p>
      <w:pPr>
        <w:widowControl/>
        <w:spacing w:line="1200" w:lineRule="exact"/>
        <w:jc w:val="center"/>
        <w:rPr>
          <w:rFonts w:ascii="??" w:hAnsi="??"/>
          <w:color w:val="000000"/>
          <w:sz w:val="72"/>
          <w:szCs w:val="96"/>
        </w:rPr>
      </w:pPr>
    </w:p>
    <w:p>
      <w:pPr>
        <w:widowControl/>
        <w:spacing w:line="1200" w:lineRule="exact"/>
        <w:jc w:val="center"/>
        <w:rPr>
          <w:rFonts w:ascii="??" w:hAnsi="??"/>
          <w:color w:val="000000"/>
          <w:sz w:val="72"/>
          <w:szCs w:val="96"/>
        </w:rPr>
      </w:pPr>
    </w:p>
    <w:p>
      <w:pPr>
        <w:widowControl/>
        <w:spacing w:line="1200" w:lineRule="exact"/>
        <w:jc w:val="center"/>
        <w:rPr>
          <w:rFonts w:ascii="??" w:hAnsi="??"/>
          <w:color w:val="000000"/>
          <w:sz w:val="72"/>
          <w:szCs w:val="96"/>
        </w:rPr>
      </w:pPr>
    </w:p>
    <w:p>
      <w:pPr>
        <w:widowControl/>
        <w:spacing w:line="1200" w:lineRule="exact"/>
        <w:jc w:val="center"/>
        <w:rPr>
          <w:rFonts w:ascii="??" w:hAnsi="??"/>
          <w:color w:val="000000"/>
          <w:sz w:val="72"/>
          <w:szCs w:val="96"/>
        </w:rPr>
      </w:pPr>
      <w:r>
        <w:rPr>
          <w:rFonts w:ascii="??" w:hAnsi="??" w:hint="eastAsia"/>
          <w:color w:val="000000"/>
          <w:sz w:val="72"/>
          <w:szCs w:val="96"/>
        </w:rPr>
        <w:t>第二部分</w:t>
      </w:r>
    </w:p>
    <w:p>
      <w:pPr>
        <w:widowControl/>
        <w:spacing w:line="1200" w:lineRule="exact"/>
        <w:jc w:val="center"/>
        <w:rPr>
          <w:color w:val="000000"/>
          <w:sz w:val="72"/>
          <w:szCs w:val="96"/>
        </w:rPr>
      </w:pPr>
      <w:r>
        <w:rPr>
          <w:rFonts w:ascii="??" w:hAnsi="??"/>
          <w:color w:val="000000"/>
          <w:sz w:val="72"/>
          <w:szCs w:val="96"/>
        </w:rPr>
        <w:t>2018</w:t>
      </w:r>
      <w:r>
        <w:rPr>
          <w:rFonts w:ascii="??" w:hAnsi="??" w:hint="eastAsia"/>
          <w:color w:val="000000"/>
          <w:sz w:val="72"/>
          <w:szCs w:val="96"/>
        </w:rPr>
        <w:t>年度部门决算报表</w:t>
      </w: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60" w:lineRule="exact"/>
        <w:jc w:val="center"/>
        <w:rPr>
          <w:rFonts w:ascii="??" w:cs="MS-UIGothic,Bold" w:hAnsi="??"/>
          <w:bCs/>
          <w:kern w:val="0"/>
          <w:sz w:val="52"/>
          <w:szCs w:val="52"/>
        </w:rPr>
      </w:pPr>
    </w:p>
    <w:p>
      <w:pPr>
        <w:widowControl/>
        <w:spacing w:line="580" w:lineRule="exact"/>
        <w:ind w:firstLineChars="200" w:firstLine="400"/>
        <w:rPr>
          <w:rFonts w:eastAsia="仿宋_GB2312"/>
          <w:sz w:val="20"/>
          <w:szCs w:val="32"/>
        </w:rPr>
      </w:pPr>
    </w:p>
    <w:p>
      <w:pPr>
        <w:widowControl/>
        <w:spacing w:line="580" w:lineRule="exact"/>
        <w:ind w:left="640" w:firstLineChars="200" w:firstLine="640"/>
        <w:rPr>
          <w:rFonts w:eastAsia="仿宋_GB2312"/>
          <w:sz w:val="32"/>
          <w:szCs w:val="32"/>
        </w:rPr>
      </w:pPr>
      <w:r>
        <w:rPr>
          <w:rFonts w:eastAsia="仿宋_GB2312" w:hint="eastAsia"/>
          <w:sz w:val="32"/>
          <w:szCs w:val="32"/>
        </w:rPr>
        <w:t>一、收入支出决算总表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二、收入决算表</w:t>
      </w:r>
    </w:p>
    <w:p>
      <w:pPr>
        <w:widowControl/>
        <w:spacing w:line="580" w:lineRule="exact"/>
        <w:ind w:left="640" w:firstLineChars="200" w:firstLine="640"/>
        <w:rPr>
          <w:rFonts w:eastAsia="仿宋_GB2312"/>
          <w:sz w:val="32"/>
          <w:szCs w:val="32"/>
        </w:rPr>
      </w:pPr>
      <w:r>
        <w:rPr>
          <w:rFonts w:eastAsia="仿宋_GB2312" w:hint="eastAsia"/>
          <w:sz w:val="32"/>
          <w:szCs w:val="32"/>
        </w:rPr>
        <w:t>三、支出决算表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四、财政拨款收入支出决算总表</w:t>
      </w:r>
    </w:p>
    <w:p>
      <w:pPr>
        <w:widowControl/>
        <w:spacing w:line="580" w:lineRule="exact"/>
        <w:ind w:left="640" w:firstLineChars="200" w:firstLine="640"/>
        <w:rPr>
          <w:rFonts w:eastAsia="仿宋_GB2312"/>
          <w:sz w:val="32"/>
          <w:szCs w:val="32"/>
        </w:rPr>
      </w:pPr>
      <w:r>
        <w:rPr>
          <w:rFonts w:eastAsia="仿宋_GB2312" w:hint="eastAsia"/>
          <w:sz w:val="32"/>
          <w:szCs w:val="32"/>
        </w:rPr>
        <w:t>五、一般公共预算财政拨款支出决算表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六、一般公共预算财政拨款基本支出决算表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七、一般公共预算财政拨款</w:t>
      </w:r>
      <w:r>
        <w:rPr>
          <w:rFonts w:eastAsia="仿宋_GB2312"/>
          <w:sz w:val="32"/>
          <w:szCs w:val="32"/>
        </w:rPr>
        <w:t>“</w:t>
      </w:r>
      <w:r>
        <w:rPr>
          <w:rFonts w:eastAsia="仿宋_GB2312" w:hint="eastAsia"/>
          <w:sz w:val="32"/>
          <w:szCs w:val="32"/>
        </w:rPr>
        <w:t>三公</w:t>
      </w:r>
      <w:r>
        <w:rPr>
          <w:rFonts w:eastAsia="仿宋_GB2312"/>
          <w:sz w:val="32"/>
          <w:szCs w:val="32"/>
        </w:rPr>
        <w:t>”</w:t>
      </w:r>
      <w:r>
        <w:rPr>
          <w:rFonts w:eastAsia="仿宋_GB2312" w:hint="eastAsia"/>
          <w:sz w:val="32"/>
          <w:szCs w:val="32"/>
        </w:rPr>
        <w:t>经费支出决算表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八、政府性基金预算财政拨款收入支出决算表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九、国有资本经营预算财政拨款支出决算表</w:t>
      </w:r>
    </w:p>
    <w:p>
      <w:pPr>
        <w:widowControl/>
        <w:spacing w:line="580" w:lineRule="exact"/>
        <w:ind w:left="640" w:firstLineChars="200" w:firstLine="640"/>
        <w:rPr>
          <w:rFonts w:eastAsia="仿宋_GB2312"/>
          <w:sz w:val="32"/>
          <w:szCs w:val="32"/>
        </w:rPr>
      </w:pPr>
      <w:r>
        <w:rPr>
          <w:rFonts w:eastAsia="仿宋_GB2312" w:hint="eastAsia"/>
          <w:sz w:val="32"/>
          <w:szCs w:val="32"/>
        </w:rPr>
        <w:t>十、政府采购情况表</w:t>
      </w:r>
    </w:p>
    <w:p>
      <w:pPr>
        <w:rPr>
          <w:rFonts w:ascii="宋体" w:cs="ArialUnicodeMS"/>
          <w:color w:val="000000"/>
          <w:kern w:val="0"/>
        </w:rPr>
      </w:pPr>
    </w:p>
    <w:p>
      <w:pPr>
        <w:tabs>
          <w:tab w:val="left" w:pos="1086"/>
        </w:tabs>
        <w:jc w:val="left"/>
        <w:rPr>
          <w:rFonts w:ascii="仿宋_GB2312" w:eastAsia="仿宋_GB2312"/>
          <w:b/>
          <w:sz w:val="28"/>
          <w:szCs w:val="28"/>
          <w:highlight w:val="yellow"/>
        </w:rPr>
        <w:sectPr>
          <w:pgSz w:w="11906" w:h="16838"/>
          <w:pgMar w:top="2098" w:right="1474" w:bottom="1984" w:left="1588" w:header="851" w:footer="992" w:gutter="0"/>
          <w:docGrid w:type="lines" w:linePitch="312" w:charSpace="0"/>
        </w:sectPr>
      </w:pPr>
      <w:r>
        <w:tab/>
      </w: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72"/>
          <w:szCs w:val="72"/>
        </w:rPr>
      </w:pPr>
      <w:r>
        <w:rPr>
          <w:rFonts w:ascii="??" w:hAnsi="??" w:hint="eastAsia"/>
          <w:color w:val="000000"/>
          <w:sz w:val="72"/>
          <w:szCs w:val="72"/>
        </w:rPr>
        <w:t>第三部分</w:t>
      </w:r>
    </w:p>
    <w:p>
      <w:pPr>
        <w:widowControl/>
        <w:spacing w:line="1200" w:lineRule="exact"/>
        <w:jc w:val="center"/>
        <w:rPr>
          <w:color w:val="000000"/>
          <w:sz w:val="72"/>
          <w:szCs w:val="72"/>
        </w:rPr>
      </w:pPr>
      <w:r>
        <w:rPr>
          <w:rFonts w:ascii="??" w:hAnsi="??" w:hint="eastAsia"/>
          <w:color w:val="000000"/>
          <w:sz w:val="72"/>
          <w:szCs w:val="72"/>
        </w:rPr>
        <w:t>部门决算情况说明</w:t>
      </w:r>
    </w:p>
    <w:p>
      <w:pPr>
        <w:rPr>
          <w:rFonts w:ascii="宋体" w:cs="ArialUnicodeMS"/>
          <w:color w:val="000000"/>
          <w:kern w:val="0"/>
        </w:rPr>
        <w:sectPr>
          <w:pgSz w:w="11906" w:h="16838"/>
          <w:pgMar w:top="2098" w:right="1474" w:bottom="1984" w:left="1588" w:header="851" w:footer="992" w:gutter="0"/>
          <w:docGrid w:type="lines" w:linePitch="312" w:charSpace="0"/>
        </w:sectPr>
      </w:pPr>
    </w:p>
    <w:p>
      <w:pPr>
        <w:pStyle w:val="2"/>
        <w:spacing w:before="0" w:after="0" w:line="580" w:lineRule="exact"/>
        <w:ind w:firstLineChars="200" w:firstLine="640"/>
        <w:rPr>
          <w:rFonts w:ascii="??" w:hAnsi="??"/>
          <w:b w:val="0"/>
          <w:bCs w:val="0"/>
        </w:rPr>
      </w:pPr>
      <w:r>
        <w:rPr>
          <w:rFonts w:ascii="??" w:hAnsi="??" w:hint="eastAsia"/>
          <w:b w:val="0"/>
          <w:bCs w:val="0"/>
        </w:rPr>
        <w:t>一、收入</w:t>
      </w:r>
      <w:r>
        <w:rPr>
          <w:rFonts w:ascii="??" w:cs="??" w:hAnsi="??" w:hint="eastAsia"/>
          <w:b w:val="0"/>
          <w:bCs w:val="0"/>
          <w:kern w:val="0"/>
        </w:rPr>
        <w:t>支出</w:t>
      </w:r>
      <w:r>
        <w:rPr>
          <w:rFonts w:ascii="??" w:hAnsi="??" w:hint="eastAsia"/>
          <w:b w:val="0"/>
          <w:bCs w:val="0"/>
        </w:rPr>
        <w:t>决算总体情况说明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年度收支总计（含结转和结余）</w:t>
      </w:r>
      <w:r>
        <w:rPr>
          <w:rFonts w:ascii="仿宋_GB2312" w:eastAsia="仿宋_GB2312" w:cs="DengXian-Regular"/>
          <w:sz w:val="32"/>
          <w:szCs w:val="32"/>
        </w:rPr>
        <w:t>669.3</w:t>
      </w:r>
      <w:r>
        <w:rPr>
          <w:rFonts w:ascii="仿宋_GB2312" w:eastAsia="仿宋_GB2312" w:cs="DengXian-Regular" w:hint="eastAsia"/>
          <w:sz w:val="32"/>
          <w:szCs w:val="32"/>
        </w:rPr>
        <w:t>万元，与</w:t>
      </w:r>
      <w:r>
        <w:rPr>
          <w:rFonts w:ascii="仿宋_GB2312" w:eastAsia="仿宋_GB2312" w:cs="DengXian-Regular"/>
          <w:sz w:val="32"/>
          <w:szCs w:val="32"/>
        </w:rPr>
        <w:t>2017</w:t>
      </w:r>
      <w:r>
        <w:rPr>
          <w:rFonts w:ascii="仿宋_GB2312" w:eastAsia="仿宋_GB2312" w:cs="DengXian-Regular" w:hint="eastAsia"/>
          <w:sz w:val="32"/>
          <w:szCs w:val="32"/>
        </w:rPr>
        <w:t>年度决算相比，收支分别增加</w:t>
      </w:r>
      <w:r>
        <w:rPr>
          <w:rFonts w:ascii="仿宋_GB2312" w:eastAsia="仿宋_GB2312" w:cs="DengXian-Regular"/>
          <w:sz w:val="32"/>
          <w:szCs w:val="32"/>
        </w:rPr>
        <w:t>203.32</w:t>
      </w:r>
      <w:r>
        <w:rPr>
          <w:rFonts w:ascii="仿宋_GB2312" w:eastAsia="仿宋_GB2312" w:cs="DengXian-Regular" w:hint="eastAsia"/>
          <w:sz w:val="32"/>
          <w:szCs w:val="32"/>
        </w:rPr>
        <w:t>万元，增长</w:t>
      </w:r>
      <w:r>
        <w:rPr>
          <w:rFonts w:ascii="仿宋_GB2312" w:eastAsia="仿宋_GB2312" w:cs="DengXian-Regular"/>
          <w:sz w:val="32"/>
          <w:szCs w:val="32"/>
        </w:rPr>
        <w:t>44%</w:t>
      </w:r>
      <w:r>
        <w:rPr>
          <w:rFonts w:ascii="仿宋_GB2312" w:eastAsia="仿宋_GB2312" w:cs="DengXian-Regular" w:hint="eastAsia"/>
          <w:sz w:val="32"/>
          <w:szCs w:val="32"/>
        </w:rPr>
        <w:t>，主要原因是对企业储备粮库的建设和人员经费的增加。</w:t>
      </w:r>
    </w:p>
    <w:p>
      <w:pPr>
        <w:pStyle w:val="2"/>
        <w:spacing w:before="0" w:after="0" w:line="580" w:lineRule="exact"/>
        <w:ind w:firstLineChars="200" w:firstLine="640"/>
        <w:rPr>
          <w:rFonts w:ascii="??" w:hAnsi="??"/>
          <w:b w:val="0"/>
          <w:bCs w:val="0"/>
        </w:rPr>
      </w:pPr>
      <w:r>
        <w:rPr>
          <w:rFonts w:ascii="??" w:hAnsi="??" w:hint="eastAsia"/>
          <w:b w:val="0"/>
          <w:bCs w:val="0"/>
        </w:rPr>
        <w:t>二、收入决算情况说明</w:t>
      </w:r>
    </w:p>
    <w:p>
      <w:pPr>
        <w:adjustRightInd w:val="0"/>
        <w:snapToGrid w:val="0"/>
        <w:spacing w:after="0" w:line="580" w:lineRule="exact"/>
        <w:ind w:firstLineChars="200" w:firstLine="640"/>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年度本年收入合计</w:t>
      </w:r>
      <w:r>
        <w:rPr>
          <w:rFonts w:ascii="仿宋_GB2312" w:eastAsia="仿宋_GB2312" w:cs="DengXian-Regular"/>
          <w:sz w:val="32"/>
          <w:szCs w:val="32"/>
        </w:rPr>
        <w:t>658.61</w:t>
      </w:r>
      <w:r>
        <w:rPr>
          <w:rFonts w:ascii="仿宋_GB2312" w:eastAsia="仿宋_GB2312" w:cs="DengXian-Regular" w:hint="eastAsia"/>
          <w:sz w:val="32"/>
          <w:szCs w:val="32"/>
        </w:rPr>
        <w:t>万元，其中：财政拨款收入</w:t>
      </w:r>
      <w:r>
        <w:rPr>
          <w:rFonts w:ascii="仿宋_GB2312" w:eastAsia="仿宋_GB2312" w:cs="DengXian-Regular"/>
          <w:sz w:val="32"/>
          <w:szCs w:val="32"/>
        </w:rPr>
        <w:t>600.33</w:t>
      </w:r>
      <w:r>
        <w:rPr>
          <w:rFonts w:ascii="仿宋_GB2312" w:eastAsia="仿宋_GB2312" w:cs="DengXian-Regular" w:hint="eastAsia"/>
          <w:sz w:val="32"/>
          <w:szCs w:val="32"/>
        </w:rPr>
        <w:t>万元，占</w:t>
      </w:r>
      <w:r>
        <w:rPr>
          <w:rFonts w:ascii="仿宋_GB2312" w:eastAsia="仿宋_GB2312" w:cs="DengXian-Regular"/>
          <w:sz w:val="32"/>
          <w:szCs w:val="32"/>
        </w:rPr>
        <w:t>91.0%</w:t>
      </w:r>
      <w:r>
        <w:rPr>
          <w:rFonts w:ascii="仿宋_GB2312" w:eastAsia="仿宋_GB2312" w:cs="DengXian-Regular" w:hint="eastAsia"/>
          <w:sz w:val="32"/>
          <w:szCs w:val="32"/>
        </w:rPr>
        <w:t>；事业收入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；经营收入</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；其他收入</w:t>
      </w:r>
      <w:r>
        <w:rPr>
          <w:rFonts w:ascii="仿宋_GB2312" w:eastAsia="仿宋_GB2312" w:cs="DengXian-Regular"/>
          <w:sz w:val="32"/>
          <w:szCs w:val="32"/>
        </w:rPr>
        <w:t>58.27</w:t>
      </w:r>
      <w:r>
        <w:rPr>
          <w:rFonts w:ascii="仿宋_GB2312" w:eastAsia="仿宋_GB2312" w:cs="DengXian-Regular" w:hint="eastAsia"/>
          <w:sz w:val="32"/>
          <w:szCs w:val="32"/>
        </w:rPr>
        <w:t>万元，占</w:t>
      </w:r>
      <w:r>
        <w:rPr>
          <w:rFonts w:ascii="仿宋_GB2312" w:eastAsia="仿宋_GB2312" w:cs="DengXian-Regular"/>
          <w:sz w:val="32"/>
          <w:szCs w:val="32"/>
        </w:rPr>
        <w:t>9.0%</w:t>
      </w:r>
      <w:r>
        <w:rPr>
          <w:rFonts w:ascii="仿宋_GB2312" w:eastAsia="仿宋_GB2312" w:cs="DengXian-Regular" w:hint="eastAsia"/>
          <w:sz w:val="32"/>
          <w:szCs w:val="32"/>
        </w:rPr>
        <w:t>。</w:t>
      </w:r>
    </w:p>
    <w:p>
      <w:pPr>
        <w:pStyle w:val="2"/>
        <w:spacing w:before="0" w:after="0" w:line="580" w:lineRule="exact"/>
        <w:ind w:firstLineChars="200" w:firstLine="640"/>
        <w:rPr>
          <w:rFonts w:ascii="??" w:hAnsi="??"/>
          <w:b w:val="0"/>
          <w:bCs w:val="0"/>
        </w:rPr>
      </w:pPr>
      <w:r>
        <w:rPr>
          <w:rFonts w:ascii="??" w:hAnsi="??" w:hint="eastAsia"/>
          <w:b w:val="0"/>
          <w:bCs w:val="0"/>
        </w:rPr>
        <w:t>三、支出决算情况说明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年度本年支出合计</w:t>
      </w:r>
      <w:r>
        <w:rPr>
          <w:rFonts w:ascii="仿宋_GB2312" w:eastAsia="仿宋_GB2312" w:cs="DengXian-Regular"/>
          <w:sz w:val="32"/>
          <w:szCs w:val="32"/>
        </w:rPr>
        <w:t>666.29</w:t>
      </w:r>
      <w:r>
        <w:rPr>
          <w:rFonts w:ascii="仿宋_GB2312" w:eastAsia="仿宋_GB2312" w:cs="DengXian-Regular" w:hint="eastAsia"/>
          <w:sz w:val="32"/>
          <w:szCs w:val="32"/>
        </w:rPr>
        <w:t>万元，其中：基本支出</w:t>
      </w:r>
      <w:r>
        <w:rPr>
          <w:rFonts w:ascii="仿宋_GB2312" w:eastAsia="仿宋_GB2312" w:cs="DengXian-Regular"/>
          <w:sz w:val="32"/>
          <w:szCs w:val="32"/>
        </w:rPr>
        <w:t>666.29</w:t>
      </w:r>
      <w:r>
        <w:rPr>
          <w:rFonts w:ascii="仿宋_GB2312" w:eastAsia="仿宋_GB2312" w:cs="DengXian-Regular" w:hint="eastAsia"/>
          <w:sz w:val="32"/>
          <w:szCs w:val="32"/>
        </w:rPr>
        <w:t>万元，占</w:t>
      </w:r>
      <w:r>
        <w:rPr>
          <w:rFonts w:ascii="仿宋_GB2312" w:eastAsia="仿宋_GB2312" w:cs="DengXian-Regular"/>
          <w:sz w:val="32"/>
          <w:szCs w:val="32"/>
        </w:rPr>
        <w:t>100%</w:t>
      </w:r>
      <w:r>
        <w:rPr>
          <w:rFonts w:ascii="仿宋_GB2312" w:eastAsia="仿宋_GB2312" w:cs="DengXian-Regular" w:hint="eastAsia"/>
          <w:sz w:val="32"/>
          <w:szCs w:val="32"/>
        </w:rPr>
        <w:t>；项目支出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；经营支出</w:t>
      </w:r>
      <w:r>
        <w:rPr>
          <w:rFonts w:ascii="仿宋_GB2312" w:eastAsia="仿宋_GB2312" w:cs="DengXian-Regular"/>
          <w:sz w:val="32"/>
          <w:szCs w:val="32"/>
        </w:rPr>
        <w:t>0</w:t>
      </w:r>
      <w:r>
        <w:rPr>
          <w:rFonts w:ascii="仿宋_GB2312" w:eastAsia="仿宋_GB2312" w:cs="DengXian-Regular" w:hint="eastAsia"/>
          <w:sz w:val="32"/>
          <w:szCs w:val="32"/>
        </w:rPr>
        <w:t>万元，占</w:t>
      </w:r>
      <w:r>
        <w:rPr>
          <w:rFonts w:ascii="仿宋_GB2312" w:eastAsia="仿宋_GB2312" w:cs="DengXian-Regular"/>
          <w:sz w:val="32"/>
          <w:szCs w:val="32"/>
        </w:rPr>
        <w:t>0%</w:t>
      </w:r>
      <w:r>
        <w:rPr>
          <w:rFonts w:ascii="仿宋_GB2312" w:eastAsia="仿宋_GB2312" w:cs="DengXian-Regular" w:hint="eastAsia"/>
          <w:sz w:val="32"/>
          <w:szCs w:val="32"/>
        </w:rPr>
        <w:t>。</w:t>
      </w:r>
    </w:p>
    <w:p>
      <w:pPr>
        <w:pStyle w:val="2"/>
        <w:spacing w:before="0" w:after="0" w:line="580" w:lineRule="exact"/>
        <w:ind w:firstLineChars="200" w:firstLine="640"/>
        <w:rPr>
          <w:rFonts w:ascii="??" w:hAnsi="??"/>
          <w:b w:val="0"/>
          <w:bCs w:val="0"/>
        </w:rPr>
      </w:pPr>
      <w:r>
        <w:rPr>
          <w:rFonts w:ascii="??" w:hAnsi="??" w:hint="eastAsia"/>
          <w:b w:val="0"/>
          <w:bCs w:val="0"/>
        </w:rPr>
        <w:t>四、</w:t>
      </w:r>
      <w:r>
        <w:rPr>
          <w:rFonts w:ascii="??" w:cs="??" w:hAnsi="??" w:hint="eastAsia"/>
          <w:b w:val="0"/>
          <w:bCs w:val="0"/>
          <w:kern w:val="0"/>
        </w:rPr>
        <w:t>财政</w:t>
      </w:r>
      <w:r>
        <w:rPr>
          <w:rFonts w:ascii="??" w:hAnsi="??" w:hint="eastAsia"/>
          <w:b w:val="0"/>
          <w:bCs w:val="0"/>
        </w:rPr>
        <w:t>拨款收入支出决算情况说明</w:t>
      </w:r>
    </w:p>
    <w:p>
      <w:pPr>
        <w:spacing w:after="0" w:line="580" w:lineRule="exact"/>
        <w:ind w:firstLineChars="200" w:firstLine="640"/>
        <w:rPr>
          <w:rFonts w:ascii="楷体_GB2312" w:eastAsia="楷体_GB2312" w:cs="DengXian-Bold"/>
          <w:b/>
          <w:bCs/>
          <w:sz w:val="32"/>
          <w:szCs w:val="32"/>
        </w:rPr>
      </w:pPr>
      <w:r>
        <w:rPr>
          <w:rFonts w:ascii="楷体_GB2312" w:eastAsia="楷体_GB2312" w:cs="DengXian-Bold" w:hint="eastAsia"/>
          <w:b/>
          <w:bCs/>
          <w:sz w:val="32"/>
          <w:szCs w:val="32"/>
        </w:rPr>
        <w:t>（一）财政拨款收支与</w:t>
      </w:r>
      <w:r>
        <w:rPr>
          <w:rFonts w:ascii="楷体_GB2312" w:eastAsia="楷体_GB2312" w:cs="DengXian-Bold"/>
          <w:b/>
          <w:bCs/>
          <w:sz w:val="32"/>
          <w:szCs w:val="32"/>
        </w:rPr>
        <w:t xml:space="preserve">2017 </w:t>
      </w:r>
      <w:r>
        <w:rPr>
          <w:rFonts w:ascii="楷体_GB2312" w:eastAsia="楷体_GB2312" w:cs="DengXian-Bold" w:hint="eastAsia"/>
          <w:b/>
          <w:bCs/>
          <w:sz w:val="32"/>
          <w:szCs w:val="32"/>
        </w:rPr>
        <w:t>年度决算对比情况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年度形成的财政拨款收支均为一般公共预算财政拨款，其中一般公共预算财政拨款本年收入</w:t>
      </w:r>
      <w:r>
        <w:rPr>
          <w:rFonts w:ascii="仿宋_GB2312" w:eastAsia="仿宋_GB2312" w:cs="DengXian-Regular"/>
          <w:sz w:val="32"/>
          <w:szCs w:val="32"/>
        </w:rPr>
        <w:t>600.33</w:t>
      </w:r>
      <w:r>
        <w:rPr>
          <w:rFonts w:ascii="仿宋_GB2312" w:eastAsia="仿宋_GB2312" w:cs="DengXian-Regular" w:hint="eastAsia"/>
          <w:sz w:val="32"/>
          <w:szCs w:val="32"/>
        </w:rPr>
        <w:t>万元</w:t>
      </w:r>
      <w:r>
        <w:rPr>
          <w:rFonts w:ascii="仿宋_GB2312" w:eastAsia="仿宋_GB2312" w:cs="DengXian-Regular"/>
          <w:sz w:val="32"/>
          <w:szCs w:val="32"/>
        </w:rPr>
        <w:t>,</w:t>
      </w:r>
      <w:r>
        <w:rPr>
          <w:rFonts w:ascii="仿宋_GB2312" w:eastAsia="仿宋_GB2312" w:cs="DengXian-Regular" w:hint="eastAsia"/>
          <w:sz w:val="32"/>
          <w:szCs w:val="32"/>
        </w:rPr>
        <w:t>比</w:t>
      </w:r>
      <w:r>
        <w:rPr>
          <w:rFonts w:ascii="仿宋_GB2312" w:eastAsia="仿宋_GB2312" w:cs="DengXian-Regular"/>
          <w:sz w:val="32"/>
          <w:szCs w:val="32"/>
        </w:rPr>
        <w:t>2017</w:t>
      </w:r>
      <w:r>
        <w:rPr>
          <w:rFonts w:ascii="仿宋_GB2312" w:eastAsia="仿宋_GB2312" w:cs="DengXian-Regular" w:hint="eastAsia"/>
          <w:sz w:val="32"/>
          <w:szCs w:val="32"/>
        </w:rPr>
        <w:t>年度增加</w:t>
      </w:r>
      <w:r>
        <w:rPr>
          <w:rFonts w:ascii="仿宋_GB2312" w:eastAsia="仿宋_GB2312" w:cs="DengXian-Regular"/>
          <w:sz w:val="32"/>
          <w:szCs w:val="32"/>
        </w:rPr>
        <w:t>164.9</w:t>
      </w:r>
      <w:r>
        <w:rPr>
          <w:rFonts w:ascii="仿宋_GB2312" w:eastAsia="仿宋_GB2312" w:cs="DengXian-Regular" w:hint="eastAsia"/>
          <w:sz w:val="32"/>
          <w:szCs w:val="32"/>
        </w:rPr>
        <w:t>万元，增长</w:t>
      </w:r>
      <w:r>
        <w:rPr>
          <w:rFonts w:ascii="仿宋_GB2312" w:eastAsia="仿宋_GB2312" w:cs="DengXian-Regular"/>
          <w:sz w:val="32"/>
          <w:szCs w:val="32"/>
        </w:rPr>
        <w:t>37.0%</w:t>
      </w:r>
      <w:r>
        <w:rPr>
          <w:rFonts w:ascii="仿宋_GB2312" w:eastAsia="仿宋_GB2312" w:cs="DengXian-Regular" w:hint="eastAsia"/>
          <w:sz w:val="32"/>
          <w:szCs w:val="32"/>
        </w:rPr>
        <w:t>，主要原因是对企业储备粮库的建设和人员经费的增加；本年支出</w:t>
      </w:r>
      <w:r>
        <w:rPr>
          <w:rFonts w:ascii="仿宋_GB2312" w:eastAsia="仿宋_GB2312" w:cs="DengXian-Regular"/>
          <w:sz w:val="32"/>
          <w:szCs w:val="32"/>
        </w:rPr>
        <w:t>608.01</w:t>
      </w:r>
      <w:r>
        <w:rPr>
          <w:rFonts w:ascii="仿宋_GB2312" w:eastAsia="仿宋_GB2312" w:cs="DengXian-Regular" w:hint="eastAsia"/>
          <w:sz w:val="32"/>
          <w:szCs w:val="32"/>
        </w:rPr>
        <w:t>万元，增加</w:t>
      </w:r>
      <w:r>
        <w:rPr>
          <w:rFonts w:ascii="仿宋_GB2312" w:eastAsia="仿宋_GB2312" w:cs="DengXian-Regular"/>
          <w:sz w:val="32"/>
          <w:szCs w:val="32"/>
        </w:rPr>
        <w:t>174.59</w:t>
      </w:r>
      <w:r>
        <w:rPr>
          <w:rFonts w:ascii="仿宋_GB2312" w:eastAsia="仿宋_GB2312" w:cs="DengXian-Regular" w:hint="eastAsia"/>
          <w:sz w:val="32"/>
          <w:szCs w:val="32"/>
        </w:rPr>
        <w:t>万元，增长</w:t>
      </w:r>
      <w:r>
        <w:rPr>
          <w:rFonts w:ascii="仿宋_GB2312" w:eastAsia="仿宋_GB2312" w:cs="DengXian-Regular"/>
          <w:sz w:val="32"/>
          <w:szCs w:val="32"/>
        </w:rPr>
        <w:t>40.0%</w:t>
      </w:r>
      <w:r>
        <w:rPr>
          <w:rFonts w:ascii="仿宋_GB2312" w:eastAsia="仿宋_GB2312" w:cs="DengXian-Regular" w:hint="eastAsia"/>
          <w:sz w:val="32"/>
          <w:szCs w:val="32"/>
        </w:rPr>
        <w:t>，主要原因是对企业储备粮库的建设和人员经费的增加。</w:t>
      </w:r>
    </w:p>
    <w:p>
      <w:pPr>
        <w:spacing w:after="0" w:line="580" w:lineRule="exact"/>
        <w:ind w:firstLineChars="200" w:firstLine="640"/>
        <w:rPr>
          <w:rFonts w:ascii="仿宋_GB2312" w:eastAsia="仿宋_GB2312" w:cs="DengXian-Bold"/>
          <w:b/>
          <w:bCs/>
          <w:sz w:val="32"/>
          <w:szCs w:val="32"/>
        </w:rPr>
      </w:pPr>
      <w:r>
        <w:rPr>
          <w:rFonts w:ascii="楷体_GB2312" w:eastAsia="楷体_GB2312" w:cs="DengXian-Bold" w:hint="eastAsia"/>
          <w:b/>
          <w:bCs/>
          <w:sz w:val="32"/>
          <w:szCs w:val="32"/>
        </w:rPr>
        <w:t>（二）财政拨款收支与年初预算数对比情况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年度一般公共预算财政拨款收入</w:t>
      </w:r>
      <w:r>
        <w:rPr>
          <w:rFonts w:ascii="仿宋_GB2312" w:eastAsia="仿宋_GB2312" w:cs="DengXian-Regular"/>
          <w:sz w:val="32"/>
          <w:szCs w:val="32"/>
        </w:rPr>
        <w:t>600.33</w:t>
      </w:r>
      <w:r>
        <w:rPr>
          <w:rFonts w:ascii="仿宋_GB2312" w:eastAsia="仿宋_GB2312" w:cs="DengXian-Regular" w:hint="eastAsia"/>
          <w:sz w:val="32"/>
          <w:szCs w:val="32"/>
        </w:rPr>
        <w:t>万元，完成年初预算的</w:t>
      </w:r>
      <w:r>
        <w:rPr>
          <w:rFonts w:ascii="仿宋_GB2312" w:eastAsia="仿宋_GB2312" w:cs="DengXian-Regular"/>
          <w:sz w:val="32"/>
          <w:szCs w:val="32"/>
        </w:rPr>
        <w:t>142.0%,</w:t>
      </w:r>
      <w:r>
        <w:rPr>
          <w:rFonts w:ascii="仿宋_GB2312" w:eastAsia="仿宋_GB2312" w:cs="DengXian-Regular" w:hint="eastAsia"/>
          <w:sz w:val="32"/>
          <w:szCs w:val="32"/>
        </w:rPr>
        <w:t>比年初预算增加</w:t>
      </w:r>
      <w:r>
        <w:rPr>
          <w:rFonts w:ascii="仿宋_GB2312" w:eastAsia="仿宋_GB2312" w:cs="DengXian-Regular"/>
          <w:sz w:val="32"/>
          <w:szCs w:val="32"/>
        </w:rPr>
        <w:t>179.33</w:t>
      </w:r>
      <w:r>
        <w:rPr>
          <w:rFonts w:ascii="仿宋_GB2312" w:eastAsia="仿宋_GB2312" w:cs="DengXian-Regular" w:hint="eastAsia"/>
          <w:sz w:val="32"/>
          <w:szCs w:val="32"/>
        </w:rPr>
        <w:t>万元，决算数大于预算数，主要原因是对企业储备粮库的建设和人员经费的增加；本年支出</w:t>
      </w:r>
      <w:r>
        <w:rPr>
          <w:rFonts w:ascii="仿宋_GB2312" w:eastAsia="仿宋_GB2312" w:cs="DengXian-Regular"/>
          <w:sz w:val="32"/>
          <w:szCs w:val="32"/>
        </w:rPr>
        <w:t>666.29</w:t>
      </w:r>
      <w:r>
        <w:rPr>
          <w:rFonts w:ascii="仿宋_GB2312" w:eastAsia="仿宋_GB2312" w:cs="DengXian-Regular" w:hint="eastAsia"/>
          <w:sz w:val="32"/>
          <w:szCs w:val="32"/>
        </w:rPr>
        <w:t>万元，完成年初预算的</w:t>
      </w:r>
      <w:r>
        <w:rPr>
          <w:rFonts w:ascii="仿宋_GB2312" w:eastAsia="仿宋_GB2312" w:cs="DengXian-Regular"/>
          <w:sz w:val="32"/>
          <w:szCs w:val="32"/>
        </w:rPr>
        <w:t>158.0%,</w:t>
      </w:r>
      <w:r>
        <w:rPr>
          <w:rFonts w:ascii="仿宋_GB2312" w:eastAsia="仿宋_GB2312" w:cs="DengXian-Regular" w:hint="eastAsia"/>
          <w:sz w:val="32"/>
          <w:szCs w:val="32"/>
        </w:rPr>
        <w:t>比年初预算增加</w:t>
      </w:r>
      <w:r>
        <w:rPr>
          <w:rFonts w:ascii="仿宋_GB2312" w:eastAsia="仿宋_GB2312" w:cs="DengXian-Regular"/>
          <w:sz w:val="32"/>
          <w:szCs w:val="32"/>
        </w:rPr>
        <w:t>245.29</w:t>
      </w:r>
      <w:r>
        <w:rPr>
          <w:rFonts w:ascii="仿宋_GB2312" w:eastAsia="仿宋_GB2312" w:cs="DengXian-Regular" w:hint="eastAsia"/>
          <w:sz w:val="32"/>
          <w:szCs w:val="32"/>
        </w:rPr>
        <w:t>万元，决算数大于预算数，主要原因是对企业储备粮库的建设和人员经费的增加。</w:t>
      </w:r>
    </w:p>
    <w:p>
      <w:pPr>
        <w:numPr>
          <w:ilvl w:val="0"/>
          <w:numId w:val="1"/>
        </w:num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财政拨款支出决算结构情况。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年度财政拨款支出</w:t>
      </w:r>
      <w:r>
        <w:rPr>
          <w:rFonts w:ascii="仿宋_GB2312" w:eastAsia="仿宋_GB2312" w:cs="DengXian-Regular"/>
          <w:sz w:val="32"/>
          <w:szCs w:val="32"/>
        </w:rPr>
        <w:t>666.29</w:t>
      </w:r>
      <w:r>
        <w:rPr>
          <w:rFonts w:ascii="仿宋_GB2312" w:eastAsia="仿宋_GB2312" w:cs="DengXian-Regular" w:hint="eastAsia"/>
          <w:sz w:val="32"/>
          <w:szCs w:val="32"/>
        </w:rPr>
        <w:t>万元，主要用于以下方面：社会保障和就业（类）支出</w:t>
      </w:r>
      <w:r>
        <w:rPr>
          <w:rFonts w:ascii="仿宋_GB2312" w:eastAsia="仿宋_GB2312" w:cs="DengXian-Regular"/>
          <w:sz w:val="32"/>
          <w:szCs w:val="32"/>
        </w:rPr>
        <w:t>126.62</w:t>
      </w:r>
      <w:r>
        <w:rPr>
          <w:rFonts w:ascii="仿宋_GB2312" w:eastAsia="仿宋_GB2312" w:cs="DengXian-Regular" w:hint="eastAsia"/>
          <w:sz w:val="32"/>
          <w:szCs w:val="32"/>
        </w:rPr>
        <w:t>万元，占</w:t>
      </w:r>
      <w:r>
        <w:rPr>
          <w:rFonts w:ascii="仿宋_GB2312" w:eastAsia="仿宋_GB2312" w:cs="DengXian-Regular"/>
          <w:sz w:val="32"/>
          <w:szCs w:val="32"/>
        </w:rPr>
        <w:t>20.0%</w:t>
      </w:r>
      <w:r>
        <w:rPr>
          <w:rFonts w:ascii="仿宋_GB2312" w:eastAsia="仿宋_GB2312" w:cs="DengXian-Regular" w:hint="eastAsia"/>
          <w:sz w:val="32"/>
          <w:szCs w:val="32"/>
        </w:rPr>
        <w:t>；医疗卫生与计划生育支出</w:t>
      </w:r>
      <w:r>
        <w:rPr>
          <w:rFonts w:ascii="仿宋_GB2312" w:eastAsia="仿宋_GB2312" w:cs="DengXian-Regular"/>
          <w:sz w:val="32"/>
          <w:szCs w:val="32"/>
        </w:rPr>
        <w:t>8.93</w:t>
      </w:r>
      <w:r>
        <w:rPr>
          <w:rFonts w:ascii="仿宋_GB2312" w:eastAsia="仿宋_GB2312" w:cs="DengXian-Regular" w:hint="eastAsia"/>
          <w:sz w:val="32"/>
          <w:szCs w:val="32"/>
        </w:rPr>
        <w:t>万元，占</w:t>
      </w:r>
      <w:r>
        <w:rPr>
          <w:rFonts w:ascii="仿宋_GB2312" w:eastAsia="仿宋_GB2312" w:cs="DengXian-Regular"/>
          <w:sz w:val="32"/>
          <w:szCs w:val="32"/>
        </w:rPr>
        <w:t>1%</w:t>
      </w:r>
      <w:r>
        <w:rPr>
          <w:rFonts w:ascii="仿宋_GB2312" w:eastAsia="仿宋_GB2312" w:cs="DengXian-Regular" w:hint="eastAsia"/>
          <w:sz w:val="32"/>
          <w:szCs w:val="32"/>
        </w:rPr>
        <w:t>；粮油物资储备支出</w:t>
      </w:r>
      <w:r>
        <w:rPr>
          <w:rFonts w:ascii="仿宋_GB2312" w:eastAsia="仿宋_GB2312" w:cs="DengXian-Regular"/>
          <w:sz w:val="32"/>
          <w:szCs w:val="32"/>
        </w:rPr>
        <w:t>514.4</w:t>
      </w:r>
      <w:r>
        <w:rPr>
          <w:rFonts w:ascii="仿宋_GB2312" w:eastAsia="仿宋_GB2312" w:cs="DengXian-Regular" w:hint="eastAsia"/>
          <w:sz w:val="32"/>
          <w:szCs w:val="32"/>
        </w:rPr>
        <w:t>万元，占</w:t>
      </w:r>
      <w:r>
        <w:rPr>
          <w:rFonts w:ascii="仿宋_GB2312" w:eastAsia="仿宋_GB2312" w:cs="DengXian-Regular"/>
          <w:sz w:val="32"/>
          <w:szCs w:val="32"/>
        </w:rPr>
        <w:t>77.0%</w:t>
      </w:r>
      <w:r>
        <w:rPr>
          <w:rFonts w:ascii="仿宋_GB2312" w:eastAsia="仿宋_GB2312" w:cs="DengXian-Regular" w:hint="eastAsia"/>
          <w:sz w:val="32"/>
          <w:szCs w:val="32"/>
        </w:rPr>
        <w:t>；住房保障（类）支出</w:t>
      </w:r>
      <w:r>
        <w:rPr>
          <w:rFonts w:ascii="仿宋_GB2312" w:eastAsia="仿宋_GB2312" w:cs="DengXian-Regular"/>
          <w:sz w:val="32"/>
          <w:szCs w:val="32"/>
        </w:rPr>
        <w:t>16.33</w:t>
      </w:r>
      <w:r>
        <w:rPr>
          <w:rFonts w:ascii="仿宋_GB2312" w:eastAsia="仿宋_GB2312" w:cs="DengXian-Regular" w:hint="eastAsia"/>
          <w:sz w:val="32"/>
          <w:szCs w:val="32"/>
        </w:rPr>
        <w:t>万元，占</w:t>
      </w:r>
      <w:r>
        <w:rPr>
          <w:rFonts w:ascii="仿宋_GB2312" w:eastAsia="仿宋_GB2312" w:cs="DengXian-Regular"/>
          <w:sz w:val="32"/>
          <w:szCs w:val="32"/>
        </w:rPr>
        <w:t>3.0%</w:t>
      </w:r>
      <w:r>
        <w:rPr>
          <w:rFonts w:ascii="仿宋_GB2312" w:eastAsia="仿宋_GB2312" w:cs="DengXian-Regular" w:hint="eastAsia"/>
          <w:sz w:val="32"/>
          <w:szCs w:val="32"/>
        </w:rPr>
        <w:t>。</w:t>
      </w:r>
    </w:p>
    <w:p>
      <w:pPr>
        <w:adjustRightInd w:val="0"/>
        <w:snapToGrid w:val="0"/>
        <w:spacing w:after="0" w:line="580" w:lineRule="exact"/>
        <w:ind w:leftChars="200" w:left="420"/>
        <w:rPr>
          <w:rFonts w:ascii="楷体_GB2312" w:eastAsia="楷体_GB2312" w:cs="DengXian-Bold"/>
          <w:b/>
          <w:bCs/>
          <w:sz w:val="32"/>
          <w:szCs w:val="32"/>
        </w:rPr>
      </w:pPr>
      <w:r>
        <w:rPr>
          <w:rFonts w:ascii="楷体_GB2312" w:eastAsia="楷体_GB2312" w:cs="DengXian-Bold" w:hint="eastAsia"/>
          <w:b/>
          <w:bCs/>
          <w:sz w:val="32"/>
          <w:szCs w:val="32"/>
        </w:rPr>
        <w:t>（四）一般公共预算财政拨款基本支出决算情况说明</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 xml:space="preserve">2018 </w:t>
      </w:r>
      <w:r>
        <w:rPr>
          <w:rFonts w:ascii="仿宋_GB2312" w:eastAsia="仿宋_GB2312" w:cs="DengXian-Regular" w:hint="eastAsia"/>
          <w:sz w:val="32"/>
          <w:szCs w:val="32"/>
        </w:rPr>
        <w:t>年度一般公共预算财政拨款基本支出</w:t>
      </w:r>
      <w:r>
        <w:rPr>
          <w:rFonts w:ascii="仿宋_GB2312" w:eastAsia="仿宋_GB2312" w:cs="DengXian-Regular"/>
          <w:sz w:val="32"/>
          <w:szCs w:val="32"/>
        </w:rPr>
        <w:t>479.21</w:t>
      </w:r>
      <w:r>
        <w:rPr>
          <w:rFonts w:ascii="仿宋_GB2312" w:eastAsia="仿宋_GB2312" w:cs="DengXian-Regular" w:hint="eastAsia"/>
          <w:sz w:val="32"/>
          <w:szCs w:val="32"/>
        </w:rPr>
        <w:t>万元，其中：人员经费</w:t>
      </w:r>
      <w:r>
        <w:rPr>
          <w:rFonts w:ascii="仿宋_GB2312" w:eastAsia="仿宋_GB2312" w:cs="DengXian-Regular"/>
          <w:sz w:val="32"/>
          <w:szCs w:val="32"/>
        </w:rPr>
        <w:t xml:space="preserve"> 454.81</w:t>
      </w:r>
      <w:r>
        <w:rPr>
          <w:rFonts w:ascii="仿宋_GB2312" w:eastAsia="仿宋_GB2312" w:cs="DengXian-Regular" w:hint="eastAsia"/>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等；公用经费</w:t>
      </w:r>
      <w:r>
        <w:rPr>
          <w:rFonts w:ascii="仿宋_GB2312" w:eastAsia="仿宋_GB2312" w:cs="DengXian-Regular"/>
          <w:sz w:val="32"/>
          <w:szCs w:val="32"/>
        </w:rPr>
        <w:t>24.4</w:t>
      </w:r>
      <w:r>
        <w:rPr>
          <w:rFonts w:ascii="仿宋_GB2312" w:eastAsia="仿宋_GB2312" w:cs="DengXian-Regular" w:hint="eastAsia"/>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等。</w:t>
      </w:r>
    </w:p>
    <w:p>
      <w:pPr>
        <w:pStyle w:val="2"/>
        <w:spacing w:before="0" w:after="0" w:line="580" w:lineRule="exact"/>
        <w:ind w:firstLineChars="200" w:firstLine="640"/>
        <w:rPr>
          <w:rFonts w:ascii="??" w:hAnsi="??"/>
          <w:b w:val="0"/>
          <w:bCs w:val="0"/>
        </w:rPr>
      </w:pPr>
      <w:r>
        <w:rPr>
          <w:rFonts w:ascii="??" w:hAnsi="??" w:hint="eastAsia"/>
          <w:b w:val="0"/>
          <w:bCs w:val="0"/>
        </w:rPr>
        <w:t>五、一般公共预算财政拨款</w:t>
      </w:r>
      <w:r>
        <w:rPr>
          <w:rFonts w:ascii="??" w:hAnsi="??"/>
          <w:b w:val="0"/>
          <w:bCs w:val="0"/>
        </w:rPr>
        <w:t>“</w:t>
      </w:r>
      <w:r>
        <w:rPr>
          <w:rFonts w:ascii="??" w:hAnsi="??" w:hint="eastAsia"/>
          <w:b w:val="0"/>
          <w:bCs w:val="0"/>
        </w:rPr>
        <w:t>三公</w:t>
      </w:r>
      <w:r>
        <w:rPr>
          <w:rFonts w:ascii="??" w:hAnsi="??"/>
          <w:b w:val="0"/>
          <w:bCs w:val="0"/>
        </w:rPr>
        <w:t xml:space="preserve">” </w:t>
      </w:r>
      <w:r>
        <w:rPr>
          <w:rFonts w:ascii="??" w:hAnsi="??" w:hint="eastAsia"/>
          <w:b w:val="0"/>
          <w:bCs w:val="0"/>
        </w:rPr>
        <w:t>经费支出决算情况说明</w:t>
      </w:r>
    </w:p>
    <w:p>
      <w:pPr>
        <w:adjustRightInd w:val="0"/>
        <w:snapToGrid w:val="0"/>
        <w:spacing w:line="584"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年度一般公共预算财政拨款</w:t>
      </w:r>
      <w:r>
        <w:rPr>
          <w:rFonts w:ascii="仿宋_GB2312" w:eastAsia="仿宋_GB2312" w:cs="DengXian-Regular"/>
          <w:sz w:val="32"/>
          <w:szCs w:val="32"/>
        </w:rPr>
        <w:t>“</w:t>
      </w:r>
      <w:r>
        <w:rPr>
          <w:rFonts w:ascii="仿宋_GB2312" w:eastAsia="仿宋_GB2312" w:cs="DengXian-Regular" w:hint="eastAsia"/>
          <w:sz w:val="32"/>
          <w:szCs w:val="32"/>
        </w:rPr>
        <w:t>三公</w:t>
      </w:r>
      <w:r>
        <w:rPr>
          <w:rFonts w:ascii="仿宋_GB2312" w:eastAsia="仿宋_GB2312" w:cs="DengXian-Regular"/>
          <w:sz w:val="32"/>
          <w:szCs w:val="32"/>
        </w:rPr>
        <w:t>”</w:t>
      </w:r>
      <w:r>
        <w:rPr>
          <w:rFonts w:ascii="仿宋_GB2312" w:eastAsia="仿宋_GB2312" w:cs="DengXian-Regular" w:hint="eastAsia"/>
          <w:sz w:val="32"/>
          <w:szCs w:val="32"/>
        </w:rPr>
        <w:t>经费支出共计</w:t>
      </w:r>
      <w:r>
        <w:rPr>
          <w:rFonts w:ascii="仿宋_GB2312" w:eastAsia="仿宋_GB2312" w:cs="DengXian-Regular"/>
          <w:sz w:val="32"/>
          <w:szCs w:val="32"/>
        </w:rPr>
        <w:t>1.8</w:t>
      </w:r>
      <w:r>
        <w:rPr>
          <w:rFonts w:ascii="仿宋_GB2312" w:eastAsia="仿宋_GB2312" w:cs="DengXian-Regular" w:hint="eastAsia"/>
          <w:sz w:val="32"/>
          <w:szCs w:val="32"/>
        </w:rPr>
        <w:t>万元，比年初预算减少</w:t>
      </w:r>
      <w:r>
        <w:rPr>
          <w:rFonts w:ascii="仿宋_GB2312" w:eastAsia="仿宋_GB2312" w:cs="DengXian-Regular"/>
          <w:sz w:val="32"/>
          <w:szCs w:val="32"/>
        </w:rPr>
        <w:t>0.5</w:t>
      </w:r>
      <w:r>
        <w:rPr>
          <w:rFonts w:ascii="仿宋_GB2312" w:eastAsia="仿宋_GB2312" w:cs="DengXian-Regular" w:hint="eastAsia"/>
          <w:sz w:val="32"/>
          <w:szCs w:val="32"/>
        </w:rPr>
        <w:t>万元，降低</w:t>
      </w:r>
      <w:r>
        <w:rPr>
          <w:rFonts w:ascii="仿宋_GB2312" w:eastAsia="仿宋_GB2312" w:cs="DengXian-Regular"/>
          <w:sz w:val="32"/>
          <w:szCs w:val="32"/>
        </w:rPr>
        <w:t>22.0%</w:t>
      </w:r>
      <w:r>
        <w:rPr>
          <w:rFonts w:ascii="仿宋_GB2312" w:eastAsia="仿宋_GB2312" w:cs="DengXian-Regular" w:hint="eastAsia"/>
          <w:sz w:val="32"/>
          <w:szCs w:val="32"/>
        </w:rPr>
        <w:t>，主要原因是厉行节约原则；比</w:t>
      </w:r>
      <w:r>
        <w:rPr>
          <w:rFonts w:ascii="仿宋_GB2312" w:eastAsia="仿宋_GB2312" w:cs="DengXian-Regular"/>
          <w:sz w:val="32"/>
          <w:szCs w:val="32"/>
        </w:rPr>
        <w:t>2017</w:t>
      </w:r>
      <w:r>
        <w:rPr>
          <w:rFonts w:ascii="仿宋_GB2312" w:eastAsia="仿宋_GB2312" w:cs="DengXian-Regular" w:hint="eastAsia"/>
          <w:sz w:val="32"/>
          <w:szCs w:val="32"/>
        </w:rPr>
        <w:t>年度决算增加</w:t>
      </w:r>
      <w:r>
        <w:rPr>
          <w:rFonts w:ascii="仿宋_GB2312" w:eastAsia="仿宋_GB2312" w:cs="DengXian-Regular"/>
          <w:sz w:val="32"/>
          <w:szCs w:val="32"/>
        </w:rPr>
        <w:t>0.64</w:t>
      </w:r>
      <w:r>
        <w:rPr>
          <w:rFonts w:ascii="仿宋_GB2312" w:eastAsia="仿宋_GB2312" w:cs="DengXian-Regular" w:hint="eastAsia"/>
          <w:sz w:val="32"/>
          <w:szCs w:val="32"/>
        </w:rPr>
        <w:t>万元，增长</w:t>
      </w:r>
      <w:r>
        <w:rPr>
          <w:rFonts w:ascii="仿宋_GB2312" w:eastAsia="仿宋_GB2312" w:cs="DengXian-Regular"/>
          <w:sz w:val="32"/>
          <w:szCs w:val="32"/>
        </w:rPr>
        <w:t>45.0%</w:t>
      </w:r>
      <w:r>
        <w:rPr>
          <w:rFonts w:ascii="仿宋_GB2312" w:eastAsia="仿宋_GB2312" w:cs="DengXian-Regular" w:hint="eastAsia"/>
          <w:sz w:val="32"/>
          <w:szCs w:val="32"/>
        </w:rPr>
        <w:t>，主要原因是工作量的增多。具体情况如下：</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（一）因公出国（境）费支出</w:t>
      </w:r>
      <w:r>
        <w:rPr>
          <w:rFonts w:eastAsia="楷体_GB2312"/>
          <w:b/>
          <w:bCs/>
          <w:sz w:val="32"/>
          <w:szCs w:val="32"/>
        </w:rPr>
        <w:t>0</w:t>
      </w:r>
      <w:r>
        <w:rPr>
          <w:rFonts w:eastAsia="楷体_GB2312" w:hint="eastAsia"/>
          <w:b/>
          <w:bCs/>
          <w:sz w:val="32"/>
          <w:szCs w:val="32"/>
        </w:rPr>
        <w:t>万元。</w:t>
      </w:r>
      <w:r>
        <w:rPr>
          <w:rFonts w:eastAsia="仿宋_GB2312"/>
          <w:sz w:val="32"/>
          <w:szCs w:val="32"/>
        </w:rPr>
        <w:t>本部门201</w:t>
      </w:r>
      <w:r>
        <w:rPr>
          <w:rFonts w:eastAsia="仿宋_GB2312" w:hint="eastAsia"/>
          <w:sz w:val="32"/>
          <w:szCs w:val="32"/>
        </w:rPr>
        <w:t>8</w:t>
      </w:r>
      <w:r>
        <w:rPr>
          <w:rFonts w:eastAsia="仿宋_GB2312"/>
          <w:sz w:val="32"/>
          <w:szCs w:val="32"/>
        </w:rPr>
        <w:t>年度</w:t>
      </w:r>
      <w:r>
        <w:rPr>
          <w:rFonts w:ascii="仿宋_GB2312" w:eastAsia="仿宋_GB2312" w:cs="DengXian-Regular" w:hint="eastAsia"/>
          <w:sz w:val="32"/>
          <w:szCs w:val="32"/>
        </w:rPr>
        <w:t>因公出国（境）团组</w:t>
      </w:r>
      <w:r>
        <w:rPr>
          <w:rFonts w:ascii="仿宋_GB2312" w:eastAsia="仿宋_GB2312" w:cs="DengXian-Regular"/>
          <w:sz w:val="32"/>
          <w:szCs w:val="32"/>
        </w:rPr>
        <w:t>0</w:t>
      </w:r>
      <w:r>
        <w:rPr>
          <w:rFonts w:ascii="仿宋_GB2312" w:eastAsia="仿宋_GB2312" w:cs="DengXian-Regular" w:hint="eastAsia"/>
          <w:sz w:val="32"/>
          <w:szCs w:val="32"/>
        </w:rPr>
        <w:t>个、共</w:t>
      </w:r>
      <w:r>
        <w:rPr>
          <w:rFonts w:ascii="仿宋_GB2312" w:eastAsia="仿宋_GB2312" w:cs="DengXian-Regular"/>
          <w:sz w:val="32"/>
          <w:szCs w:val="32"/>
        </w:rPr>
        <w:t>0</w:t>
      </w:r>
      <w:r>
        <w:rPr>
          <w:rFonts w:ascii="仿宋_GB2312" w:eastAsia="仿宋_GB2312" w:cs="DengXian-Regular" w:hint="eastAsia"/>
          <w:sz w:val="32"/>
          <w:szCs w:val="32"/>
        </w:rPr>
        <w:t>人参加其他单位组织的因公出国（境）团组</w:t>
      </w:r>
      <w:r>
        <w:rPr>
          <w:rFonts w:ascii="仿宋_GB2312" w:eastAsia="仿宋_GB2312" w:cs="DengXian-Regular"/>
          <w:sz w:val="32"/>
          <w:szCs w:val="32"/>
        </w:rPr>
        <w:t>0</w:t>
      </w:r>
      <w:r>
        <w:rPr>
          <w:rFonts w:ascii="仿宋_GB2312" w:eastAsia="仿宋_GB2312" w:cs="DengXian-Regular" w:hint="eastAsia"/>
          <w:sz w:val="32"/>
          <w:szCs w:val="32"/>
        </w:rPr>
        <w:t>个。</w:t>
      </w:r>
      <w:r>
        <w:rPr>
          <w:rFonts w:eastAsia="仿宋_GB2312"/>
          <w:sz w:val="32"/>
          <w:szCs w:val="32"/>
        </w:rPr>
        <w:t>因公出国（境）费支出</w:t>
      </w:r>
      <w:r>
        <w:rPr>
          <w:rFonts w:eastAsia="仿宋_GB2312" w:hint="eastAsia"/>
          <w:sz w:val="32"/>
          <w:szCs w:val="32"/>
        </w:rPr>
        <w:t>比</w:t>
      </w:r>
      <w:r>
        <w:rPr>
          <w:rFonts w:eastAsia="仿宋_GB2312"/>
          <w:sz w:val="32"/>
          <w:szCs w:val="32"/>
        </w:rPr>
        <w:t>年初预算增加0万元，增长0.0%，主要是无此类支出；</w:t>
      </w:r>
      <w:r>
        <w:rPr>
          <w:rFonts w:eastAsia="仿宋_GB2312" w:hint="eastAsia"/>
          <w:sz w:val="32"/>
          <w:szCs w:val="32"/>
        </w:rPr>
        <w:t>比</w:t>
      </w:r>
      <w:r>
        <w:rPr>
          <w:rFonts w:eastAsia="仿宋_GB2312"/>
          <w:sz w:val="32"/>
          <w:szCs w:val="32"/>
        </w:rPr>
        <w:t>201</w:t>
      </w:r>
      <w:r>
        <w:rPr>
          <w:rFonts w:eastAsia="仿宋_GB2312" w:hint="eastAsia"/>
          <w:sz w:val="32"/>
          <w:szCs w:val="32"/>
        </w:rPr>
        <w:t>7</w:t>
      </w:r>
      <w:r>
        <w:rPr>
          <w:rFonts w:eastAsia="仿宋_GB2312"/>
          <w:sz w:val="32"/>
          <w:szCs w:val="32"/>
        </w:rPr>
        <w:t>年度决算增加0万元，增长0.0%，主要是无此类支出</w:t>
      </w:r>
      <w:r>
        <w:rPr>
          <w:rFonts w:eastAsia="仿宋_GB2312" w:hint="eastAsia"/>
          <w:sz w:val="32"/>
          <w:szCs w:val="32"/>
        </w:rPr>
        <w:t>。</w:t>
      </w:r>
    </w:p>
    <w:p>
      <w:pPr>
        <w:adjustRightInd w:val="0"/>
        <w:snapToGrid w:val="0"/>
        <w:spacing w:line="584" w:lineRule="exact"/>
        <w:ind w:firstLineChars="200" w:firstLine="640"/>
        <w:rPr>
          <w:rFonts w:eastAsia="仿宋_GB2312"/>
          <w:b/>
          <w:bCs/>
          <w:sz w:val="32"/>
          <w:szCs w:val="32"/>
        </w:rPr>
      </w:pPr>
      <w:r>
        <w:rPr>
          <w:rFonts w:eastAsia="楷体_GB2312" w:hint="eastAsia"/>
          <w:b/>
          <w:bCs/>
          <w:sz w:val="32"/>
          <w:szCs w:val="32"/>
        </w:rPr>
        <w:t>（二）公务用车购置及运行维护费支出</w:t>
      </w:r>
      <w:r>
        <w:rPr>
          <w:rFonts w:eastAsia="楷体_GB2312"/>
          <w:b/>
          <w:bCs/>
          <w:sz w:val="32"/>
          <w:szCs w:val="32"/>
        </w:rPr>
        <w:t>1.8</w:t>
      </w:r>
      <w:r>
        <w:rPr>
          <w:rFonts w:eastAsia="楷体_GB2312" w:hint="eastAsia"/>
          <w:b/>
          <w:bCs/>
          <w:sz w:val="32"/>
          <w:szCs w:val="32"/>
        </w:rPr>
        <w:t>万元。</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年度公务用车购置及运行维护费比年初预算</w:t>
      </w:r>
      <w:r>
        <w:rPr>
          <w:rFonts w:eastAsia="仿宋_GB2312" w:hint="eastAsia"/>
          <w:sz w:val="32"/>
          <w:szCs w:val="32"/>
        </w:rPr>
        <w:t>减少</w:t>
      </w:r>
      <w:r>
        <w:rPr>
          <w:rFonts w:eastAsia="仿宋_GB2312"/>
          <w:sz w:val="32"/>
          <w:szCs w:val="32"/>
        </w:rPr>
        <w:t>0.5</w:t>
      </w:r>
      <w:r>
        <w:rPr>
          <w:rFonts w:eastAsia="仿宋_GB2312" w:hint="eastAsia"/>
          <w:sz w:val="32"/>
          <w:szCs w:val="32"/>
        </w:rPr>
        <w:t>万元</w:t>
      </w:r>
      <w:r>
        <w:rPr>
          <w:rFonts w:ascii="仿宋_GB2312" w:eastAsia="仿宋_GB2312" w:cs="DengXian-Regular" w:hint="eastAsia"/>
          <w:sz w:val="32"/>
          <w:szCs w:val="32"/>
        </w:rPr>
        <w:t>，</w:t>
      </w:r>
      <w:r>
        <w:rPr>
          <w:rFonts w:eastAsia="仿宋_GB2312" w:hint="eastAsia"/>
          <w:sz w:val="32"/>
          <w:szCs w:val="32"/>
        </w:rPr>
        <w:t>降低</w:t>
      </w:r>
      <w:r>
        <w:rPr>
          <w:rFonts w:eastAsia="仿宋_GB2312"/>
          <w:sz w:val="32"/>
          <w:szCs w:val="32"/>
        </w:rPr>
        <w:t>22.0%</w:t>
      </w:r>
      <w:r>
        <w:rPr>
          <w:rFonts w:ascii="仿宋_GB2312" w:eastAsia="仿宋_GB2312" w:cs="DengXian-Regular"/>
          <w:sz w:val="32"/>
          <w:szCs w:val="32"/>
        </w:rPr>
        <w:t>,</w:t>
      </w:r>
      <w:r>
        <w:rPr>
          <w:rFonts w:ascii="仿宋_GB2312" w:eastAsia="仿宋_GB2312" w:cs="DengXian-Regular" w:hint="eastAsia"/>
          <w:sz w:val="32"/>
          <w:szCs w:val="32"/>
        </w:rPr>
        <w:t>主要原因是</w:t>
      </w:r>
      <w:r>
        <w:rPr>
          <w:rFonts w:eastAsia="仿宋_GB2312" w:hint="eastAsia"/>
          <w:sz w:val="32"/>
          <w:szCs w:val="32"/>
        </w:rPr>
        <w:t>厉行节约原则</w:t>
      </w:r>
      <w:r>
        <w:rPr>
          <w:rFonts w:ascii="仿宋_GB2312" w:eastAsia="仿宋_GB2312" w:cs="DengXian-Regular" w:hint="eastAsia"/>
          <w:sz w:val="32"/>
          <w:szCs w:val="32"/>
        </w:rPr>
        <w:t>；</w:t>
      </w:r>
      <w:r>
        <w:rPr>
          <w:rFonts w:eastAsia="仿宋_GB2312" w:hint="eastAsia"/>
          <w:sz w:val="32"/>
          <w:szCs w:val="32"/>
        </w:rPr>
        <w:t>比</w:t>
      </w:r>
      <w:r>
        <w:rPr>
          <w:rFonts w:eastAsia="仿宋_GB2312"/>
          <w:sz w:val="32"/>
          <w:szCs w:val="32"/>
        </w:rPr>
        <w:t>2017</w:t>
      </w:r>
      <w:r>
        <w:rPr>
          <w:rFonts w:eastAsia="仿宋_GB2312" w:hint="eastAsia"/>
          <w:sz w:val="32"/>
          <w:szCs w:val="32"/>
        </w:rPr>
        <w:t>年度决算增加</w:t>
      </w:r>
      <w:r>
        <w:rPr>
          <w:rFonts w:eastAsia="仿宋_GB2312"/>
          <w:sz w:val="32"/>
          <w:szCs w:val="32"/>
        </w:rPr>
        <w:t>0.64</w:t>
      </w:r>
      <w:r>
        <w:rPr>
          <w:rFonts w:eastAsia="仿宋_GB2312" w:hint="eastAsia"/>
          <w:sz w:val="32"/>
          <w:szCs w:val="32"/>
        </w:rPr>
        <w:t>万元，增长</w:t>
      </w:r>
      <w:r>
        <w:rPr>
          <w:rFonts w:eastAsia="仿宋_GB2312"/>
          <w:sz w:val="32"/>
          <w:szCs w:val="32"/>
        </w:rPr>
        <w:t>45.0%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是单位工作量的增多。</w:t>
      </w:r>
      <w:r>
        <w:rPr>
          <w:rFonts w:eastAsia="仿宋_GB2312" w:hint="eastAsia"/>
          <w:b/>
          <w:bCs/>
          <w:sz w:val="32"/>
          <w:szCs w:val="32"/>
        </w:rPr>
        <w:t>其中：</w:t>
      </w:r>
    </w:p>
    <w:p>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公务用车购置费支出</w:t>
      </w:r>
      <w:r>
        <w:rPr>
          <w:rFonts w:eastAsia="仿宋_GB2312"/>
          <w:b/>
          <w:sz w:val="32"/>
          <w:szCs w:val="32"/>
        </w:rPr>
        <w:t>0</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年度公务用车购置数量</w:t>
      </w:r>
      <w:r>
        <w:rPr>
          <w:rFonts w:eastAsia="仿宋_GB2312"/>
          <w:sz w:val="32"/>
          <w:szCs w:val="32"/>
        </w:rPr>
        <w:t>0</w:t>
      </w:r>
      <w:r>
        <w:rPr>
          <w:rFonts w:eastAsia="仿宋_GB2312" w:hint="eastAsia"/>
          <w:sz w:val="32"/>
          <w:szCs w:val="32"/>
        </w:rPr>
        <w:t>辆。公务用车购置费支出</w:t>
      </w:r>
      <w:r>
        <w:rPr>
          <w:rFonts w:eastAsia="仿宋_GB2312" w:hint="eastAsia"/>
          <w:color w:val="000000"/>
          <w:sz w:val="32"/>
          <w:szCs w:val="32"/>
        </w:rPr>
        <w:t>较年初预算无增减变化</w:t>
      </w:r>
      <w:r>
        <w:rPr>
          <w:rFonts w:eastAsia="仿宋_GB2312" w:hint="eastAsia"/>
          <w:sz w:val="32"/>
          <w:szCs w:val="32"/>
        </w:rPr>
        <w:t>；</w:t>
      </w:r>
      <w:r>
        <w:rPr>
          <w:rFonts w:eastAsia="仿宋_GB2312" w:hint="eastAsia"/>
          <w:color w:val="000000"/>
          <w:sz w:val="32"/>
          <w:szCs w:val="32"/>
        </w:rPr>
        <w:t>较</w:t>
      </w:r>
      <w:r>
        <w:rPr>
          <w:rFonts w:eastAsia="仿宋_GB2312"/>
          <w:color w:val="000000"/>
          <w:sz w:val="32"/>
          <w:szCs w:val="32"/>
        </w:rPr>
        <w:t>2017</w:t>
      </w:r>
      <w:r>
        <w:rPr>
          <w:rFonts w:eastAsia="仿宋_GB2312" w:hint="eastAsia"/>
          <w:color w:val="000000"/>
          <w:sz w:val="32"/>
          <w:szCs w:val="32"/>
        </w:rPr>
        <w:t>年度决算无增减变化</w:t>
      </w:r>
      <w:r>
        <w:rPr>
          <w:rFonts w:eastAsia="仿宋_GB2312" w:hint="eastAsia"/>
          <w:sz w:val="32"/>
          <w:szCs w:val="32"/>
        </w:rPr>
        <w:t>。</w:t>
      </w:r>
    </w:p>
    <w:p>
      <w:pPr>
        <w:adjustRightInd w:val="0"/>
        <w:snapToGrid w:val="0"/>
        <w:spacing w:line="584" w:lineRule="exact"/>
        <w:ind w:firstLineChars="200" w:firstLine="640"/>
        <w:rPr>
          <w:rFonts w:eastAsia="仿宋_GB2312"/>
          <w:sz w:val="32"/>
          <w:szCs w:val="32"/>
          <w:highlight w:val="yellow"/>
        </w:rPr>
      </w:pPr>
      <w:r>
        <w:rPr>
          <w:rFonts w:eastAsia="仿宋_GB2312" w:hint="eastAsia"/>
          <w:b/>
          <w:sz w:val="32"/>
          <w:szCs w:val="32"/>
        </w:rPr>
        <w:t>公务用车运行维护费支出</w:t>
      </w:r>
      <w:r>
        <w:rPr>
          <w:rFonts w:eastAsia="仿宋_GB2312"/>
          <w:b/>
          <w:sz w:val="32"/>
          <w:szCs w:val="32"/>
        </w:rPr>
        <w:t>1.8</w:t>
      </w:r>
      <w:r>
        <w:rPr>
          <w:rFonts w:eastAsia="仿宋_GB2312" w:hint="eastAsia"/>
          <w:b/>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年末单位公务用车保有量</w:t>
      </w:r>
      <w:r>
        <w:rPr>
          <w:rFonts w:eastAsia="仿宋_GB2312"/>
          <w:sz w:val="32"/>
          <w:szCs w:val="32"/>
        </w:rPr>
        <w:t>1</w:t>
      </w:r>
      <w:r>
        <w:rPr>
          <w:rFonts w:eastAsia="仿宋_GB2312" w:hint="eastAsia"/>
          <w:sz w:val="32"/>
          <w:szCs w:val="32"/>
        </w:rPr>
        <w:t>辆。公车运行维护费支出比年初预算减少</w:t>
      </w:r>
      <w:r>
        <w:rPr>
          <w:rFonts w:eastAsia="仿宋_GB2312"/>
          <w:sz w:val="32"/>
          <w:szCs w:val="32"/>
        </w:rPr>
        <w:t>0.5</w:t>
      </w:r>
      <w:r>
        <w:rPr>
          <w:rFonts w:eastAsia="仿宋_GB2312" w:hint="eastAsia"/>
          <w:sz w:val="32"/>
          <w:szCs w:val="32"/>
        </w:rPr>
        <w:t>万元，降低</w:t>
      </w:r>
      <w:r>
        <w:rPr>
          <w:rFonts w:eastAsia="仿宋_GB2312"/>
          <w:sz w:val="32"/>
          <w:szCs w:val="32"/>
        </w:rPr>
        <w:t>22.0%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是厉行节约原则；比</w:t>
      </w:r>
      <w:r>
        <w:rPr>
          <w:rFonts w:eastAsia="仿宋_GB2312"/>
          <w:sz w:val="32"/>
          <w:szCs w:val="32"/>
        </w:rPr>
        <w:t>2017</w:t>
      </w:r>
      <w:r>
        <w:rPr>
          <w:rFonts w:eastAsia="仿宋_GB2312" w:hint="eastAsia"/>
          <w:sz w:val="32"/>
          <w:szCs w:val="32"/>
        </w:rPr>
        <w:t>年度决算增加</w:t>
      </w:r>
      <w:r>
        <w:rPr>
          <w:rFonts w:eastAsia="仿宋_GB2312"/>
          <w:sz w:val="32"/>
          <w:szCs w:val="32"/>
        </w:rPr>
        <w:t>0.64</w:t>
      </w:r>
      <w:r>
        <w:rPr>
          <w:rFonts w:eastAsia="仿宋_GB2312" w:hint="eastAsia"/>
          <w:sz w:val="32"/>
          <w:szCs w:val="32"/>
        </w:rPr>
        <w:t>万元，增长</w:t>
      </w:r>
      <w:r>
        <w:rPr>
          <w:rFonts w:eastAsia="仿宋_GB2312"/>
          <w:sz w:val="32"/>
          <w:szCs w:val="32"/>
        </w:rPr>
        <w:t>45.0%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是单位工作量的增多。</w:t>
      </w:r>
    </w:p>
    <w:p>
      <w:pPr>
        <w:adjustRightInd w:val="0"/>
        <w:snapToGrid w:val="0"/>
        <w:spacing w:line="584" w:lineRule="exact"/>
        <w:ind w:firstLineChars="200" w:firstLine="640"/>
        <w:rPr>
          <w:rFonts w:eastAsia="仿宋_GB2312"/>
          <w:sz w:val="32"/>
          <w:szCs w:val="32"/>
          <w:highlight w:val="yellow"/>
        </w:rPr>
      </w:pPr>
      <w:r>
        <w:rPr>
          <w:rFonts w:eastAsia="楷体_GB2312" w:hint="eastAsia"/>
          <w:b/>
          <w:bCs/>
          <w:sz w:val="32"/>
          <w:szCs w:val="32"/>
        </w:rPr>
        <w:t>（三）公务接待费支出</w:t>
      </w:r>
      <w:r>
        <w:rPr>
          <w:rFonts w:eastAsia="楷体_GB2312"/>
          <w:b/>
          <w:bCs/>
          <w:sz w:val="32"/>
          <w:szCs w:val="32"/>
        </w:rPr>
        <w:t>0</w:t>
      </w:r>
      <w:r>
        <w:rPr>
          <w:rFonts w:eastAsia="楷体_GB2312" w:hint="eastAsia"/>
          <w:b/>
          <w:bCs/>
          <w:sz w:val="32"/>
          <w:szCs w:val="32"/>
        </w:rPr>
        <w:t>万元。</w:t>
      </w:r>
      <w:r>
        <w:rPr>
          <w:rFonts w:eastAsia="仿宋_GB2312" w:hint="eastAsia"/>
          <w:sz w:val="32"/>
          <w:szCs w:val="32"/>
        </w:rPr>
        <w:t>本部门</w:t>
      </w:r>
      <w:r>
        <w:rPr>
          <w:rFonts w:eastAsia="仿宋_GB2312"/>
          <w:sz w:val="32"/>
          <w:szCs w:val="32"/>
        </w:rPr>
        <w:t>2018</w:t>
      </w:r>
      <w:r>
        <w:rPr>
          <w:rFonts w:eastAsia="仿宋_GB2312" w:hint="eastAsia"/>
          <w:sz w:val="32"/>
          <w:szCs w:val="32"/>
        </w:rPr>
        <w:t>年度公务接待共</w:t>
      </w:r>
      <w:r>
        <w:rPr>
          <w:rFonts w:eastAsia="仿宋_GB2312"/>
          <w:sz w:val="32"/>
          <w:szCs w:val="32"/>
        </w:rPr>
        <w:t>0</w:t>
      </w:r>
      <w:r>
        <w:rPr>
          <w:rFonts w:eastAsia="仿宋_GB2312" w:hint="eastAsia"/>
          <w:sz w:val="32"/>
          <w:szCs w:val="32"/>
        </w:rPr>
        <w:t>批次、</w:t>
      </w:r>
      <w:r>
        <w:rPr>
          <w:rFonts w:eastAsia="仿宋_GB2312"/>
          <w:sz w:val="32"/>
          <w:szCs w:val="32"/>
        </w:rPr>
        <w:t>0</w:t>
      </w:r>
      <w:r>
        <w:rPr>
          <w:rFonts w:eastAsia="仿宋_GB2312" w:hint="eastAsia"/>
          <w:sz w:val="32"/>
          <w:szCs w:val="32"/>
        </w:rPr>
        <w:t>人次。公务接待费支出</w:t>
      </w:r>
      <w:r>
        <w:rPr>
          <w:rFonts w:eastAsia="仿宋_GB2312" w:hint="eastAsia"/>
          <w:color w:val="000000"/>
          <w:sz w:val="32"/>
          <w:szCs w:val="32"/>
        </w:rPr>
        <w:t>较年初预算无增减变化</w:t>
      </w:r>
      <w:r>
        <w:rPr>
          <w:rFonts w:eastAsia="仿宋_GB2312" w:hint="eastAsia"/>
          <w:sz w:val="32"/>
          <w:szCs w:val="32"/>
        </w:rPr>
        <w:t>；</w:t>
      </w:r>
      <w:r>
        <w:rPr>
          <w:rFonts w:eastAsia="仿宋_GB2312" w:hint="eastAsia"/>
          <w:color w:val="000000"/>
          <w:sz w:val="32"/>
          <w:szCs w:val="32"/>
        </w:rPr>
        <w:t>较</w:t>
      </w:r>
      <w:r>
        <w:rPr>
          <w:rFonts w:eastAsia="仿宋_GB2312"/>
          <w:color w:val="000000"/>
          <w:sz w:val="32"/>
          <w:szCs w:val="32"/>
        </w:rPr>
        <w:t>2017</w:t>
      </w:r>
      <w:r>
        <w:rPr>
          <w:rFonts w:eastAsia="仿宋_GB2312" w:hint="eastAsia"/>
          <w:color w:val="000000"/>
          <w:sz w:val="32"/>
          <w:szCs w:val="32"/>
        </w:rPr>
        <w:t>年度决算无增减变化</w:t>
      </w:r>
      <w:r>
        <w:rPr>
          <w:rFonts w:eastAsia="仿宋_GB2312" w:hint="eastAsia"/>
          <w:sz w:val="32"/>
          <w:szCs w:val="32"/>
        </w:rPr>
        <w:t>。</w:t>
      </w:r>
    </w:p>
    <w:p>
      <w:pPr>
        <w:adjustRightInd w:val="0"/>
        <w:snapToGrid w:val="0"/>
        <w:spacing w:after="0" w:line="580" w:lineRule="exact"/>
        <w:ind w:firstLineChars="200" w:firstLine="640"/>
        <w:rPr>
          <w:rFonts w:ascii="??" w:hAnsi="??"/>
          <w:sz w:val="32"/>
          <w:szCs w:val="40"/>
        </w:rPr>
      </w:pPr>
      <w:r>
        <w:rPr>
          <w:rFonts w:ascii="??" w:hAnsi="??" w:hint="eastAsia"/>
          <w:sz w:val="32"/>
          <w:szCs w:val="40"/>
        </w:rPr>
        <w:t>六、预算绩效情况说明</w:t>
      </w:r>
      <w:bookmarkStart w:id="0" w:name="_GoBack"/>
      <w:bookmarkEnd w:id="0"/>
    </w:p>
    <w:p>
      <w:pPr>
        <w:autoSpaceDE w:val="0"/>
        <w:autoSpaceDN w:val="0"/>
        <w:adjustRightInd w:val="0"/>
        <w:spacing w:line="520" w:lineRule="exact"/>
        <w:ind w:firstLineChars="200" w:firstLine="640"/>
        <w:jc w:val="left"/>
        <w:rPr>
          <w:rFonts w:eastAsia="仿宋_GB2312"/>
          <w:color w:val="000000"/>
          <w:kern w:val="0"/>
          <w:sz w:val="32"/>
          <w:szCs w:val="32"/>
        </w:rPr>
      </w:pPr>
      <w:r>
        <w:rPr>
          <w:rFonts w:eastAsia="仿宋_GB2312" w:hint="eastAsia"/>
          <w:color w:val="000000"/>
          <w:kern w:val="0"/>
          <w:sz w:val="32"/>
          <w:szCs w:val="32"/>
        </w:rPr>
        <w:t>（一）绩效管理工作开展情况。根据预算绩效管理要求，我部门所有预算项目均按照“部门职责</w:t>
      </w:r>
      <w:r>
        <w:rPr>
          <w:rFonts w:eastAsia="仿宋_GB2312"/>
          <w:color w:val="000000"/>
          <w:kern w:val="0"/>
          <w:sz w:val="32"/>
          <w:szCs w:val="32"/>
        </w:rPr>
        <w:t>—</w:t>
      </w:r>
      <w:r>
        <w:rPr>
          <w:rFonts w:eastAsia="仿宋_GB2312" w:hint="eastAsia"/>
          <w:color w:val="000000"/>
          <w:kern w:val="0"/>
          <w:sz w:val="32"/>
          <w:szCs w:val="32"/>
        </w:rPr>
        <w:t>工作活动目录”相关内容加以分类，清晰描述预算项目开支范围，确定预算项目绩效目标和指标体系，为预算绩效控制、绩效评价打下良好的基础。</w:t>
      </w:r>
    </w:p>
    <w:p>
      <w:pPr>
        <w:widowControl/>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（二）预算项目绩效评价开展情况。我们按照相关工作对项目资金进行绩效评价，切实提高财政资金使用绩效，保障各项资金落实到位。</w:t>
      </w:r>
    </w:p>
    <w:p>
      <w:pPr>
        <w:widowControl/>
        <w:spacing w:line="580" w:lineRule="exact"/>
        <w:ind w:firstLineChars="200" w:firstLine="640"/>
        <w:rPr>
          <w:rFonts w:eastAsia="仿宋_GB2312"/>
          <w:color w:val="000000"/>
          <w:kern w:val="0"/>
          <w:sz w:val="32"/>
          <w:szCs w:val="32"/>
        </w:rPr>
      </w:pPr>
      <w:r>
        <w:rPr>
          <w:rFonts w:eastAsia="仿宋_GB2312" w:hint="eastAsia"/>
          <w:color w:val="000000"/>
          <w:kern w:val="0"/>
          <w:sz w:val="32"/>
          <w:szCs w:val="32"/>
        </w:rPr>
        <w:t>（三）预算项目绩效自评选例。我们对相关资金进行了绩效评价，对发现的问题通知相关单位进行纠正，从评价结果看，专项资金的使用基本达到了既定目标，保证了各项民生政策的落实。此项目绩效评价结果为良好。</w:t>
      </w:r>
    </w:p>
    <w:p>
      <w:pPr>
        <w:pStyle w:val="2"/>
        <w:spacing w:before="0" w:after="0" w:line="580" w:lineRule="exact"/>
        <w:ind w:firstLineChars="200" w:firstLine="640"/>
        <w:rPr>
          <w:rFonts w:ascii="??" w:hAnsi="??"/>
          <w:b w:val="0"/>
          <w:bCs w:val="0"/>
        </w:rPr>
      </w:pPr>
      <w:r>
        <w:rPr>
          <w:rFonts w:ascii="??" w:hAnsi="??" w:hint="eastAsia"/>
          <w:b w:val="0"/>
          <w:bCs w:val="0"/>
        </w:rPr>
        <w:t>七、其他重要事项的说明</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（一）机关运行经费情况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年度机关运行经费支出</w:t>
      </w:r>
      <w:r>
        <w:rPr>
          <w:rFonts w:ascii="仿宋_GB2312" w:eastAsia="仿宋_GB2312" w:cs="DengXian-Regular"/>
          <w:sz w:val="32"/>
          <w:szCs w:val="32"/>
        </w:rPr>
        <w:t>24.4</w:t>
      </w:r>
      <w:r>
        <w:rPr>
          <w:rFonts w:ascii="仿宋_GB2312" w:eastAsia="仿宋_GB2312" w:cs="DengXian-Regular" w:hint="eastAsia"/>
          <w:sz w:val="32"/>
          <w:szCs w:val="32"/>
        </w:rPr>
        <w:t>万元，比年初预算数减少</w:t>
      </w:r>
      <w:r>
        <w:rPr>
          <w:rFonts w:ascii="仿宋_GB2312" w:eastAsia="仿宋_GB2312" w:cs="DengXian-Regular"/>
          <w:sz w:val="32"/>
          <w:szCs w:val="32"/>
        </w:rPr>
        <w:t>11.33</w:t>
      </w:r>
      <w:r>
        <w:rPr>
          <w:rFonts w:ascii="仿宋_GB2312" w:eastAsia="仿宋_GB2312" w:cs="DengXian-Regular" w:hint="eastAsia"/>
          <w:sz w:val="32"/>
          <w:szCs w:val="32"/>
        </w:rPr>
        <w:t>万元，降低</w:t>
      </w:r>
      <w:r>
        <w:rPr>
          <w:rFonts w:ascii="仿宋_GB2312" w:eastAsia="仿宋_GB2312" w:cs="DengXian-Regular"/>
          <w:sz w:val="32"/>
          <w:szCs w:val="32"/>
        </w:rPr>
        <w:t>44.0</w:t>
      </w:r>
      <w:r>
        <w:rPr>
          <w:rFonts w:eastAsia="仿宋_GB2312"/>
          <w:sz w:val="32"/>
          <w:szCs w:val="32"/>
        </w:rPr>
        <w:t>%</w:t>
      </w:r>
      <w:r>
        <w:rPr>
          <w:rFonts w:ascii="仿宋_GB2312" w:eastAsia="仿宋_GB2312" w:cs="DengXian-Regular" w:hint="eastAsia"/>
          <w:sz w:val="32"/>
          <w:szCs w:val="32"/>
        </w:rPr>
        <w:t>。主要原因是机关厉行节约原则。</w:t>
      </w:r>
      <w:r>
        <w:rPr>
          <w:rFonts w:eastAsia="仿宋_GB2312" w:hint="eastAsia"/>
          <w:sz w:val="32"/>
          <w:szCs w:val="32"/>
        </w:rPr>
        <w:t>较</w:t>
      </w:r>
      <w:r>
        <w:rPr>
          <w:rFonts w:eastAsia="仿宋_GB2312"/>
          <w:sz w:val="32"/>
          <w:szCs w:val="32"/>
        </w:rPr>
        <w:t>2017</w:t>
      </w:r>
      <w:r>
        <w:rPr>
          <w:rFonts w:eastAsia="仿宋_GB2312" w:hint="eastAsia"/>
          <w:sz w:val="32"/>
          <w:szCs w:val="32"/>
        </w:rPr>
        <w:t>年度决算减少</w:t>
      </w:r>
      <w:r>
        <w:rPr>
          <w:rFonts w:eastAsia="仿宋_GB2312"/>
          <w:sz w:val="32"/>
          <w:szCs w:val="32"/>
        </w:rPr>
        <w:t>11.75</w:t>
      </w:r>
      <w:r>
        <w:rPr>
          <w:rFonts w:eastAsia="仿宋_GB2312" w:hint="eastAsia"/>
          <w:sz w:val="32"/>
          <w:szCs w:val="32"/>
        </w:rPr>
        <w:t>万元，降低</w:t>
      </w:r>
      <w:r>
        <w:rPr>
          <w:rFonts w:eastAsia="仿宋_GB2312"/>
          <w:sz w:val="32"/>
          <w:szCs w:val="32"/>
        </w:rPr>
        <w:t>32.0%</w:t>
      </w:r>
      <w:r>
        <w:rPr>
          <w:rFonts w:eastAsia="仿宋_GB2312" w:hint="eastAsia"/>
          <w:sz w:val="32"/>
          <w:szCs w:val="32"/>
        </w:rPr>
        <w:t>，主要</w:t>
      </w:r>
      <w:r>
        <w:rPr>
          <w:rFonts w:ascii="仿宋_GB2312" w:eastAsia="仿宋_GB2312" w:cs="DengXian-Regular" w:hint="eastAsia"/>
          <w:sz w:val="32"/>
          <w:szCs w:val="32"/>
        </w:rPr>
        <w:t>原因</w:t>
      </w:r>
      <w:r>
        <w:rPr>
          <w:rFonts w:eastAsia="仿宋_GB2312" w:hint="eastAsia"/>
          <w:sz w:val="32"/>
          <w:szCs w:val="32"/>
        </w:rPr>
        <w:t>是</w:t>
      </w:r>
      <w:r>
        <w:rPr>
          <w:rFonts w:ascii="仿宋_GB2312" w:eastAsia="仿宋_GB2312" w:cs="DengXian-Regular" w:hint="eastAsia"/>
          <w:sz w:val="32"/>
          <w:szCs w:val="32"/>
        </w:rPr>
        <w:t>机关厉行节约原则</w:t>
      </w:r>
      <w:r>
        <w:rPr>
          <w:rFonts w:eastAsia="仿宋_GB2312" w:hint="eastAsia"/>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（二）政府采购情况</w:t>
      </w:r>
    </w:p>
    <w:p>
      <w:pPr>
        <w:widowControl/>
        <w:spacing w:after="0" w:line="580" w:lineRule="exact"/>
        <w:ind w:firstLineChars="200" w:firstLine="640"/>
        <w:jc w:val="left"/>
        <w:rPr>
          <w:rFonts w:ascii="仿宋_GB2312" w:eastAsia="仿宋_GB2312" w:cs="DengXian-Regular"/>
          <w:sz w:val="32"/>
          <w:szCs w:val="32"/>
        </w:rPr>
      </w:pPr>
      <w:r>
        <w:rPr>
          <w:rFonts w:ascii="仿宋_GB2312" w:eastAsia="仿宋_GB2312" w:cs="DengXian-Regular" w:hint="eastAsia"/>
          <w:sz w:val="32"/>
          <w:szCs w:val="32"/>
        </w:rPr>
        <w:t>本部门2018年度政府采购支出总额</w:t>
      </w:r>
      <w:r>
        <w:rPr>
          <w:rFonts w:ascii="仿宋_GB2312" w:eastAsia="仿宋_GB2312" w:cs="DengXian-Regular"/>
          <w:sz w:val="32"/>
          <w:szCs w:val="32"/>
        </w:rPr>
        <w:t>0</w:t>
      </w:r>
      <w:r>
        <w:rPr>
          <w:rFonts w:ascii="仿宋_GB2312" w:eastAsia="仿宋_GB2312" w:cs="DengXian-Regular" w:hint="eastAsia"/>
          <w:sz w:val="32"/>
          <w:szCs w:val="32"/>
        </w:rPr>
        <w:t>万元，从采购类型来看，</w:t>
      </w:r>
      <w:r>
        <w:rPr>
          <w:rFonts w:ascii="仿宋_GB2312" w:eastAsia="仿宋_GB2312" w:cs="仿宋_GB2312"/>
          <w:color w:val="000000"/>
          <w:kern w:val="0"/>
          <w:sz w:val="32"/>
          <w:szCs w:val="32"/>
        </w:rPr>
        <w:t>政府采购货物支出0 万元、政府采购工程支出0万元、政府采购服务支出0万元。授予中小企业合同金0万元，占政府采购支出总额的0.0</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其中授予小微企业合同金额0万元，占政府采购支出总额的0%。</w:t>
      </w:r>
      <w:r>
        <w:rPr>
          <w:rFonts w:ascii="仿宋_GB2312" w:eastAsia="仿宋_GB2312" w:cs="DengXian-Regular" w:hint="eastAsia"/>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（三）国有资产占用情况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截至</w:t>
      </w:r>
      <w:r>
        <w:rPr>
          <w:rFonts w:ascii="仿宋_GB2312" w:eastAsia="仿宋_GB2312" w:cs="DengXian-Regular"/>
          <w:sz w:val="32"/>
          <w:szCs w:val="32"/>
        </w:rPr>
        <w:t>2018</w:t>
      </w:r>
      <w:r>
        <w:rPr>
          <w:rFonts w:ascii="仿宋_GB2312" w:eastAsia="仿宋_GB2312" w:cs="DengXian-Regular" w:hint="eastAsia"/>
          <w:sz w:val="32"/>
          <w:szCs w:val="32"/>
        </w:rPr>
        <w:t>年</w:t>
      </w:r>
      <w:r>
        <w:rPr>
          <w:rFonts w:ascii="仿宋_GB2312" w:eastAsia="仿宋_GB2312" w:cs="DengXian-Regular"/>
          <w:sz w:val="32"/>
          <w:szCs w:val="32"/>
        </w:rPr>
        <w:t>12</w:t>
      </w:r>
      <w:r>
        <w:rPr>
          <w:rFonts w:ascii="仿宋_GB2312" w:eastAsia="仿宋_GB2312" w:cs="DengXian-Regular" w:hint="eastAsia"/>
          <w:sz w:val="32"/>
          <w:szCs w:val="32"/>
        </w:rPr>
        <w:t>月</w:t>
      </w:r>
      <w:r>
        <w:rPr>
          <w:rFonts w:ascii="仿宋_GB2312" w:eastAsia="仿宋_GB2312" w:cs="DengXian-Regular"/>
          <w:sz w:val="32"/>
          <w:szCs w:val="32"/>
        </w:rPr>
        <w:t>31</w:t>
      </w:r>
      <w:r>
        <w:rPr>
          <w:rFonts w:ascii="仿宋_GB2312" w:eastAsia="仿宋_GB2312" w:cs="DengXian-Regular" w:hint="eastAsia"/>
          <w:sz w:val="32"/>
          <w:szCs w:val="32"/>
        </w:rPr>
        <w:t>日，本部门共有车辆</w:t>
      </w:r>
      <w:r>
        <w:rPr>
          <w:rFonts w:ascii="仿宋_GB2312" w:eastAsia="仿宋_GB2312" w:cs="DengXian-Regular"/>
          <w:sz w:val="32"/>
          <w:szCs w:val="32"/>
        </w:rPr>
        <w:t>1</w:t>
      </w:r>
      <w:r>
        <w:rPr>
          <w:rFonts w:ascii="仿宋_GB2312" w:eastAsia="仿宋_GB2312" w:cs="DengXian-Regular" w:hint="eastAsia"/>
          <w:sz w:val="32"/>
          <w:szCs w:val="32"/>
        </w:rPr>
        <w:t>辆，较上年</w:t>
      </w:r>
      <w:r>
        <w:rPr>
          <w:rFonts w:eastAsia="仿宋_GB2312" w:hint="eastAsia"/>
          <w:color w:val="000000"/>
          <w:sz w:val="32"/>
          <w:szCs w:val="32"/>
        </w:rPr>
        <w:t>无增减变化</w:t>
      </w:r>
      <w:r>
        <w:rPr>
          <w:rFonts w:ascii="仿宋_GB2312" w:eastAsia="仿宋_GB2312" w:cs="DengXian-Regular" w:hint="eastAsia"/>
          <w:sz w:val="32"/>
          <w:szCs w:val="32"/>
        </w:rPr>
        <w:t>。其中，副部（省）级及以上领导用车</w:t>
      </w:r>
      <w:r>
        <w:rPr>
          <w:rFonts w:ascii="仿宋_GB2312" w:eastAsia="仿宋_GB2312" w:cs="DengXian-Regular"/>
          <w:sz w:val="32"/>
          <w:szCs w:val="32"/>
        </w:rPr>
        <w:t>0</w:t>
      </w:r>
      <w:r>
        <w:rPr>
          <w:rFonts w:ascii="仿宋_GB2312" w:eastAsia="仿宋_GB2312" w:cs="DengXian-Regular" w:hint="eastAsia"/>
          <w:sz w:val="32"/>
          <w:szCs w:val="32"/>
        </w:rPr>
        <w:t>辆，主要领导干部用车</w:t>
      </w:r>
      <w:r>
        <w:rPr>
          <w:rFonts w:ascii="仿宋_GB2312" w:eastAsia="仿宋_GB2312" w:cs="DengXian-Regular"/>
          <w:sz w:val="32"/>
          <w:szCs w:val="32"/>
        </w:rPr>
        <w:t>0</w:t>
      </w:r>
      <w:r>
        <w:rPr>
          <w:rFonts w:ascii="仿宋_GB2312" w:eastAsia="仿宋_GB2312" w:cs="DengXian-Regular" w:hint="eastAsia"/>
          <w:sz w:val="32"/>
          <w:szCs w:val="32"/>
        </w:rPr>
        <w:t>辆，机要通信用车</w:t>
      </w:r>
      <w:r>
        <w:rPr>
          <w:rFonts w:ascii="仿宋_GB2312" w:eastAsia="仿宋_GB2312" w:cs="DengXian-Regular"/>
          <w:sz w:val="32"/>
          <w:szCs w:val="32"/>
        </w:rPr>
        <w:t>1</w:t>
      </w:r>
      <w:r>
        <w:rPr>
          <w:rFonts w:ascii="仿宋_GB2312" w:eastAsia="仿宋_GB2312" w:cs="DengXian-Regular" w:hint="eastAsia"/>
          <w:sz w:val="32"/>
          <w:szCs w:val="32"/>
        </w:rPr>
        <w:t>辆，应急保障用车</w:t>
      </w:r>
      <w:r>
        <w:rPr>
          <w:rFonts w:ascii="仿宋_GB2312" w:eastAsia="仿宋_GB2312" w:cs="DengXian-Regular"/>
          <w:sz w:val="32"/>
          <w:szCs w:val="32"/>
        </w:rPr>
        <w:t>0</w:t>
      </w:r>
      <w:r>
        <w:rPr>
          <w:rFonts w:ascii="仿宋_GB2312" w:eastAsia="仿宋_GB2312" w:cs="DengXian-Regular" w:hint="eastAsia"/>
          <w:sz w:val="32"/>
          <w:szCs w:val="32"/>
        </w:rPr>
        <w:t>辆，执法执勤用车</w:t>
      </w:r>
      <w:r>
        <w:rPr>
          <w:rFonts w:ascii="仿宋_GB2312" w:eastAsia="仿宋_GB2312" w:cs="DengXian-Regular"/>
          <w:sz w:val="32"/>
          <w:szCs w:val="32"/>
        </w:rPr>
        <w:t>0</w:t>
      </w:r>
      <w:r>
        <w:rPr>
          <w:rFonts w:ascii="仿宋_GB2312" w:eastAsia="仿宋_GB2312" w:cs="DengXian-Regular" w:hint="eastAsia"/>
          <w:sz w:val="32"/>
          <w:szCs w:val="32"/>
        </w:rPr>
        <w:t>辆，特种专业技术用车</w:t>
      </w:r>
      <w:r>
        <w:rPr>
          <w:rFonts w:ascii="仿宋_GB2312" w:eastAsia="仿宋_GB2312" w:cs="DengXian-Regular"/>
          <w:sz w:val="32"/>
          <w:szCs w:val="32"/>
        </w:rPr>
        <w:t>0</w:t>
      </w:r>
      <w:r>
        <w:rPr>
          <w:rFonts w:ascii="仿宋_GB2312" w:eastAsia="仿宋_GB2312" w:cs="DengXian-Regular" w:hint="eastAsia"/>
          <w:sz w:val="32"/>
          <w:szCs w:val="32"/>
        </w:rPr>
        <w:t>辆，离退休干部用车</w:t>
      </w:r>
      <w:r>
        <w:rPr>
          <w:rFonts w:ascii="仿宋_GB2312" w:eastAsia="仿宋_GB2312" w:cs="DengXian-Regular"/>
          <w:sz w:val="32"/>
          <w:szCs w:val="32"/>
        </w:rPr>
        <w:t>0</w:t>
      </w:r>
      <w:r>
        <w:rPr>
          <w:rFonts w:ascii="仿宋_GB2312" w:eastAsia="仿宋_GB2312" w:cs="DengXian-Regular" w:hint="eastAsia"/>
          <w:sz w:val="32"/>
          <w:szCs w:val="32"/>
        </w:rPr>
        <w:t>辆，其他用车</w:t>
      </w:r>
      <w:r>
        <w:rPr>
          <w:rFonts w:ascii="仿宋_GB2312" w:eastAsia="仿宋_GB2312" w:cs="DengXian-Regular"/>
          <w:sz w:val="32"/>
          <w:szCs w:val="32"/>
        </w:rPr>
        <w:t>0</w:t>
      </w:r>
      <w:r>
        <w:rPr>
          <w:rFonts w:ascii="仿宋_GB2312" w:eastAsia="仿宋_GB2312" w:cs="DengXian-Regular" w:hint="eastAsia"/>
          <w:sz w:val="32"/>
          <w:szCs w:val="32"/>
        </w:rPr>
        <w:t>辆；单位价值</w:t>
      </w:r>
      <w:r>
        <w:rPr>
          <w:rFonts w:ascii="仿宋_GB2312" w:eastAsia="仿宋_GB2312" w:cs="TimesNewRomanPSMT"/>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0</w:t>
      </w:r>
      <w:r>
        <w:rPr>
          <w:rFonts w:ascii="仿宋_GB2312" w:eastAsia="仿宋_GB2312" w:cs="DengXian-Regular" w:hint="eastAsia"/>
          <w:sz w:val="32"/>
          <w:szCs w:val="32"/>
        </w:rPr>
        <w:t>台（套），较</w:t>
      </w:r>
      <w:r>
        <w:rPr>
          <w:rFonts w:ascii="仿宋_GB2312" w:eastAsia="仿宋_GB2312" w:cs="DengXian-Regular"/>
          <w:sz w:val="32"/>
          <w:szCs w:val="32"/>
        </w:rPr>
        <w:t>2017</w:t>
      </w:r>
      <w:r>
        <w:rPr>
          <w:rFonts w:ascii="仿宋_GB2312" w:eastAsia="仿宋_GB2312" w:cs="DengXian-Regular" w:hint="eastAsia"/>
          <w:sz w:val="32"/>
          <w:szCs w:val="32"/>
        </w:rPr>
        <w:t>年</w:t>
      </w:r>
      <w:r>
        <w:rPr>
          <w:rFonts w:eastAsia="仿宋_GB2312" w:hint="eastAsia"/>
          <w:color w:val="000000"/>
          <w:sz w:val="32"/>
          <w:szCs w:val="32"/>
        </w:rPr>
        <w:t>无增减变化</w:t>
      </w:r>
      <w:r>
        <w:rPr>
          <w:rFonts w:ascii="仿宋_GB2312" w:eastAsia="仿宋_GB2312" w:cs="DengXian-Regular" w:hint="eastAsia"/>
          <w:sz w:val="32"/>
          <w:szCs w:val="32"/>
        </w:rPr>
        <w:t>，单位价值</w:t>
      </w:r>
      <w:r>
        <w:rPr>
          <w:rFonts w:ascii="仿宋_GB2312" w:eastAsia="仿宋_GB2312" w:cs="TimesNewRomanPSMT"/>
          <w:sz w:val="32"/>
          <w:szCs w:val="32"/>
        </w:rPr>
        <w:t>100</w:t>
      </w:r>
      <w:r>
        <w:rPr>
          <w:rFonts w:ascii="仿宋_GB2312" w:eastAsia="仿宋_GB2312" w:cs="DengXian-Regular" w:hint="eastAsia"/>
          <w:sz w:val="32"/>
          <w:szCs w:val="32"/>
        </w:rPr>
        <w:t>万元以上专用设备</w:t>
      </w:r>
      <w:r>
        <w:rPr>
          <w:rFonts w:ascii="仿宋_GB2312" w:eastAsia="仿宋_GB2312" w:cs="DengXian-Regular"/>
          <w:sz w:val="32"/>
          <w:szCs w:val="32"/>
        </w:rPr>
        <w:t>0</w:t>
      </w:r>
      <w:r>
        <w:rPr>
          <w:rFonts w:ascii="仿宋_GB2312" w:eastAsia="仿宋_GB2312" w:cs="DengXian-Regular" w:hint="eastAsia"/>
          <w:sz w:val="32"/>
          <w:szCs w:val="32"/>
        </w:rPr>
        <w:t>台（套），较</w:t>
      </w:r>
      <w:r>
        <w:rPr>
          <w:rFonts w:ascii="仿宋_GB2312" w:eastAsia="仿宋_GB2312" w:cs="DengXian-Regular"/>
          <w:sz w:val="32"/>
          <w:szCs w:val="32"/>
        </w:rPr>
        <w:t>2017</w:t>
      </w:r>
      <w:r>
        <w:rPr>
          <w:rFonts w:ascii="仿宋_GB2312" w:eastAsia="仿宋_GB2312" w:cs="DengXian-Regular" w:hint="eastAsia"/>
          <w:sz w:val="32"/>
          <w:szCs w:val="32"/>
        </w:rPr>
        <w:t>年</w:t>
      </w:r>
      <w:r>
        <w:rPr>
          <w:rFonts w:eastAsia="仿宋_GB2312" w:hint="eastAsia"/>
          <w:color w:val="000000"/>
          <w:sz w:val="32"/>
          <w:szCs w:val="32"/>
        </w:rPr>
        <w:t>无增减变化</w:t>
      </w:r>
      <w:r>
        <w:rPr>
          <w:rFonts w:ascii="仿宋_GB2312" w:eastAsia="仿宋_GB2312" w:cs="DengXian-Regular" w:hint="eastAsia"/>
          <w:sz w:val="32"/>
          <w:szCs w:val="32"/>
        </w:rPr>
        <w:t>。</w:t>
      </w:r>
    </w:p>
    <w:p>
      <w:pPr>
        <w:pStyle w:val="3"/>
        <w:spacing w:before="0" w:after="0" w:line="580" w:lineRule="exact"/>
        <w:ind w:firstLineChars="200" w:firstLine="640"/>
        <w:rPr>
          <w:rFonts w:ascii="楷体_GB2312" w:eastAsia="楷体_GB2312" w:cs="DengXian-Bold"/>
        </w:rPr>
      </w:pPr>
      <w:r>
        <w:rPr>
          <w:rFonts w:ascii="楷体_GB2312" w:eastAsia="楷体_GB2312" w:cs="DengXian-Bold" w:hint="eastAsia"/>
        </w:rPr>
        <w:t>（四）其他需要说明的情况</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1</w:t>
      </w:r>
      <w:r>
        <w:rPr>
          <w:rFonts w:ascii="仿宋_GB2312" w:eastAsia="仿宋_GB2312" w:cs="DengXian-Regular" w:hint="eastAsia"/>
          <w:sz w:val="32"/>
          <w:szCs w:val="32"/>
        </w:rPr>
        <w:t>、本部门</w:t>
      </w:r>
      <w:r>
        <w:rPr>
          <w:rFonts w:ascii="仿宋_GB2312" w:eastAsia="仿宋_GB2312" w:cs="DengXian-Regular"/>
          <w:sz w:val="32"/>
          <w:szCs w:val="32"/>
        </w:rPr>
        <w:t>2018</w:t>
      </w:r>
      <w:r>
        <w:rPr>
          <w:rFonts w:ascii="仿宋_GB2312" w:eastAsia="仿宋_GB2312" w:cs="DengXian-Regular" w:hint="eastAsia"/>
          <w:sz w:val="32"/>
          <w:szCs w:val="32"/>
        </w:rPr>
        <w:t>年度政府性基金预算财政拨款、国有资本经营预算财政拨款无收支及结转结余情况，无政府采购情况，故政府性基金预算财政拨款收入支出决算表、国有资本经营预算财政拨款支出决算表、政府采购情况表以空表列示。</w:t>
      </w:r>
    </w:p>
    <w:p>
      <w:pPr>
        <w:adjustRightInd w:val="0"/>
        <w:snapToGrid w:val="0"/>
        <w:spacing w:after="0" w:line="580" w:lineRule="exact"/>
        <w:ind w:firstLineChars="200" w:firstLine="640"/>
        <w:rPr>
          <w:rFonts w:ascii="仿宋_GB2312" w:eastAsia="仿宋_GB2312" w:cs="DengXian-Regular"/>
          <w:sz w:val="32"/>
          <w:szCs w:val="32"/>
        </w:rPr>
      </w:pPr>
      <w:r>
        <w:rPr>
          <w:rFonts w:ascii="仿宋_GB2312" w:eastAsia="仿宋_GB2312" w:cs="DengXian-Regular"/>
          <w:sz w:val="32"/>
          <w:szCs w:val="32"/>
        </w:rPr>
        <w:t>2</w:t>
      </w:r>
      <w:r>
        <w:rPr>
          <w:rFonts w:ascii="仿宋_GB2312" w:eastAsia="仿宋_GB2312" w:cs="DengXian-Regular" w:hint="eastAsia"/>
          <w:sz w:val="32"/>
          <w:szCs w:val="32"/>
        </w:rPr>
        <w:t>、由于决算公开表格中金额数值应当保留两位小数，公开数据为四舍五入计算结果，个别数据合计项与分项之和存在小数点后差额，特此说明。</w:t>
      </w:r>
    </w:p>
    <w:p>
      <w:pPr>
        <w:widowControl/>
        <w:spacing w:after="0" w:line="580" w:lineRule="exact"/>
        <w:ind w:firstLineChars="200" w:firstLine="880"/>
        <w:jc w:val="left"/>
        <w:rPr>
          <w:rFonts w:ascii="宋体" w:cs="MS-UIGothic,Bold"/>
          <w:b/>
          <w:bCs/>
          <w:kern w:val="0"/>
          <w:sz w:val="44"/>
          <w:szCs w:val="44"/>
        </w:rPr>
        <w:sectPr>
          <w:pgSz w:w="11906" w:h="16838"/>
          <w:pgMar w:top="2098" w:right="1474" w:bottom="1984" w:left="1588" w:header="851" w:footer="992" w:gutter="0"/>
          <w:docGrid w:type="lines" w:linePitch="312" w:charSpace="0"/>
        </w:sectPr>
      </w:pP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96"/>
          <w:szCs w:val="96"/>
        </w:rPr>
      </w:pPr>
    </w:p>
    <w:p>
      <w:pPr>
        <w:widowControl/>
        <w:spacing w:line="1200" w:lineRule="exact"/>
        <w:jc w:val="center"/>
        <w:rPr>
          <w:rFonts w:ascii="??" w:hAnsi="??"/>
          <w:color w:val="000000"/>
          <w:sz w:val="96"/>
          <w:szCs w:val="96"/>
        </w:rPr>
      </w:pPr>
      <w:r>
        <w:rPr>
          <w:rFonts w:ascii="??" w:hAnsi="??" w:hint="eastAsia"/>
          <w:color w:val="000000"/>
          <w:sz w:val="96"/>
          <w:szCs w:val="96"/>
        </w:rPr>
        <w:t>第四部分</w:t>
      </w:r>
    </w:p>
    <w:p>
      <w:pPr>
        <w:widowControl/>
        <w:spacing w:line="1200" w:lineRule="exact"/>
        <w:jc w:val="center"/>
        <w:rPr>
          <w:color w:val="000000"/>
          <w:sz w:val="96"/>
          <w:szCs w:val="96"/>
        </w:rPr>
      </w:pPr>
      <w:r>
        <w:rPr>
          <w:rFonts w:ascii="??" w:hAnsi="??" w:hint="eastAsia"/>
          <w:color w:val="000000"/>
          <w:sz w:val="96"/>
          <w:szCs w:val="96"/>
        </w:rPr>
        <w:t>名词解释</w:t>
      </w:r>
    </w:p>
    <w:p>
      <w:pPr>
        <w:rPr>
          <w:rFonts w:ascii="宋体" w:cs="ArialUnicodeMS"/>
          <w:color w:val="000000"/>
          <w:kern w:val="0"/>
        </w:rPr>
        <w:sectPr>
          <w:pgSz w:w="11906" w:h="16838"/>
          <w:pgMar w:top="2098" w:right="1474" w:bottom="1984" w:left="1588" w:header="851" w:footer="992" w:gutter="0"/>
          <w:docGrid w:type="lines" w:linePitch="312" w:charSpace="0"/>
        </w:sectPr>
      </w:pP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（一）财政拨款收入：</w:t>
      </w:r>
      <w:r>
        <w:rPr>
          <w:rFonts w:ascii="仿宋_GB2312" w:eastAsia="仿宋_GB2312" w:hint="eastAsia"/>
          <w:color w:val="000000"/>
          <w:kern w:val="0"/>
          <w:sz w:val="32"/>
          <w:szCs w:val="32"/>
        </w:rPr>
        <w:t>本年度从本级财政部门取得的财政拨款，包括一般公共预算财政拨款和政府性基金预算财政拨款。</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（二）事业收入：</w:t>
      </w:r>
      <w:r>
        <w:rPr>
          <w:rFonts w:ascii="仿宋_GB2312" w:eastAsia="仿宋_GB2312" w:hint="eastAsia"/>
          <w:color w:val="000000"/>
          <w:kern w:val="0"/>
          <w:sz w:val="32"/>
          <w:szCs w:val="32"/>
        </w:rPr>
        <w:t>指事业单位开展专业业务活动及辅助活动所取得的收入。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（三）其他收入：</w:t>
      </w:r>
      <w:r>
        <w:rPr>
          <w:rFonts w:ascii="仿宋_GB2312" w:eastAsia="仿宋_GB2312" w:hint="eastAsia"/>
          <w:color w:val="000000"/>
          <w:kern w:val="0"/>
          <w:sz w:val="32"/>
          <w:szCs w:val="32"/>
        </w:rPr>
        <w:t>指除上述“财政拨款收入”“事业收入”“经营收入”等以外的收入。</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（四）用事业基金弥补收支差额：</w:t>
      </w:r>
      <w:r>
        <w:rPr>
          <w:rFonts w:ascii="仿宋_GB2312" w:eastAsia="仿宋_GB2312"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（五）年初结转和结余：</w:t>
      </w:r>
      <w:r>
        <w:rPr>
          <w:rFonts w:ascii="仿宋_GB2312" w:eastAsia="仿宋_GB2312" w:hint="eastAsia"/>
          <w:color w:val="000000"/>
          <w:kern w:val="0"/>
          <w:sz w:val="32"/>
          <w:szCs w:val="32"/>
        </w:rPr>
        <w:t>指以前年度尚未完成、结转到本年仍按原规定用途继续使用的资金，或项目已完成等产生的结余资金。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（六）结余分配：</w:t>
      </w:r>
      <w:r>
        <w:rPr>
          <w:rFonts w:ascii="仿宋_GB2312" w:eastAsia="仿宋_GB2312" w:hint="eastAsia"/>
          <w:color w:val="000000"/>
          <w:kern w:val="0"/>
          <w:sz w:val="32"/>
          <w:szCs w:val="32"/>
        </w:rPr>
        <w:t>指事业单位按照事业单位会计制度的规定从非财政补助结余中分配的事业基金和职工福利基金等。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（七）年末结转和结余：</w:t>
      </w:r>
      <w:r>
        <w:rPr>
          <w:rFonts w:ascii="仿宋_GB2312" w:eastAsia="仿宋_GB2312" w:hint="eastAsia"/>
          <w:color w:val="000000"/>
          <w:kern w:val="0"/>
          <w:sz w:val="32"/>
          <w:szCs w:val="32"/>
        </w:rPr>
        <w:t>指单位按有关规定结转到下年或以后年度继续使用的资金，或项目已完成等产生的结余资金。</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（八）基本支出：</w:t>
      </w:r>
      <w:r>
        <w:rPr>
          <w:rFonts w:ascii="仿宋_GB2312" w:eastAsia="仿宋_GB2312" w:hint="eastAsia"/>
          <w:color w:val="000000"/>
          <w:kern w:val="0"/>
          <w:sz w:val="32"/>
          <w:szCs w:val="32"/>
        </w:rPr>
        <w:t>填列单位为保障机构正常运转、完成日常工作任务而发生的各项支出。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（九）项目支出：</w:t>
      </w:r>
      <w:r>
        <w:rPr>
          <w:rFonts w:ascii="仿宋_GB2312" w:eastAsia="仿宋_GB2312" w:hint="eastAsia"/>
          <w:color w:val="000000"/>
          <w:kern w:val="0"/>
          <w:sz w:val="32"/>
          <w:szCs w:val="32"/>
        </w:rPr>
        <w:t>填列单位为完成特定的行政工作任务或事业发展目标，在基本支出之外发生的各项支出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（十）资本性支出（基本建设）：</w:t>
      </w:r>
      <w:r>
        <w:rPr>
          <w:rFonts w:ascii="仿宋_GB2312" w:eastAsia="仿宋_GB2312" w:hint="eastAsia"/>
          <w:color w:val="000000"/>
          <w:kern w:val="0"/>
          <w:sz w:val="32"/>
          <w:szCs w:val="32"/>
        </w:rPr>
        <w:t>填列切块由发展改革部门安排的基本建设支出，对企业补助支出不在此科目反映。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（十一）资本性支出：</w:t>
      </w:r>
      <w:r>
        <w:rPr>
          <w:rFonts w:ascii="仿宋_GB2312" w:eastAsia="仿宋_GB2312" w:hint="eastAsia"/>
          <w:color w:val="000000"/>
          <w:kern w:val="0"/>
          <w:sz w:val="32"/>
          <w:szCs w:val="32"/>
        </w:rPr>
        <w:t>填列各单位安排的资本性支出。切块由发展改革部门安排的基本建设支出不在此科目反映。</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（十二）“三公”经费：</w:t>
      </w:r>
      <w:r>
        <w:rPr>
          <w:rFonts w:ascii="仿宋_GB2312" w:eastAsia="仿宋_GB2312"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（十三）其他交通费用：</w:t>
      </w:r>
      <w:r>
        <w:rPr>
          <w:rFonts w:ascii="仿宋_GB2312" w:eastAsia="仿宋_GB2312" w:hint="eastAsia"/>
          <w:color w:val="000000"/>
          <w:kern w:val="0"/>
          <w:sz w:val="32"/>
          <w:szCs w:val="32"/>
        </w:rPr>
        <w:t>填列单位除公务用车运行维护费以外的其他交通费用。如公务交通补贴、租车费用、出租车费用、飞机、船舶等的燃料费、维修费、保险费等。</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（十四）公务用车购置：</w:t>
      </w:r>
      <w:r>
        <w:rPr>
          <w:rFonts w:ascii="仿宋_GB2312" w:eastAsia="仿宋_GB2312" w:hint="eastAsia"/>
          <w:color w:val="000000"/>
          <w:kern w:val="0"/>
          <w:sz w:val="32"/>
          <w:szCs w:val="32"/>
        </w:rPr>
        <w:t>填列单位公务用车购置支出（含车辆购置税、牌照费）。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（十五）其他交通工具购置：</w:t>
      </w:r>
      <w:r>
        <w:rPr>
          <w:rFonts w:ascii="仿宋_GB2312" w:eastAsia="仿宋_GB2312" w:hint="eastAsia"/>
          <w:color w:val="000000"/>
          <w:kern w:val="0"/>
          <w:sz w:val="32"/>
          <w:szCs w:val="32"/>
        </w:rPr>
        <w:t>填列单位除公务用车外的其他各类交通工具（如船舶、飞机）购置支出（含车辆购置税、牌照费）。</w:t>
      </w:r>
    </w:p>
    <w:p>
      <w:pPr>
        <w:widowControl/>
        <w:spacing w:after="0" w:line="560" w:lineRule="exact"/>
        <w:ind w:firstLineChars="200" w:firstLine="640"/>
        <w:rPr>
          <w:rFonts w:ascii="仿宋_GB2312" w:eastAsia="仿宋_GB2312"/>
          <w:color w:val="000000"/>
          <w:kern w:val="0"/>
          <w:sz w:val="32"/>
          <w:szCs w:val="32"/>
        </w:rPr>
      </w:pPr>
      <w:r>
        <w:rPr>
          <w:rFonts w:ascii="仿宋_GB2312" w:eastAsia="仿宋_GB2312" w:hint="eastAsia"/>
          <w:b/>
          <w:bCs/>
          <w:color w:val="000000"/>
          <w:kern w:val="0"/>
          <w:sz w:val="32"/>
          <w:szCs w:val="32"/>
        </w:rPr>
        <w:t>（十六）机关运行经费：</w:t>
      </w:r>
      <w:r>
        <w:rPr>
          <w:rFonts w:ascii="仿宋_GB2312" w:eastAsia="仿宋_GB2312"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widowControl/>
        <w:spacing w:after="0" w:line="560" w:lineRule="exact"/>
        <w:ind w:firstLineChars="200" w:firstLine="640"/>
        <w:rPr>
          <w:rFonts w:ascii="仿宋_GB2312" w:eastAsia="仿宋_GB2312" w:cs="ArialUnicodeMS"/>
          <w:kern w:val="0"/>
          <w:sz w:val="32"/>
          <w:szCs w:val="32"/>
        </w:rPr>
      </w:pPr>
      <w:r>
        <w:rPr>
          <w:rFonts w:ascii="仿宋_GB2312" w:eastAsia="仿宋_GB2312" w:hint="eastAsia"/>
          <w:b/>
          <w:bCs/>
          <w:color w:val="000000"/>
          <w:kern w:val="0"/>
          <w:sz w:val="32"/>
          <w:szCs w:val="32"/>
        </w:rPr>
        <w:t>（十七）经费形式</w:t>
      </w:r>
      <w:r>
        <w:rPr>
          <w:rFonts w:ascii="仿宋_GB2312" w:eastAsia="仿宋_GB2312"/>
          <w:b/>
          <w:bCs/>
          <w:color w:val="000000"/>
          <w:kern w:val="0"/>
          <w:sz w:val="32"/>
          <w:szCs w:val="32"/>
        </w:rPr>
        <w:t>:</w:t>
      </w:r>
      <w:r>
        <w:rPr>
          <w:rFonts w:ascii="仿宋_GB2312" w:eastAsia="仿宋_GB2312" w:hint="eastAsia"/>
          <w:color w:val="000000"/>
          <w:kern w:val="0"/>
          <w:sz w:val="32"/>
          <w:szCs w:val="32"/>
        </w:rPr>
        <w:t>按照经费来源，</w:t>
      </w:r>
      <w:r>
        <w:rPr>
          <w:rFonts w:ascii="仿宋_GB2312" w:eastAsia="仿宋_GB2312" w:cs="ArialUnicodeMS" w:hint="eastAsia"/>
          <w:kern w:val="0"/>
          <w:sz w:val="32"/>
          <w:szCs w:val="32"/>
        </w:rPr>
        <w:t>可分为财政拨款、财政性资金基本保证、财政性资金定额或定项补助、财政性资金零补助四类。</w:t>
      </w: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ind w:firstLineChars="200" w:firstLine="640"/>
        <w:rPr>
          <w:rFonts w:ascii="仿宋_GB2312" w:eastAsia="仿宋_GB2312" w:cs="ArialUnicodeMS"/>
          <w:kern w:val="0"/>
          <w:sz w:val="32"/>
          <w:szCs w:val="32"/>
        </w:rPr>
      </w:pPr>
    </w:p>
    <w:p>
      <w:pPr>
        <w:widowControl/>
        <w:spacing w:after="0" w:line="560" w:lineRule="exact"/>
        <w:rPr>
          <w:rFonts w:ascii="仿宋_GB2312" w:eastAsia="仿宋_GB2312" w:cs="ArialUnicodeMS"/>
          <w:kern w:val="0"/>
          <w:sz w:val="32"/>
          <w:szCs w:val="32"/>
        </w:rPr>
      </w:pPr>
    </w:p>
    <w:sectPr>
      <w:pgSz w:w="11906" w:h="16838"/>
      <w:pgMar w:top="2098" w:right="1474" w:bottom="1985" w:left="1588"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pitch w:val="variable"/>
    <w:sig w:usb0="00000003" w:usb1="00000000" w:usb2="00000000" w:usb3="00000000" w:csb0="00000001" w:csb1="00000000"/>
  </w:font>
  <w:font w:name="仿宋_GB2312">
    <w:altName w:val="仿宋"/>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MS-UIGothic,Bold">
    <w:altName w:val="Arial Unicode MS"/>
    <w:panose1 w:val="00000000000000000000"/>
    <w:charset w:val="81"/>
    <w:family w:val="auto"/>
    <w:pitch w:val="variable"/>
    <w:sig w:usb0="00000001" w:usb1="09060000" w:usb2="00000010" w:usb3="00000000" w:csb0="00080000" w:csb1="00000000"/>
  </w:font>
  <w:font w:name="DengXian-Regular">
    <w:altName w:val="宋体"/>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TimesNewRomanPSMT">
    <w:altName w:val="Arial"/>
    <w:panose1 w:val="000000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ulTrailSpace/>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after="160" w:line="480" w:lineRule="auto"/>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Calibri" w:hAnsi="Calibri"/>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paragraph" w:styleId="4">
    <w:name w:val="heading 4"/>
    <w:basedOn w:val="0"/>
    <w:next w:val="0"/>
    <w:pPr>
      <w:keepNext/>
      <w:keepLines/>
      <w:widowControl w:val="0"/>
      <w:spacing w:before="280" w:after="290" w:line="377" w:lineRule="auto"/>
      <w:outlineLvl w:val="3"/>
    </w:pPr>
    <w:rPr>
      <w:rFonts w:ascii="Calibri" w:hAnsi="Calibri"/>
      <w:b/>
      <w:bCs/>
      <w:sz w:val="28"/>
      <w:szCs w:val="28"/>
    </w:rPr>
  </w:style>
  <w:style w:type="character" w:default="1" w:styleId="10">
    <w:name w:val="Default Paragraph Font"/>
  </w:style>
  <w:style w:type="paragraph" w:styleId="15">
    <w:name w:val="Date"/>
    <w:basedOn w:val="0"/>
    <w:next w:val="0"/>
    <w:pPr>
      <w:ind w:leftChars="2500" w:left="2500"/>
    </w:p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rFonts w:ascii="Cambria" w:hAnsi="Cambria"/>
      <w:sz w:val="18"/>
      <w:szCs w:val="18"/>
    </w:rPr>
  </w:style>
  <w:style w:type="paragraph" w:styleId="18">
    <w:name w:val="header"/>
    <w:basedOn w:val="0"/>
    <w:pPr>
      <w:pBdr>
        <w:bottom w:val="single" w:sz="6" w:space="1" w:color="auto"/>
      </w:pBdr>
      <w:tabs>
        <w:tab w:val="center" w:pos="4153"/>
        <w:tab w:val="right" w:pos="8306"/>
      </w:tabs>
      <w:snapToGrid w:val="0"/>
      <w:jc w:val="center"/>
    </w:pPr>
    <w:rPr>
      <w:rFonts w:ascii="Cambria" w:hAnsi="Cambria"/>
      <w:sz w:val="18"/>
      <w:szCs w:val="18"/>
    </w:rPr>
  </w:style>
  <w:style w:type="paragraph" w:styleId="19">
    <w:name w:val="Subtitle"/>
    <w:basedOn w:val="0"/>
    <w:next w:val="0"/>
    <w:pPr>
      <w:widowControl/>
      <w:spacing w:after="200" w:line="276" w:lineRule="auto"/>
      <w:jc w:val="left"/>
    </w:pPr>
    <w:rPr>
      <w:rFonts w:ascii="Calibri" w:hAnsi="Calibri"/>
      <w:i/>
      <w:iCs/>
      <w:color w:val="F0A22E"/>
      <w:spacing w:val="15"/>
      <w:kern w:val="0"/>
      <w:sz w:val="24"/>
    </w:rPr>
  </w:style>
  <w:style w:type="paragraph" w:styleId="20">
    <w:name w:val="Title"/>
    <w:basedOn w:val="0"/>
    <w:next w:val="0"/>
    <w:pPr>
      <w:widowControl/>
      <w:pBdr>
        <w:bottom w:val="single" w:sz="8" w:space="4" w:color="F0A22E"/>
      </w:pBdr>
      <w:spacing w:after="300"/>
      <w:contextualSpacing/>
      <w:jc w:val="left"/>
    </w:pPr>
    <w:rPr>
      <w:rFonts w:ascii="Calibri" w:hAnsi="Calibri"/>
      <w:color w:val="3A2C24"/>
      <w:spacing w:val="5"/>
      <w:kern w:val="28"/>
      <w:sz w:val="52"/>
      <w:szCs w:val="52"/>
    </w:rPr>
  </w:style>
  <w:style w:type="paragraph" w:customStyle="1" w:styleId="21">
    <w:name w:val="No Spacing1"/>
    <w:pPr>
      <w:spacing w:after="160" w:line="480" w:lineRule="auto"/>
    </w:pPr>
    <w:rPr>
      <w:rFonts w:ascii="Cambria" w:eastAsia="宋体" w:cs="Times New Roman" w:hAnsi="Cambria"/>
      <w:kern w:val="0"/>
      <w:sz w:val="22"/>
      <w:szCs w:val="22"/>
      <w:lang w:val="en-US" w:eastAsia="zh-CN" w:bidi="ar-SA"/>
    </w:rPr>
  </w:style>
  <w:style w:type="character" w:customStyle="1" w:styleId="22">
    <w:name w:val="Style1"/>
    <w:basedOn w:val="10"/>
    <w:rPr>
      <w:rFonts w:ascii="Cambria" w:cs="Times New Roman" w:hAnsi="Cambria"/>
      <w:sz w:val="22"/>
      <w:szCs w:val="22"/>
      <w:lang w:eastAsia="zh-CN"/>
    </w:rPr>
  </w:style>
  <w:style w:type="character" w:customStyle="1" w:styleId="23">
    <w:name w:val="Style2"/>
    <w:basedOn w:val="10"/>
    <w:rPr>
      <w:rFonts w:ascii="Cambria" w:cs="Times New Roman" w:hAnsi="Cambria"/>
      <w:sz w:val="22"/>
      <w:szCs w:val="22"/>
      <w:lang w:eastAsia="zh-CN"/>
    </w:rPr>
  </w:style>
  <w:style w:type="character" w:customStyle="1" w:styleId="24">
    <w:name w:val="Style3"/>
    <w:basedOn w:val="10"/>
    <w:rPr>
      <w:rFonts w:ascii="Cambria" w:cs="Times New Roman" w:hAnsi="Cambria"/>
      <w:sz w:val="22"/>
      <w:szCs w:val="22"/>
      <w:lang w:eastAsia="zh-CN"/>
    </w:rPr>
  </w:style>
  <w:style w:type="character" w:customStyle="1" w:styleId="25">
    <w:name w:val="Style4"/>
    <w:basedOn w:val="10"/>
    <w:rPr>
      <w:rFonts w:ascii="Cambria" w:cs="Times New Roman" w:hAnsi="Cambria"/>
      <w:sz w:val="22"/>
      <w:szCs w:val="22"/>
      <w:lang w:eastAsia="zh-CN"/>
    </w:rPr>
  </w:style>
  <w:style w:type="character" w:customStyle="1" w:styleId="26">
    <w:name w:val="Style5"/>
    <w:basedOn w:val="10"/>
    <w:rPr>
      <w:rFonts w:ascii="Cambria" w:cs="Times New Roman" w:hAnsi="Cambria"/>
      <w:sz w:val="22"/>
      <w:szCs w:val="22"/>
      <w:lang w:eastAsia="zh-CN"/>
    </w:rPr>
  </w:style>
  <w:style w:type="paragraph" w:customStyle="1" w:styleId="27">
    <w:name w:val="List Paragraph1"/>
    <w:basedOn w:val="0"/>
    <w:pPr>
      <w:ind w:firstLineChars="200" w:firstLine="200"/>
    </w:pPr>
  </w:style>
  <w:style w:type="character" w:styleId="28">
    <w:name w:val="annotation reference"/>
    <w:basedOn w:val="10"/>
    <w:rPr>
      <w:rFonts w:cs="Times New Roman"/>
      <w:sz w:val="21"/>
      <w:szCs w:val="21"/>
    </w:rPr>
  </w:style>
  <w:style w:type="paragraph" w:styleId="29">
    <w:name w:val="annotation text"/>
    <w:basedOn w:val="0"/>
    <w:pPr>
      <w:jc w:val="left"/>
    </w:pPr>
  </w:style>
  <w:style w:type="paragraph" w:styleId="30">
    <w:name w:val="annotation subject"/>
    <w:basedOn w:val="29"/>
    <w:next w:val="29"/>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27</TotalTime>
  <Application>Yozo_Office</Application>
  <Pages>16</Pages>
  <Words>4215</Words>
  <Characters>4546</Characters>
  <Lines>261</Lines>
  <Paragraphs>88</Paragraphs>
  <CharactersWithSpaces>4552</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2017年度部门决算</dc:title>
  <dc:subject>石家庄市xxx部门</dc:subject>
  <dc:creator>User</dc:creator>
  <cp:lastModifiedBy>user</cp:lastModifiedBy>
  <cp:revision>43</cp:revision>
  <cp:lastPrinted>2019-09-27T00:42:00Z</cp:lastPrinted>
  <dcterms:created xsi:type="dcterms:W3CDTF">2019-09-26T01:09:00Z</dcterms:created>
  <dcterms:modified xsi:type="dcterms:W3CDTF">2021-06-01T08:05:06Z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2052-11.1.0.9098</vt:lpwstr>
  </property>
</Properties>
</file>