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2FD7" w:rsidRDefault="00192FD7">
      <w:pPr>
        <w:widowControl/>
        <w:spacing w:line="1200" w:lineRule="exact"/>
        <w:jc w:val="center"/>
        <w:rPr>
          <w:rFonts w:ascii="黑体" w:eastAsia="黑体"/>
          <w:color w:val="000000"/>
          <w:sz w:val="96"/>
          <w:szCs w:val="96"/>
        </w:rPr>
      </w:pPr>
    </w:p>
    <w:p w:rsidR="00192FD7" w:rsidRDefault="00192FD7">
      <w:pPr>
        <w:widowControl/>
        <w:spacing w:line="1200" w:lineRule="exact"/>
        <w:jc w:val="center"/>
        <w:rPr>
          <w:rFonts w:ascii="黑体" w:eastAsia="黑体"/>
          <w:color w:val="000000"/>
          <w:sz w:val="96"/>
          <w:szCs w:val="96"/>
        </w:rPr>
      </w:pPr>
    </w:p>
    <w:p w:rsidR="00192FD7" w:rsidRDefault="00E432C4">
      <w:pPr>
        <w:widowControl/>
        <w:spacing w:line="1200" w:lineRule="exact"/>
        <w:jc w:val="center"/>
        <w:rPr>
          <w:color w:val="000000"/>
          <w:sz w:val="96"/>
          <w:szCs w:val="96"/>
        </w:rPr>
      </w:pPr>
      <w:r>
        <w:rPr>
          <w:sz w:val="84"/>
          <w:szCs w:val="84"/>
        </w:rPr>
        <w:t>201</w:t>
      </w:r>
      <w:r>
        <w:rPr>
          <w:rFonts w:hint="eastAsia"/>
          <w:sz w:val="84"/>
          <w:szCs w:val="84"/>
        </w:rPr>
        <w:t>8</w:t>
      </w:r>
      <w:r>
        <w:rPr>
          <w:sz w:val="84"/>
          <w:szCs w:val="84"/>
        </w:rPr>
        <w:t>年度部门决算公开</w:t>
      </w:r>
    </w:p>
    <w:p w:rsidR="00192FD7" w:rsidRDefault="00192FD7">
      <w:pPr>
        <w:widowControl/>
        <w:jc w:val="center"/>
        <w:rPr>
          <w:rFonts w:ascii="黑体" w:eastAsia="黑体"/>
          <w:color w:val="002060"/>
          <w:sz w:val="72"/>
          <w:szCs w:val="72"/>
        </w:rPr>
      </w:pPr>
    </w:p>
    <w:p w:rsidR="00192FD7" w:rsidRDefault="00192FD7">
      <w:pPr>
        <w:widowControl/>
        <w:jc w:val="center"/>
        <w:rPr>
          <w:rFonts w:ascii="黑体" w:eastAsia="黑体"/>
          <w:b/>
          <w:sz w:val="72"/>
          <w:szCs w:val="72"/>
        </w:rPr>
      </w:pPr>
    </w:p>
    <w:p w:rsidR="00192FD7" w:rsidRDefault="00192FD7">
      <w:pPr>
        <w:widowControl/>
        <w:jc w:val="center"/>
        <w:rPr>
          <w:rFonts w:ascii="黑体" w:eastAsia="黑体"/>
          <w:b/>
          <w:sz w:val="72"/>
          <w:szCs w:val="72"/>
        </w:rPr>
      </w:pPr>
    </w:p>
    <w:p w:rsidR="00192FD7" w:rsidRDefault="00192FD7">
      <w:pPr>
        <w:widowControl/>
        <w:jc w:val="center"/>
        <w:rPr>
          <w:rFonts w:ascii="黑体" w:eastAsia="黑体"/>
          <w:b/>
          <w:sz w:val="72"/>
          <w:szCs w:val="72"/>
        </w:rPr>
      </w:pPr>
    </w:p>
    <w:p w:rsidR="00192FD7" w:rsidRDefault="00192FD7">
      <w:pPr>
        <w:widowControl/>
        <w:jc w:val="center"/>
        <w:rPr>
          <w:rFonts w:ascii="黑体" w:eastAsia="黑体"/>
          <w:b/>
          <w:sz w:val="72"/>
          <w:szCs w:val="72"/>
        </w:rPr>
      </w:pPr>
    </w:p>
    <w:p w:rsidR="00192FD7" w:rsidRDefault="00192FD7">
      <w:pPr>
        <w:widowControl/>
        <w:jc w:val="center"/>
        <w:rPr>
          <w:rFonts w:ascii="黑体" w:eastAsia="黑体"/>
          <w:b/>
          <w:sz w:val="72"/>
          <w:szCs w:val="72"/>
        </w:rPr>
      </w:pPr>
    </w:p>
    <w:p w:rsidR="00192FD7" w:rsidRDefault="00E432C4">
      <w:pPr>
        <w:jc w:val="center"/>
      </w:pPr>
      <w:r>
        <w:rPr>
          <w:rFonts w:hint="eastAsia"/>
          <w:b/>
          <w:sz w:val="44"/>
          <w:szCs w:val="44"/>
        </w:rPr>
        <w:t>廊坊市广阳区九州镇白家务办事处</w:t>
      </w:r>
    </w:p>
    <w:p w:rsidR="00192FD7" w:rsidRDefault="00192FD7"/>
    <w:p w:rsidR="00192FD7" w:rsidRDefault="00192FD7"/>
    <w:p w:rsidR="00192FD7" w:rsidRDefault="00192FD7"/>
    <w:p w:rsidR="00192FD7" w:rsidRDefault="00192FD7"/>
    <w:p w:rsidR="00192FD7" w:rsidRDefault="00192FD7"/>
    <w:p w:rsidR="00192FD7" w:rsidRDefault="00E432C4">
      <w:pPr>
        <w:widowControl/>
        <w:jc w:val="center"/>
        <w:rPr>
          <w:color w:val="000000"/>
          <w:sz w:val="72"/>
          <w:szCs w:val="72"/>
        </w:rPr>
      </w:pPr>
      <w:r>
        <w:rPr>
          <w:rFonts w:ascii="黑体" w:eastAsia="黑体" w:hint="eastAsia"/>
          <w:color w:val="000000"/>
          <w:sz w:val="72"/>
          <w:szCs w:val="72"/>
        </w:rPr>
        <w:t>第一部分  部门概况</w:t>
      </w:r>
    </w:p>
    <w:p w:rsidR="00192FD7" w:rsidRDefault="00192FD7"/>
    <w:p w:rsidR="00192FD7" w:rsidRDefault="00192FD7"/>
    <w:p w:rsidR="00192FD7" w:rsidRDefault="00192FD7"/>
    <w:p w:rsidR="00192FD7" w:rsidRDefault="00192FD7"/>
    <w:p w:rsidR="00192FD7" w:rsidRDefault="00192FD7"/>
    <w:p w:rsidR="00192FD7" w:rsidRDefault="00192FD7"/>
    <w:p w:rsidR="00192FD7" w:rsidRDefault="00192FD7"/>
    <w:p w:rsidR="00192FD7" w:rsidRDefault="00192FD7"/>
    <w:p w:rsidR="00192FD7" w:rsidRDefault="00192FD7"/>
    <w:p w:rsidR="00192FD7" w:rsidRDefault="00192FD7"/>
    <w:p w:rsidR="00192FD7" w:rsidRDefault="00192FD7"/>
    <w:p w:rsidR="00192FD7" w:rsidRDefault="00192FD7"/>
    <w:p w:rsidR="00192FD7" w:rsidRDefault="00E432C4">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192FD7" w:rsidRDefault="00E432C4">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（一）、执行本级人民代表大会的决议和上级国家行政机关的决定和命令，发布决定和命令;</w:t>
      </w:r>
    </w:p>
    <w:p w:rsidR="00192FD7" w:rsidRDefault="00E432C4">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（二）、执行本行政区域内的经济和社会发展计划、预算，管理本行政区域内的经济、教育、科学、文化、卫生、体育事业和财政、民政、司法行政、计划生育等行政工作;</w:t>
      </w:r>
    </w:p>
    <w:p w:rsidR="00192FD7" w:rsidRDefault="00E432C4">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（三）、保护社会主义的全民所有的财产和劳动群众集体所有的财产，保护公民私人所有的合法财产，维护社会秩序，保障公民的人身权利、民主权利和其他权利;</w:t>
      </w:r>
    </w:p>
    <w:p w:rsidR="00192FD7" w:rsidRDefault="00E432C4">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（四）、保护各种经济组织的合法权益;</w:t>
      </w:r>
    </w:p>
    <w:p w:rsidR="00192FD7" w:rsidRDefault="00E432C4">
      <w:pPr>
        <w:widowControl/>
        <w:spacing w:line="52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（五）、保障少数民族的权利和尊重少数民族的风俗习惯;</w:t>
      </w:r>
    </w:p>
    <w:p w:rsidR="00192FD7" w:rsidRDefault="00E432C4">
      <w:pPr>
        <w:widowControl/>
        <w:spacing w:line="520" w:lineRule="exact"/>
        <w:ind w:firstLineChars="200" w:firstLine="640"/>
        <w:jc w:val="left"/>
        <w:rPr>
          <w:rFonts w:ascii="仿宋_GB2312" w:eastAsia="仿宋_GB2312"/>
          <w:sz w:val="32"/>
          <w:szCs w:val="32"/>
        </w:rPr>
      </w:pPr>
      <w:r>
        <w:rPr>
          <w:rFonts w:ascii="仿宋_GB2312" w:eastAsia="仿宋_GB2312" w:hint="eastAsia"/>
          <w:color w:val="000000"/>
          <w:sz w:val="32"/>
          <w:szCs w:val="32"/>
        </w:rPr>
        <w:t>（六）、办理上级区委、区政府交办的其他事项。</w:t>
      </w:r>
    </w:p>
    <w:p w:rsidR="00192FD7" w:rsidRDefault="00E432C4">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t>二、机构设置</w:t>
      </w:r>
    </w:p>
    <w:p w:rsidR="00192FD7" w:rsidRDefault="00E432C4">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从决算编报单位构成看，纳入2018 年度本部门决算汇编范围的独立核算单位（以下简称“单位”）共1个，具体情况如下：</w:t>
      </w:r>
    </w:p>
    <w:tbl>
      <w:tblPr>
        <w:tblW w:w="7709"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68"/>
        <w:gridCol w:w="2214"/>
      </w:tblGrid>
      <w:tr w:rsidR="00192FD7">
        <w:tc>
          <w:tcPr>
            <w:tcW w:w="3227" w:type="dxa"/>
            <w:vAlign w:val="center"/>
          </w:tcPr>
          <w:p w:rsidR="00192FD7" w:rsidRDefault="00E432C4">
            <w:pPr>
              <w:widowControl/>
              <w:spacing w:line="580" w:lineRule="exact"/>
              <w:jc w:val="center"/>
              <w:rPr>
                <w:rFonts w:eastAsia="仿宋_GB2312"/>
                <w:sz w:val="32"/>
                <w:szCs w:val="32"/>
              </w:rPr>
            </w:pPr>
            <w:r>
              <w:rPr>
                <w:rFonts w:eastAsia="仿宋_GB2312" w:hint="eastAsia"/>
                <w:sz w:val="32"/>
                <w:szCs w:val="32"/>
              </w:rPr>
              <w:t>单位名称</w:t>
            </w:r>
          </w:p>
        </w:tc>
        <w:tc>
          <w:tcPr>
            <w:tcW w:w="2268" w:type="dxa"/>
            <w:vAlign w:val="center"/>
          </w:tcPr>
          <w:p w:rsidR="00192FD7" w:rsidRDefault="00E432C4">
            <w:pPr>
              <w:widowControl/>
              <w:spacing w:line="580" w:lineRule="exact"/>
              <w:jc w:val="center"/>
              <w:rPr>
                <w:rFonts w:eastAsia="仿宋_GB2312"/>
                <w:sz w:val="32"/>
                <w:szCs w:val="32"/>
              </w:rPr>
            </w:pPr>
            <w:r>
              <w:rPr>
                <w:rFonts w:eastAsia="仿宋_GB2312" w:hint="eastAsia"/>
                <w:sz w:val="32"/>
                <w:szCs w:val="32"/>
              </w:rPr>
              <w:t>单位基本性质</w:t>
            </w:r>
          </w:p>
        </w:tc>
        <w:tc>
          <w:tcPr>
            <w:tcW w:w="2214" w:type="dxa"/>
            <w:vAlign w:val="center"/>
          </w:tcPr>
          <w:p w:rsidR="00192FD7" w:rsidRDefault="00E432C4">
            <w:pPr>
              <w:widowControl/>
              <w:spacing w:line="580" w:lineRule="exact"/>
              <w:jc w:val="center"/>
              <w:rPr>
                <w:rFonts w:eastAsia="仿宋_GB2312"/>
                <w:sz w:val="32"/>
                <w:szCs w:val="32"/>
              </w:rPr>
            </w:pPr>
            <w:r>
              <w:rPr>
                <w:rFonts w:eastAsia="仿宋_GB2312" w:hint="eastAsia"/>
                <w:sz w:val="32"/>
                <w:szCs w:val="32"/>
              </w:rPr>
              <w:t>经费保障形式</w:t>
            </w:r>
          </w:p>
        </w:tc>
      </w:tr>
      <w:tr w:rsidR="00192FD7">
        <w:tc>
          <w:tcPr>
            <w:tcW w:w="3227" w:type="dxa"/>
            <w:vAlign w:val="center"/>
          </w:tcPr>
          <w:p w:rsidR="00192FD7" w:rsidRDefault="00E432C4">
            <w:pPr>
              <w:widowControl/>
              <w:spacing w:line="580" w:lineRule="exact"/>
              <w:jc w:val="center"/>
              <w:rPr>
                <w:rFonts w:eastAsia="仿宋_GB2312"/>
                <w:sz w:val="32"/>
                <w:szCs w:val="32"/>
              </w:rPr>
            </w:pPr>
            <w:r>
              <w:rPr>
                <w:rFonts w:eastAsia="仿宋_GB2312" w:hint="eastAsia"/>
                <w:sz w:val="32"/>
                <w:szCs w:val="32"/>
              </w:rPr>
              <w:t>廊坊市广阳区九州镇白家务办事处</w:t>
            </w:r>
          </w:p>
        </w:tc>
        <w:tc>
          <w:tcPr>
            <w:tcW w:w="2268" w:type="dxa"/>
            <w:vAlign w:val="center"/>
          </w:tcPr>
          <w:p w:rsidR="00192FD7" w:rsidRDefault="00E432C4">
            <w:pPr>
              <w:widowControl/>
              <w:spacing w:line="580" w:lineRule="exact"/>
              <w:jc w:val="center"/>
              <w:rPr>
                <w:rFonts w:eastAsia="仿宋_GB2312"/>
                <w:sz w:val="32"/>
                <w:szCs w:val="32"/>
              </w:rPr>
            </w:pPr>
            <w:r>
              <w:rPr>
                <w:rFonts w:eastAsia="仿宋_GB2312" w:hint="eastAsia"/>
                <w:sz w:val="32"/>
                <w:szCs w:val="32"/>
              </w:rPr>
              <w:t>行政单位</w:t>
            </w:r>
          </w:p>
        </w:tc>
        <w:tc>
          <w:tcPr>
            <w:tcW w:w="2214" w:type="dxa"/>
            <w:vAlign w:val="center"/>
          </w:tcPr>
          <w:p w:rsidR="00192FD7" w:rsidRDefault="00E432C4">
            <w:pPr>
              <w:widowControl/>
              <w:spacing w:line="580" w:lineRule="exact"/>
              <w:jc w:val="center"/>
              <w:rPr>
                <w:rFonts w:eastAsia="仿宋_GB2312"/>
                <w:sz w:val="32"/>
                <w:szCs w:val="32"/>
              </w:rPr>
            </w:pPr>
            <w:r>
              <w:rPr>
                <w:rFonts w:eastAsia="仿宋_GB2312" w:hint="eastAsia"/>
                <w:sz w:val="32"/>
                <w:szCs w:val="32"/>
              </w:rPr>
              <w:t>财政拨款</w:t>
            </w:r>
          </w:p>
        </w:tc>
      </w:tr>
    </w:tbl>
    <w:p w:rsidR="00192FD7" w:rsidRDefault="00192FD7">
      <w:pPr>
        <w:widowControl/>
        <w:spacing w:line="560" w:lineRule="exact"/>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sectPr w:rsidR="00192FD7">
          <w:pgSz w:w="11906" w:h="16838"/>
          <w:pgMar w:top="2098" w:right="1474" w:bottom="1984" w:left="1588" w:header="851" w:footer="992" w:gutter="0"/>
          <w:cols w:space="720"/>
          <w:docGrid w:type="lines" w:linePitch="312"/>
        </w:sectPr>
      </w:pPr>
    </w:p>
    <w:p w:rsidR="00192FD7" w:rsidRDefault="00192FD7">
      <w:pPr>
        <w:widowControl/>
        <w:spacing w:line="1200" w:lineRule="exact"/>
        <w:jc w:val="center"/>
        <w:rPr>
          <w:rFonts w:ascii="黑体" w:eastAsia="黑体"/>
          <w:color w:val="000000"/>
          <w:sz w:val="72"/>
          <w:szCs w:val="96"/>
        </w:rPr>
      </w:pPr>
    </w:p>
    <w:p w:rsidR="00192FD7" w:rsidRDefault="00192FD7">
      <w:pPr>
        <w:widowControl/>
        <w:spacing w:line="1200" w:lineRule="exact"/>
        <w:jc w:val="center"/>
        <w:rPr>
          <w:rFonts w:ascii="黑体" w:eastAsia="黑体"/>
          <w:color w:val="000000"/>
          <w:sz w:val="72"/>
          <w:szCs w:val="96"/>
        </w:rPr>
      </w:pPr>
    </w:p>
    <w:p w:rsidR="00192FD7" w:rsidRDefault="00192FD7">
      <w:pPr>
        <w:widowControl/>
        <w:spacing w:line="1200" w:lineRule="exact"/>
        <w:jc w:val="center"/>
        <w:rPr>
          <w:rFonts w:ascii="黑体" w:eastAsia="黑体"/>
          <w:color w:val="000000"/>
          <w:sz w:val="72"/>
          <w:szCs w:val="96"/>
        </w:rPr>
      </w:pPr>
    </w:p>
    <w:p w:rsidR="00192FD7" w:rsidRDefault="00E432C4">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192FD7" w:rsidRDefault="00E432C4">
      <w:pPr>
        <w:widowControl/>
        <w:spacing w:line="1200" w:lineRule="exact"/>
        <w:jc w:val="center"/>
        <w:rPr>
          <w:color w:val="000000"/>
          <w:sz w:val="72"/>
          <w:szCs w:val="96"/>
        </w:rPr>
      </w:pPr>
      <w:r>
        <w:rPr>
          <w:rFonts w:ascii="黑体" w:eastAsia="黑体" w:hint="eastAsia"/>
          <w:color w:val="000000"/>
          <w:sz w:val="72"/>
          <w:szCs w:val="96"/>
        </w:rPr>
        <w:t>2018年度部门决算报表</w:t>
      </w: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192FD7">
      <w:pPr>
        <w:widowControl/>
        <w:spacing w:line="560" w:lineRule="exact"/>
        <w:jc w:val="center"/>
        <w:rPr>
          <w:rFonts w:ascii="黑体" w:eastAsia="黑体" w:cs="MS-UIGothic,Bold"/>
          <w:bCs/>
          <w:kern w:val="0"/>
          <w:sz w:val="52"/>
          <w:szCs w:val="52"/>
        </w:rPr>
      </w:pPr>
    </w:p>
    <w:p w:rsidR="00192FD7" w:rsidRDefault="00E432C4">
      <w:pPr>
        <w:widowControl/>
        <w:spacing w:line="580" w:lineRule="exact"/>
        <w:ind w:firstLineChars="200" w:firstLine="640"/>
        <w:rPr>
          <w:rFonts w:eastAsia="仿宋_GB2312"/>
          <w:sz w:val="20"/>
          <w:szCs w:val="32"/>
        </w:rPr>
      </w:pPr>
      <w:r>
        <w:rPr>
          <w:rFonts w:eastAsia="黑体"/>
          <w:sz w:val="32"/>
          <w:szCs w:val="32"/>
        </w:rPr>
        <w:lastRenderedPageBreak/>
        <w:t>第二部分</w:t>
      </w:r>
      <w:r>
        <w:rPr>
          <w:rFonts w:eastAsia="黑体"/>
          <w:sz w:val="32"/>
          <w:szCs w:val="32"/>
        </w:rPr>
        <w:t xml:space="preserve">   201</w:t>
      </w:r>
      <w:r>
        <w:rPr>
          <w:rFonts w:eastAsia="黑体" w:hint="eastAsia"/>
          <w:sz w:val="32"/>
          <w:szCs w:val="32"/>
        </w:rPr>
        <w:t>8</w:t>
      </w:r>
      <w:r>
        <w:rPr>
          <w:rFonts w:eastAsia="黑体"/>
          <w:sz w:val="32"/>
          <w:szCs w:val="32"/>
        </w:rPr>
        <w:t>年度部门决算报表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一、收入支出决算总表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二、收入决算表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三、支出决算表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四、财政拨款收入支出决算总表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五、一般公共预算财政拨款支出决算表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六、一般公共预算财政拨款基本支出决算表</w:t>
      </w:r>
    </w:p>
    <w:p w:rsidR="00192FD7" w:rsidRDefault="00E432C4">
      <w:pPr>
        <w:widowControl/>
        <w:spacing w:line="580" w:lineRule="exact"/>
        <w:ind w:left="640" w:firstLineChars="200" w:firstLine="640"/>
        <w:rPr>
          <w:rFonts w:eastAsia="仿宋_GB2312"/>
          <w:sz w:val="32"/>
          <w:szCs w:val="32"/>
        </w:rPr>
      </w:pPr>
      <w:r>
        <w:rPr>
          <w:rFonts w:eastAsia="仿宋_GB2312"/>
          <w:sz w:val="32"/>
          <w:szCs w:val="32"/>
        </w:rPr>
        <w:t>七、</w:t>
      </w:r>
      <w:r>
        <w:rPr>
          <w:rFonts w:eastAsia="仿宋_GB2312" w:hint="eastAsia"/>
          <w:sz w:val="32"/>
          <w:szCs w:val="32"/>
        </w:rPr>
        <w:t>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w:t>
      </w:r>
      <w:r>
        <w:rPr>
          <w:rFonts w:eastAsia="仿宋_GB2312" w:hint="eastAsia"/>
          <w:sz w:val="32"/>
          <w:szCs w:val="32"/>
        </w:rPr>
        <w:t>支出决算表</w:t>
      </w:r>
    </w:p>
    <w:p w:rsidR="00192FD7" w:rsidRDefault="00E432C4">
      <w:pPr>
        <w:widowControl/>
        <w:spacing w:line="580" w:lineRule="exact"/>
        <w:ind w:left="640" w:firstLineChars="200" w:firstLine="640"/>
        <w:rPr>
          <w:rFonts w:eastAsia="仿宋_GB2312"/>
          <w:sz w:val="32"/>
          <w:szCs w:val="32"/>
        </w:rPr>
      </w:pPr>
      <w:r>
        <w:rPr>
          <w:rFonts w:eastAsia="仿宋_GB2312" w:hint="eastAsia"/>
          <w:sz w:val="32"/>
          <w:szCs w:val="32"/>
        </w:rPr>
        <w:t>八、</w:t>
      </w:r>
      <w:r>
        <w:rPr>
          <w:rFonts w:eastAsia="仿宋_GB2312"/>
          <w:sz w:val="32"/>
          <w:szCs w:val="32"/>
        </w:rPr>
        <w:t>政府性基金预算财政拨款收入支出决算表</w:t>
      </w:r>
    </w:p>
    <w:p w:rsidR="00192FD7" w:rsidRDefault="00E432C4">
      <w:pPr>
        <w:widowControl/>
        <w:spacing w:line="580" w:lineRule="exact"/>
        <w:ind w:left="640" w:firstLineChars="200" w:firstLine="640"/>
        <w:rPr>
          <w:rFonts w:eastAsia="仿宋_GB2312"/>
          <w:sz w:val="32"/>
          <w:szCs w:val="32"/>
        </w:rPr>
      </w:pPr>
      <w:r>
        <w:rPr>
          <w:rFonts w:eastAsia="仿宋_GB2312" w:hint="eastAsia"/>
          <w:sz w:val="32"/>
          <w:szCs w:val="32"/>
        </w:rPr>
        <w:t>九</w:t>
      </w:r>
      <w:r>
        <w:rPr>
          <w:rFonts w:eastAsia="仿宋_GB2312"/>
          <w:sz w:val="32"/>
          <w:szCs w:val="32"/>
        </w:rPr>
        <w:t>、国有资本经营预算</w:t>
      </w:r>
      <w:r>
        <w:rPr>
          <w:rFonts w:eastAsia="仿宋_GB2312" w:hint="eastAsia"/>
          <w:sz w:val="32"/>
          <w:szCs w:val="32"/>
        </w:rPr>
        <w:t>财政拨款</w:t>
      </w:r>
      <w:r>
        <w:rPr>
          <w:rFonts w:eastAsia="仿宋_GB2312"/>
          <w:sz w:val="32"/>
          <w:szCs w:val="32"/>
        </w:rPr>
        <w:t>支出决算表</w:t>
      </w:r>
    </w:p>
    <w:p w:rsidR="00192FD7" w:rsidRDefault="00E432C4">
      <w:pPr>
        <w:widowControl/>
        <w:spacing w:line="580" w:lineRule="exact"/>
        <w:ind w:left="640" w:firstLineChars="200" w:firstLine="640"/>
        <w:rPr>
          <w:rFonts w:eastAsia="仿宋_GB2312"/>
          <w:sz w:val="32"/>
          <w:szCs w:val="32"/>
        </w:rPr>
      </w:pPr>
      <w:r>
        <w:rPr>
          <w:rFonts w:eastAsia="仿宋_GB2312" w:hint="eastAsia"/>
          <w:sz w:val="32"/>
          <w:szCs w:val="32"/>
        </w:rPr>
        <w:t>十</w:t>
      </w:r>
      <w:r>
        <w:rPr>
          <w:rFonts w:eastAsia="仿宋_GB2312"/>
          <w:sz w:val="32"/>
          <w:szCs w:val="32"/>
        </w:rPr>
        <w:t>、政府采购情况表</w:t>
      </w:r>
    </w:p>
    <w:p w:rsidR="00192FD7" w:rsidRDefault="00192FD7">
      <w:pPr>
        <w:rPr>
          <w:rFonts w:ascii="宋体" w:cs="ArialUnicodeMS"/>
          <w:color w:val="000000"/>
          <w:kern w:val="0"/>
        </w:rPr>
      </w:pPr>
    </w:p>
    <w:p w:rsidR="00192FD7" w:rsidRDefault="00E432C4">
      <w:pPr>
        <w:tabs>
          <w:tab w:val="left" w:pos="1086"/>
        </w:tabs>
        <w:jc w:val="left"/>
        <w:rPr>
          <w:rFonts w:ascii="仿宋_GB2312" w:eastAsia="仿宋_GB2312"/>
          <w:b/>
          <w:sz w:val="28"/>
          <w:szCs w:val="28"/>
          <w:highlight w:val="yellow"/>
        </w:rPr>
        <w:sectPr w:rsidR="00192FD7">
          <w:pgSz w:w="11906" w:h="16838"/>
          <w:pgMar w:top="2098" w:right="1474" w:bottom="1984" w:left="1588" w:header="851" w:footer="992" w:gutter="0"/>
          <w:cols w:space="720"/>
          <w:docGrid w:type="lines" w:linePitch="312"/>
        </w:sectPr>
      </w:pPr>
      <w:r>
        <w:rPr>
          <w:rFonts w:hint="eastAsia"/>
        </w:rPr>
        <w:tab/>
      </w:r>
    </w:p>
    <w:p w:rsidR="00192FD7" w:rsidRDefault="00192FD7">
      <w:pPr>
        <w:widowControl/>
        <w:spacing w:line="1200" w:lineRule="exact"/>
        <w:jc w:val="center"/>
        <w:rPr>
          <w:rFonts w:ascii="黑体" w:eastAsia="黑体"/>
          <w:color w:val="000000"/>
          <w:sz w:val="96"/>
          <w:szCs w:val="96"/>
        </w:rPr>
      </w:pPr>
    </w:p>
    <w:p w:rsidR="00192FD7" w:rsidRDefault="00192FD7">
      <w:pPr>
        <w:widowControl/>
        <w:spacing w:line="1200" w:lineRule="exact"/>
        <w:jc w:val="center"/>
        <w:rPr>
          <w:rFonts w:ascii="黑体" w:eastAsia="黑体"/>
          <w:color w:val="000000"/>
          <w:sz w:val="96"/>
          <w:szCs w:val="96"/>
        </w:rPr>
      </w:pPr>
    </w:p>
    <w:p w:rsidR="00192FD7" w:rsidRDefault="00192FD7">
      <w:pPr>
        <w:widowControl/>
        <w:spacing w:line="1200" w:lineRule="exact"/>
        <w:jc w:val="center"/>
        <w:rPr>
          <w:rFonts w:ascii="黑体" w:eastAsia="黑体"/>
          <w:color w:val="000000"/>
          <w:sz w:val="96"/>
          <w:szCs w:val="96"/>
        </w:rPr>
      </w:pPr>
    </w:p>
    <w:p w:rsidR="00192FD7" w:rsidRDefault="00E432C4">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192FD7" w:rsidRDefault="00E432C4">
      <w:pPr>
        <w:widowControl/>
        <w:spacing w:line="1200" w:lineRule="exact"/>
        <w:jc w:val="center"/>
        <w:rPr>
          <w:color w:val="000000"/>
          <w:sz w:val="72"/>
          <w:szCs w:val="72"/>
        </w:rPr>
      </w:pPr>
      <w:r>
        <w:rPr>
          <w:rFonts w:ascii="黑体" w:eastAsia="黑体" w:hint="eastAsia"/>
          <w:color w:val="000000"/>
          <w:sz w:val="72"/>
          <w:szCs w:val="72"/>
        </w:rPr>
        <w:t>部门决算情况说明</w:t>
      </w:r>
    </w:p>
    <w:p w:rsidR="00192FD7" w:rsidRDefault="00192FD7">
      <w:pPr>
        <w:rPr>
          <w:rFonts w:ascii="宋体" w:cs="ArialUnicodeMS"/>
          <w:color w:val="000000"/>
          <w:kern w:val="0"/>
        </w:rPr>
        <w:sectPr w:rsidR="00192FD7">
          <w:pgSz w:w="11906" w:h="16838"/>
          <w:pgMar w:top="2098" w:right="1474" w:bottom="1984" w:left="1588" w:header="851" w:footer="992" w:gutter="0"/>
          <w:cols w:space="720"/>
          <w:docGrid w:type="lines" w:linePitch="312"/>
        </w:sectPr>
      </w:pPr>
    </w:p>
    <w:p w:rsidR="00192FD7" w:rsidRDefault="00E432C4">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本部门2018年度收支总计（含结转和结余）2962.21万元。与2017年度决算相比，收支各增加393.45万元，增长15.3%，主要原因是2018年增加人员经费收支。</w:t>
      </w:r>
    </w:p>
    <w:p w:rsidR="00192FD7" w:rsidRDefault="00E432C4">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本部门2018年度本年收入合计2962.21万元，其中：财政拨款收入2962.21万元，占100%；事业收入0万元，占0%；经营收入0万元，占0%；其他收入0万元，占0%。</w:t>
      </w:r>
    </w:p>
    <w:p w:rsidR="00192FD7" w:rsidRDefault="00E432C4">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本部门2018年度本年支出合计2962.21万元，其中：基本支出2962.21万元，占100%；项目支出0万元，占0%；经营支出0万元，占0%。</w:t>
      </w:r>
    </w:p>
    <w:p w:rsidR="00192FD7" w:rsidRDefault="00E432C4">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192FD7" w:rsidRDefault="00E432C4">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（一）财政拨款收支与2017 年度决算对比情况</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形成的财政拨款收支均为一般公共预算财政拨款，其中一般公共预算财政拨款本年收入2962.21万元,比2017年度增加393.45万元，增长15.3%，主要原因是2018年增加人员经费收入；本年支出2962.21万元，增加393.45万元，增长15.3%，主要原因是2018年增加人员经费支出。</w:t>
      </w:r>
    </w:p>
    <w:p w:rsidR="00192FD7" w:rsidRDefault="00E432C4">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本部门2018年度一般公共预算财政拨款收入2962.21万元，</w:t>
      </w:r>
      <w:r>
        <w:rPr>
          <w:rFonts w:ascii="仿宋_GB2312" w:eastAsia="仿宋_GB2312" w:cs="DengXian-Regular" w:hint="eastAsia"/>
          <w:sz w:val="32"/>
          <w:szCs w:val="32"/>
        </w:rPr>
        <w:lastRenderedPageBreak/>
        <w:t>完成年初预算的110.3%,比年初预算增加277.55万元，决算数大于预算数，主要原因是2018年度增加人员经费收入；本年支出2962.21万元，完成年初预算的110.3%,比年初预算增加277.55万元，决算数大于预算数，主要原因是2018年度增加人员经费支出。</w:t>
      </w:r>
    </w:p>
    <w:p w:rsidR="00192FD7" w:rsidRDefault="00E432C4">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年度财政拨款支出2962.21万元，主要用于以下方面：一般公共服务（类）支出967.72万元，占32.7%；教育（类）支出1959.59万元，占66.1%；医疗卫生与计划生育（类）支出28.6万元，占1%；农林水（类）支出 6.3万元，占0.2%。</w:t>
      </w:r>
    </w:p>
    <w:p w:rsidR="00192FD7" w:rsidRDefault="00E432C4">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2018 年度一般公共预算财政拨款基本支出2962.21万元，其中：人员经费2884.06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78.15万元，主要包括办公费、印刷费、水费、电费、邮电费、差旅费、维修（护）费、劳务费、委托业务费、工会经费、福利费、公务用车运行维护费、其他交通费用、其他商品和服务支出、办公设备购置、专用设备</w:t>
      </w:r>
      <w:r>
        <w:rPr>
          <w:rFonts w:ascii="仿宋_GB2312" w:eastAsia="仿宋_GB2312" w:cs="DengXian-Regular" w:hint="eastAsia"/>
          <w:sz w:val="32"/>
          <w:szCs w:val="32"/>
        </w:rPr>
        <w:lastRenderedPageBreak/>
        <w:t>购置、信息网络及软件购置更新等。</w:t>
      </w:r>
    </w:p>
    <w:p w:rsidR="00192FD7" w:rsidRDefault="00E432C4">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 经费支出决算情况说明</w:t>
      </w:r>
    </w:p>
    <w:p w:rsidR="00192FD7" w:rsidRDefault="00E432C4">
      <w:pPr>
        <w:adjustRightInd w:val="0"/>
        <w:snapToGrid w:val="0"/>
        <w:spacing w:line="584" w:lineRule="exact"/>
        <w:ind w:firstLineChars="200" w:firstLine="640"/>
        <w:rPr>
          <w:rFonts w:eastAsia="仿宋_GB2312"/>
          <w:sz w:val="32"/>
          <w:szCs w:val="32"/>
        </w:rPr>
      </w:pP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年度一般公共预算财政拨款</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经费支出共计</w:t>
      </w:r>
      <w:r>
        <w:rPr>
          <w:rFonts w:eastAsia="仿宋_GB2312" w:hint="eastAsia"/>
          <w:sz w:val="32"/>
          <w:szCs w:val="32"/>
        </w:rPr>
        <w:t>1.72</w:t>
      </w:r>
      <w:r>
        <w:rPr>
          <w:rFonts w:eastAsia="仿宋_GB2312"/>
          <w:sz w:val="32"/>
          <w:szCs w:val="32"/>
        </w:rPr>
        <w:t>万元，</w:t>
      </w:r>
      <w:r>
        <w:rPr>
          <w:rFonts w:eastAsia="仿宋_GB2312" w:hint="eastAsia"/>
          <w:sz w:val="32"/>
          <w:szCs w:val="32"/>
        </w:rPr>
        <w:t>比</w:t>
      </w:r>
      <w:r>
        <w:rPr>
          <w:rFonts w:eastAsia="仿宋_GB2312"/>
          <w:sz w:val="32"/>
          <w:szCs w:val="32"/>
        </w:rPr>
        <w:t>年初预算减少</w:t>
      </w:r>
      <w:r>
        <w:rPr>
          <w:rFonts w:eastAsia="仿宋_GB2312" w:hint="eastAsia"/>
          <w:sz w:val="32"/>
          <w:szCs w:val="32"/>
        </w:rPr>
        <w:t>2.88</w:t>
      </w:r>
      <w:r>
        <w:rPr>
          <w:rFonts w:eastAsia="仿宋_GB2312"/>
          <w:sz w:val="32"/>
          <w:szCs w:val="32"/>
        </w:rPr>
        <w:t>万元，降低</w:t>
      </w:r>
      <w:r>
        <w:rPr>
          <w:rFonts w:eastAsia="仿宋_GB2312" w:hint="eastAsia"/>
          <w:sz w:val="32"/>
          <w:szCs w:val="32"/>
        </w:rPr>
        <w:t>62.6</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为了减少经费支出</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0.08</w:t>
      </w:r>
      <w:r>
        <w:rPr>
          <w:rFonts w:eastAsia="仿宋_GB2312"/>
          <w:sz w:val="32"/>
          <w:szCs w:val="32"/>
        </w:rPr>
        <w:t>万元，增长</w:t>
      </w:r>
      <w:r>
        <w:rPr>
          <w:rFonts w:eastAsia="仿宋_GB2312" w:hint="eastAsia"/>
          <w:sz w:val="32"/>
          <w:szCs w:val="32"/>
        </w:rPr>
        <w:t>4.9</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车辆老化，维修费用增加</w:t>
      </w:r>
      <w:r>
        <w:rPr>
          <w:rFonts w:eastAsia="仿宋_GB2312"/>
          <w:sz w:val="32"/>
          <w:szCs w:val="32"/>
        </w:rPr>
        <w:t>。具体情况如下：</w:t>
      </w:r>
    </w:p>
    <w:p w:rsidR="00192FD7" w:rsidRDefault="00E432C4">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（一）因公出国（境）费支出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年度未发生</w:t>
      </w:r>
      <w:r>
        <w:rPr>
          <w:rFonts w:ascii="仿宋_GB2312" w:eastAsia="仿宋_GB2312" w:cs="DengXian-Regular" w:hint="eastAsia"/>
          <w:sz w:val="32"/>
          <w:szCs w:val="32"/>
        </w:rPr>
        <w:t>因公出国（境）</w:t>
      </w:r>
      <w:r>
        <w:rPr>
          <w:rFonts w:ascii="仿宋_GB2312" w:eastAsia="仿宋_GB2312" w:cs="DengXian-Regular"/>
          <w:sz w:val="32"/>
          <w:szCs w:val="32"/>
        </w:rPr>
        <w:t>费支出，</w:t>
      </w:r>
      <w:r>
        <w:rPr>
          <w:rFonts w:eastAsia="仿宋_GB2312"/>
          <w:sz w:val="32"/>
          <w:szCs w:val="32"/>
        </w:rPr>
        <w:t>较年初预算无增减变化；较</w:t>
      </w:r>
      <w:r>
        <w:rPr>
          <w:rFonts w:eastAsia="仿宋_GB2312"/>
          <w:sz w:val="32"/>
          <w:szCs w:val="32"/>
        </w:rPr>
        <w:t>201</w:t>
      </w:r>
      <w:r>
        <w:rPr>
          <w:rFonts w:eastAsia="仿宋_GB2312" w:hint="eastAsia"/>
          <w:sz w:val="32"/>
          <w:szCs w:val="32"/>
        </w:rPr>
        <w:t>7</w:t>
      </w:r>
      <w:r>
        <w:rPr>
          <w:rFonts w:eastAsia="仿宋_GB2312"/>
          <w:sz w:val="32"/>
          <w:szCs w:val="32"/>
        </w:rPr>
        <w:t>年度决算无增减变化</w:t>
      </w:r>
      <w:r>
        <w:rPr>
          <w:rFonts w:eastAsia="仿宋_GB2312" w:hint="eastAsia"/>
          <w:sz w:val="32"/>
          <w:szCs w:val="32"/>
        </w:rPr>
        <w:t>。</w:t>
      </w:r>
    </w:p>
    <w:p w:rsidR="00192FD7" w:rsidRDefault="00E432C4">
      <w:pPr>
        <w:adjustRightInd w:val="0"/>
        <w:snapToGrid w:val="0"/>
        <w:spacing w:line="584" w:lineRule="exact"/>
        <w:ind w:firstLineChars="200" w:firstLine="643"/>
        <w:rPr>
          <w:rFonts w:eastAsia="仿宋_GB2312"/>
          <w:b/>
          <w:bCs/>
          <w:sz w:val="32"/>
          <w:szCs w:val="32"/>
        </w:rPr>
      </w:pPr>
      <w:r>
        <w:rPr>
          <w:rFonts w:eastAsia="楷体_GB2312"/>
          <w:b/>
          <w:bCs/>
          <w:sz w:val="32"/>
          <w:szCs w:val="32"/>
        </w:rPr>
        <w:t>（二）公务用车购置及运行维护费支出</w:t>
      </w:r>
      <w:r>
        <w:rPr>
          <w:rFonts w:eastAsia="楷体_GB2312" w:hint="eastAsia"/>
          <w:b/>
          <w:bCs/>
          <w:sz w:val="32"/>
          <w:szCs w:val="32"/>
        </w:rPr>
        <w:t>1.72</w:t>
      </w:r>
      <w:r>
        <w:rPr>
          <w:rFonts w:eastAsia="楷体_GB2312"/>
          <w:b/>
          <w:bCs/>
          <w:sz w:val="32"/>
          <w:szCs w:val="32"/>
        </w:rPr>
        <w:t>万元。</w:t>
      </w:r>
      <w:r>
        <w:rPr>
          <w:rFonts w:ascii="仿宋_GB2312" w:eastAsia="仿宋_GB2312" w:cs="DengXian-Regular" w:hint="eastAsia"/>
          <w:sz w:val="32"/>
          <w:szCs w:val="32"/>
        </w:rPr>
        <w:t>本部门2018年度公务用车购置及运行维护费比年初预算</w:t>
      </w:r>
      <w:r>
        <w:rPr>
          <w:rFonts w:eastAsia="仿宋_GB2312"/>
          <w:sz w:val="32"/>
          <w:szCs w:val="32"/>
        </w:rPr>
        <w:t>减少</w:t>
      </w:r>
      <w:r>
        <w:rPr>
          <w:rFonts w:eastAsia="仿宋_GB2312" w:hint="eastAsia"/>
          <w:sz w:val="32"/>
          <w:szCs w:val="32"/>
        </w:rPr>
        <w:t>2.88</w:t>
      </w:r>
      <w:r>
        <w:rPr>
          <w:rFonts w:eastAsia="仿宋_GB2312"/>
          <w:sz w:val="32"/>
          <w:szCs w:val="32"/>
        </w:rPr>
        <w:t>万元</w:t>
      </w:r>
      <w:r>
        <w:rPr>
          <w:rFonts w:ascii="仿宋_GB2312" w:eastAsia="仿宋_GB2312" w:cs="DengXian-Regular" w:hint="eastAsia"/>
          <w:sz w:val="32"/>
          <w:szCs w:val="32"/>
        </w:rPr>
        <w:t>，</w:t>
      </w:r>
      <w:r>
        <w:rPr>
          <w:rFonts w:eastAsia="仿宋_GB2312"/>
          <w:sz w:val="32"/>
          <w:szCs w:val="32"/>
        </w:rPr>
        <w:t>降低</w:t>
      </w:r>
      <w:r>
        <w:rPr>
          <w:rFonts w:eastAsia="仿宋_GB2312" w:hint="eastAsia"/>
          <w:sz w:val="32"/>
          <w:szCs w:val="32"/>
        </w:rPr>
        <w:t>62.6</w:t>
      </w:r>
      <w:r>
        <w:rPr>
          <w:rFonts w:eastAsia="仿宋_GB2312"/>
          <w:sz w:val="32"/>
          <w:szCs w:val="32"/>
        </w:rPr>
        <w:t>%</w:t>
      </w:r>
      <w:r>
        <w:rPr>
          <w:rFonts w:ascii="仿宋_GB2312" w:eastAsia="仿宋_GB2312" w:cs="DengXian-Regular" w:hint="eastAsia"/>
          <w:sz w:val="32"/>
          <w:szCs w:val="32"/>
        </w:rPr>
        <w:t>,主要原因是</w:t>
      </w:r>
      <w:r>
        <w:rPr>
          <w:rFonts w:eastAsia="仿宋_GB2312" w:hint="eastAsia"/>
          <w:sz w:val="32"/>
          <w:szCs w:val="32"/>
        </w:rPr>
        <w:t>为了减少经费支</w:t>
      </w:r>
      <w:r w:rsidR="0044137B">
        <w:rPr>
          <w:rFonts w:eastAsia="仿宋_GB2312" w:hint="eastAsia"/>
          <w:sz w:val="32"/>
          <w:szCs w:val="32"/>
        </w:rPr>
        <w:t>出。</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0.08</w:t>
      </w:r>
      <w:r>
        <w:rPr>
          <w:rFonts w:eastAsia="仿宋_GB2312"/>
          <w:sz w:val="32"/>
          <w:szCs w:val="32"/>
        </w:rPr>
        <w:t>万元，增长</w:t>
      </w:r>
      <w:r>
        <w:rPr>
          <w:rFonts w:ascii="宋体" w:cs="宋体" w:hint="eastAsia"/>
          <w:sz w:val="32"/>
          <w:szCs w:val="32"/>
        </w:rPr>
        <w:t>4.9</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车辆老化，维修费用增加</w:t>
      </w:r>
      <w:r>
        <w:rPr>
          <w:rFonts w:eastAsia="仿宋_GB2312"/>
          <w:sz w:val="32"/>
          <w:szCs w:val="32"/>
        </w:rPr>
        <w:t>。</w:t>
      </w:r>
      <w:r>
        <w:rPr>
          <w:rFonts w:eastAsia="仿宋_GB2312"/>
          <w:b/>
          <w:bCs/>
          <w:sz w:val="32"/>
          <w:szCs w:val="32"/>
        </w:rPr>
        <w:t>其中：</w:t>
      </w:r>
    </w:p>
    <w:p w:rsidR="00192FD7" w:rsidRDefault="00E432C4">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公务用车购置费支出</w:t>
      </w:r>
      <w:r>
        <w:rPr>
          <w:rFonts w:eastAsia="仿宋_GB2312" w:hint="eastAsia"/>
          <w:b/>
          <w:sz w:val="32"/>
          <w:szCs w:val="32"/>
        </w:rPr>
        <w:t>0</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年度公</w:t>
      </w:r>
      <w:bookmarkStart w:id="0" w:name="_GoBack"/>
      <w:bookmarkEnd w:id="0"/>
      <w:r>
        <w:rPr>
          <w:rFonts w:eastAsia="仿宋_GB2312"/>
          <w:sz w:val="32"/>
          <w:szCs w:val="32"/>
        </w:rPr>
        <w:t>务用车购置数量</w:t>
      </w:r>
      <w:r>
        <w:rPr>
          <w:rFonts w:eastAsia="仿宋_GB2312" w:hint="eastAsia"/>
          <w:sz w:val="32"/>
          <w:szCs w:val="32"/>
        </w:rPr>
        <w:t>0</w:t>
      </w:r>
      <w:r>
        <w:rPr>
          <w:rFonts w:eastAsia="仿宋_GB2312"/>
          <w:sz w:val="32"/>
          <w:szCs w:val="32"/>
        </w:rPr>
        <w:t>辆。</w:t>
      </w:r>
      <w:r>
        <w:rPr>
          <w:rFonts w:eastAsia="仿宋_GB2312" w:hint="eastAsia"/>
          <w:sz w:val="32"/>
          <w:szCs w:val="32"/>
        </w:rPr>
        <w:t>公务用车购置费支出较年初预算无增减变化，无新增公务用车；较</w:t>
      </w:r>
      <w:r>
        <w:rPr>
          <w:rFonts w:eastAsia="仿宋_GB2312"/>
          <w:sz w:val="32"/>
          <w:szCs w:val="32"/>
        </w:rPr>
        <w:t>2017</w:t>
      </w:r>
      <w:r>
        <w:rPr>
          <w:rFonts w:eastAsia="仿宋_GB2312" w:hint="eastAsia"/>
          <w:sz w:val="32"/>
          <w:szCs w:val="32"/>
        </w:rPr>
        <w:t>年度决算无增减变化，无新增公务用车。</w:t>
      </w:r>
    </w:p>
    <w:p w:rsidR="00192FD7" w:rsidRDefault="00E432C4">
      <w:pPr>
        <w:adjustRightInd w:val="0"/>
        <w:snapToGrid w:val="0"/>
        <w:spacing w:line="584" w:lineRule="exact"/>
        <w:ind w:firstLineChars="200" w:firstLine="643"/>
        <w:rPr>
          <w:rFonts w:eastAsia="仿宋_GB2312"/>
          <w:sz w:val="32"/>
          <w:szCs w:val="32"/>
          <w:highlight w:val="yellow"/>
        </w:rPr>
      </w:pPr>
      <w:r>
        <w:rPr>
          <w:rFonts w:eastAsia="仿宋_GB2312"/>
          <w:b/>
          <w:sz w:val="32"/>
          <w:szCs w:val="32"/>
        </w:rPr>
        <w:t>公务用车运行维护费支出</w:t>
      </w:r>
      <w:r>
        <w:rPr>
          <w:rFonts w:eastAsia="仿宋_GB2312" w:hint="eastAsia"/>
          <w:b/>
          <w:sz w:val="32"/>
          <w:szCs w:val="32"/>
        </w:rPr>
        <w:t>1.72</w:t>
      </w:r>
      <w:r>
        <w:rPr>
          <w:rFonts w:eastAsia="仿宋_GB2312"/>
          <w:b/>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年末单位公务用车保有量</w:t>
      </w:r>
      <w:r>
        <w:rPr>
          <w:rFonts w:eastAsia="仿宋_GB2312" w:hint="eastAsia"/>
          <w:sz w:val="32"/>
          <w:szCs w:val="32"/>
        </w:rPr>
        <w:t>2</w:t>
      </w:r>
      <w:r>
        <w:rPr>
          <w:rFonts w:eastAsia="仿宋_GB2312"/>
          <w:sz w:val="32"/>
          <w:szCs w:val="32"/>
        </w:rPr>
        <w:t>辆。公车运行维护费支出</w:t>
      </w:r>
      <w:r>
        <w:rPr>
          <w:rFonts w:eastAsia="仿宋_GB2312" w:hint="eastAsia"/>
          <w:sz w:val="32"/>
          <w:szCs w:val="32"/>
        </w:rPr>
        <w:t>比</w:t>
      </w:r>
      <w:r>
        <w:rPr>
          <w:rFonts w:eastAsia="仿宋_GB2312"/>
          <w:sz w:val="32"/>
          <w:szCs w:val="32"/>
        </w:rPr>
        <w:t>年初预算减少</w:t>
      </w:r>
      <w:r>
        <w:rPr>
          <w:rFonts w:eastAsia="仿宋_GB2312" w:hint="eastAsia"/>
          <w:sz w:val="32"/>
          <w:szCs w:val="32"/>
        </w:rPr>
        <w:t>2.88</w:t>
      </w:r>
      <w:r>
        <w:rPr>
          <w:rFonts w:eastAsia="仿宋_GB2312"/>
          <w:sz w:val="32"/>
          <w:szCs w:val="32"/>
        </w:rPr>
        <w:lastRenderedPageBreak/>
        <w:t>万元，降低</w:t>
      </w:r>
      <w:r>
        <w:rPr>
          <w:rFonts w:eastAsia="仿宋_GB2312" w:hint="eastAsia"/>
          <w:sz w:val="32"/>
          <w:szCs w:val="32"/>
        </w:rPr>
        <w:t>62.6</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为了减少经费支出</w:t>
      </w:r>
      <w:r>
        <w:rPr>
          <w:rFonts w:eastAsia="仿宋_GB2312"/>
          <w:sz w:val="32"/>
          <w:szCs w:val="32"/>
        </w:rPr>
        <w:t>；</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w:t>
      </w:r>
      <w:r>
        <w:rPr>
          <w:rFonts w:eastAsia="仿宋_GB2312" w:hint="eastAsia"/>
          <w:sz w:val="32"/>
          <w:szCs w:val="32"/>
        </w:rPr>
        <w:t>0.08</w:t>
      </w:r>
      <w:r>
        <w:rPr>
          <w:rFonts w:eastAsia="仿宋_GB2312"/>
          <w:sz w:val="32"/>
          <w:szCs w:val="32"/>
        </w:rPr>
        <w:t>万元，增长</w:t>
      </w:r>
      <w:r>
        <w:rPr>
          <w:rFonts w:ascii="宋体" w:cs="宋体" w:hint="eastAsia"/>
          <w:sz w:val="32"/>
          <w:szCs w:val="32"/>
        </w:rPr>
        <w:t>4.9</w:t>
      </w:r>
      <w:r>
        <w:rPr>
          <w:rFonts w:eastAsia="仿宋_GB2312"/>
          <w:sz w:val="32"/>
          <w:szCs w:val="32"/>
        </w:rPr>
        <w:t>%</w:t>
      </w:r>
      <w:r>
        <w:rPr>
          <w:rFonts w:eastAsia="仿宋_GB2312"/>
          <w:sz w:val="32"/>
          <w:szCs w:val="32"/>
        </w:rPr>
        <w:t>，主要</w:t>
      </w:r>
      <w:r>
        <w:rPr>
          <w:rFonts w:ascii="仿宋_GB2312" w:eastAsia="仿宋_GB2312" w:cs="DengXian-Regular" w:hint="eastAsia"/>
          <w:sz w:val="32"/>
          <w:szCs w:val="32"/>
        </w:rPr>
        <w:t>原因</w:t>
      </w:r>
      <w:r>
        <w:rPr>
          <w:rFonts w:eastAsia="仿宋_GB2312"/>
          <w:sz w:val="32"/>
          <w:szCs w:val="32"/>
        </w:rPr>
        <w:t>是</w:t>
      </w:r>
      <w:r>
        <w:rPr>
          <w:rFonts w:eastAsia="仿宋_GB2312" w:hint="eastAsia"/>
          <w:sz w:val="32"/>
          <w:szCs w:val="32"/>
        </w:rPr>
        <w:t>车辆老化，维修费用增加</w:t>
      </w:r>
      <w:r>
        <w:rPr>
          <w:rFonts w:eastAsia="仿宋_GB2312"/>
          <w:sz w:val="32"/>
          <w:szCs w:val="32"/>
        </w:rPr>
        <w:t>。</w:t>
      </w:r>
    </w:p>
    <w:p w:rsidR="00192FD7" w:rsidRDefault="00E432C4">
      <w:pPr>
        <w:adjustRightInd w:val="0"/>
        <w:snapToGrid w:val="0"/>
        <w:spacing w:line="584" w:lineRule="exact"/>
        <w:ind w:firstLineChars="200" w:firstLine="643"/>
        <w:rPr>
          <w:rFonts w:eastAsia="仿宋_GB2312"/>
          <w:sz w:val="32"/>
          <w:szCs w:val="32"/>
          <w:highlight w:val="yellow"/>
        </w:rPr>
      </w:pPr>
      <w:r>
        <w:rPr>
          <w:rFonts w:eastAsia="楷体_GB2312"/>
          <w:b/>
          <w:bCs/>
          <w:sz w:val="32"/>
          <w:szCs w:val="32"/>
        </w:rPr>
        <w:t>（三）公务接待费支出</w:t>
      </w:r>
      <w:r>
        <w:rPr>
          <w:rFonts w:eastAsia="楷体_GB2312" w:hint="eastAsia"/>
          <w:b/>
          <w:bCs/>
          <w:sz w:val="32"/>
          <w:szCs w:val="32"/>
        </w:rPr>
        <w:t>0</w:t>
      </w:r>
      <w:r>
        <w:rPr>
          <w:rFonts w:eastAsia="楷体_GB2312"/>
          <w:b/>
          <w:bCs/>
          <w:sz w:val="32"/>
          <w:szCs w:val="32"/>
        </w:rPr>
        <w:t>万元。</w:t>
      </w:r>
      <w:r>
        <w:rPr>
          <w:rFonts w:eastAsia="仿宋_GB2312"/>
          <w:sz w:val="32"/>
          <w:szCs w:val="32"/>
        </w:rPr>
        <w:t>本部门</w:t>
      </w:r>
      <w:r>
        <w:rPr>
          <w:rFonts w:eastAsia="仿宋_GB2312"/>
          <w:sz w:val="32"/>
          <w:szCs w:val="32"/>
        </w:rPr>
        <w:t>201</w:t>
      </w:r>
      <w:r>
        <w:rPr>
          <w:rFonts w:eastAsia="仿宋_GB2312" w:hint="eastAsia"/>
          <w:sz w:val="32"/>
          <w:szCs w:val="32"/>
        </w:rPr>
        <w:t>8</w:t>
      </w:r>
      <w:r>
        <w:rPr>
          <w:rFonts w:eastAsia="仿宋_GB2312"/>
          <w:sz w:val="32"/>
          <w:szCs w:val="32"/>
        </w:rPr>
        <w:t>年度公务接待共</w:t>
      </w:r>
      <w:r>
        <w:rPr>
          <w:rFonts w:eastAsia="仿宋_GB2312" w:hint="eastAsia"/>
          <w:sz w:val="32"/>
          <w:szCs w:val="32"/>
        </w:rPr>
        <w:t>0</w:t>
      </w:r>
      <w:r>
        <w:rPr>
          <w:rFonts w:eastAsia="仿宋_GB2312"/>
          <w:sz w:val="32"/>
          <w:szCs w:val="32"/>
        </w:rPr>
        <w:t>批次、</w:t>
      </w:r>
      <w:r>
        <w:rPr>
          <w:rFonts w:eastAsia="仿宋_GB2312" w:hint="eastAsia"/>
          <w:sz w:val="32"/>
          <w:szCs w:val="32"/>
        </w:rPr>
        <w:t>0</w:t>
      </w:r>
      <w:r>
        <w:rPr>
          <w:rFonts w:eastAsia="仿宋_GB2312"/>
          <w:sz w:val="32"/>
          <w:szCs w:val="32"/>
        </w:rPr>
        <w:t>人次。</w:t>
      </w:r>
      <w:r>
        <w:rPr>
          <w:rFonts w:eastAsia="仿宋_GB2312" w:hint="eastAsia"/>
          <w:sz w:val="32"/>
          <w:szCs w:val="32"/>
        </w:rPr>
        <w:t>公务接待费支出较年初预算无增减变化；较</w:t>
      </w:r>
      <w:r>
        <w:rPr>
          <w:rFonts w:eastAsia="仿宋_GB2312"/>
          <w:sz w:val="32"/>
          <w:szCs w:val="32"/>
        </w:rPr>
        <w:t>2017</w:t>
      </w:r>
      <w:r>
        <w:rPr>
          <w:rFonts w:eastAsia="仿宋_GB2312" w:hint="eastAsia"/>
          <w:sz w:val="32"/>
          <w:szCs w:val="32"/>
        </w:rPr>
        <w:t>年度决算无增减变化。</w:t>
      </w:r>
    </w:p>
    <w:p w:rsidR="00192FD7" w:rsidRDefault="00E432C4">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六、预算绩效情况说明</w:t>
      </w:r>
    </w:p>
    <w:p w:rsidR="00192FD7" w:rsidRDefault="00E432C4">
      <w:pPr>
        <w:widowControl/>
        <w:spacing w:line="580" w:lineRule="exact"/>
        <w:ind w:firstLineChars="200" w:firstLine="640"/>
        <w:rPr>
          <w:rFonts w:ascii="仿宋" w:eastAsia="仿宋"/>
          <w:color w:val="000000"/>
          <w:kern w:val="0"/>
          <w:sz w:val="32"/>
          <w:szCs w:val="32"/>
        </w:rPr>
      </w:pPr>
      <w:r>
        <w:rPr>
          <w:rFonts w:ascii="仿宋" w:eastAsia="仿宋" w:cs="DengXian-Regular" w:hint="eastAsia"/>
          <w:sz w:val="32"/>
          <w:szCs w:val="32"/>
        </w:rPr>
        <w:t>（一）预算绩效管理工作开展情况。</w:t>
      </w:r>
      <w:r>
        <w:rPr>
          <w:rFonts w:ascii="仿宋" w:eastAsia="仿宋" w:hint="eastAsia"/>
          <w:color w:val="000000"/>
          <w:kern w:val="0"/>
          <w:sz w:val="32"/>
          <w:szCs w:val="32"/>
        </w:rPr>
        <w:t>建立健全工作机制，为了顺利推进预算绩效管理工作实施，白家务办事处建立了相应的工作机制和操作规程，办公室牵头，相关部门参与。在具体工作中，办公室负责预算支出绩效考评相关政策的制定，牵头组织项目绩效考评工作，下达项目绩效考评通知，跟踪了解项目绩效考评工作实际情况，做好项目绩效考评经验总结及交流宣传工作，做好相关科室，单位的协调工作，最后办公室形成预算绩效考评总结材料。相关科室具体负责本科室对口单位实施项目的绩效考评工作，配合制作考评指标，做好部门和考评单位之间的沟通协调工作，审核对口管理项目的绩效自评报告并对主管部门出具的绩效考评报告提出意见。</w:t>
      </w:r>
    </w:p>
    <w:p w:rsidR="00192FD7" w:rsidRDefault="00E432C4">
      <w:pPr>
        <w:adjustRightInd w:val="0"/>
        <w:snapToGrid w:val="0"/>
        <w:spacing w:after="0" w:line="580" w:lineRule="exact"/>
        <w:ind w:firstLineChars="200" w:firstLine="640"/>
        <w:rPr>
          <w:rFonts w:ascii="仿宋" w:eastAsia="仿宋"/>
          <w:color w:val="000000"/>
          <w:kern w:val="0"/>
          <w:sz w:val="32"/>
          <w:szCs w:val="32"/>
        </w:rPr>
      </w:pPr>
      <w:r>
        <w:rPr>
          <w:rFonts w:ascii="仿宋_GB2312" w:eastAsia="仿宋_GB2312" w:cs="DengXian-Regular" w:hint="eastAsia"/>
          <w:sz w:val="32"/>
          <w:szCs w:val="32"/>
        </w:rPr>
        <w:t>（二）项目绩效自评结果。</w:t>
      </w:r>
      <w:r>
        <w:rPr>
          <w:rFonts w:ascii="仿宋" w:eastAsia="仿宋"/>
          <w:color w:val="000000"/>
          <w:kern w:val="0"/>
          <w:sz w:val="32"/>
          <w:szCs w:val="32"/>
        </w:rPr>
        <w:t>我们按照相关工作安排配合</w:t>
      </w:r>
      <w:r>
        <w:rPr>
          <w:rFonts w:ascii="仿宋" w:eastAsia="仿宋" w:hint="eastAsia"/>
          <w:color w:val="000000"/>
          <w:kern w:val="0"/>
          <w:sz w:val="32"/>
          <w:szCs w:val="32"/>
        </w:rPr>
        <w:t>区</w:t>
      </w:r>
      <w:r>
        <w:rPr>
          <w:rFonts w:ascii="仿宋" w:eastAsia="仿宋"/>
          <w:color w:val="000000"/>
          <w:kern w:val="0"/>
          <w:sz w:val="32"/>
          <w:szCs w:val="32"/>
        </w:rPr>
        <w:t>财政局对项目资金进行绩效评价，切实提高财政资金使用绩效， 保障各项资金落实到位</w:t>
      </w:r>
      <w:r>
        <w:rPr>
          <w:rFonts w:ascii="仿宋" w:eastAsia="仿宋" w:hint="eastAsia"/>
          <w:color w:val="000000"/>
          <w:kern w:val="0"/>
          <w:sz w:val="32"/>
          <w:szCs w:val="32"/>
        </w:rPr>
        <w:t>。</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lastRenderedPageBreak/>
        <w:t>（三）重点项目绩效评价结果。</w:t>
      </w:r>
      <w:r>
        <w:rPr>
          <w:sz w:val="32"/>
          <w:szCs w:val="32"/>
        </w:rPr>
        <w:t>我们配合</w:t>
      </w:r>
      <w:r>
        <w:rPr>
          <w:rFonts w:hint="eastAsia"/>
          <w:sz w:val="32"/>
          <w:szCs w:val="32"/>
        </w:rPr>
        <w:t>区</w:t>
      </w:r>
      <w:r>
        <w:rPr>
          <w:sz w:val="32"/>
          <w:szCs w:val="32"/>
        </w:rPr>
        <w:t>财政局对</w:t>
      </w:r>
      <w:r>
        <w:rPr>
          <w:rFonts w:hint="eastAsia"/>
          <w:sz w:val="32"/>
          <w:szCs w:val="32"/>
        </w:rPr>
        <w:t>项目资金</w:t>
      </w:r>
      <w:r>
        <w:rPr>
          <w:sz w:val="32"/>
          <w:szCs w:val="32"/>
        </w:rPr>
        <w:t>进行绩效评价，专项资金的使用基本达到了既定目标。绩效评价良好</w:t>
      </w:r>
      <w:r>
        <w:rPr>
          <w:rFonts w:ascii="仿宋_GB2312" w:eastAsia="仿宋_GB2312" w:cs="DengXian-Regular" w:hint="eastAsia"/>
          <w:sz w:val="32"/>
          <w:szCs w:val="32"/>
        </w:rPr>
        <w:t>。</w:t>
      </w:r>
    </w:p>
    <w:p w:rsidR="00192FD7" w:rsidRDefault="00E432C4">
      <w:pPr>
        <w:adjustRightInd w:val="0"/>
        <w:snapToGrid w:val="0"/>
        <w:spacing w:after="0" w:line="580" w:lineRule="exact"/>
        <w:ind w:firstLineChars="200" w:firstLine="640"/>
        <w:rPr>
          <w:rFonts w:ascii="黑体" w:eastAsia="黑体"/>
          <w:sz w:val="32"/>
          <w:szCs w:val="40"/>
        </w:rPr>
      </w:pPr>
      <w:r>
        <w:rPr>
          <w:rFonts w:ascii="黑体" w:eastAsia="黑体" w:hint="eastAsia"/>
          <w:sz w:val="32"/>
          <w:szCs w:val="40"/>
        </w:rPr>
        <w:t>七、其他重要事项的说明</w:t>
      </w:r>
    </w:p>
    <w:p w:rsidR="00192FD7" w:rsidRDefault="00E432C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192FD7" w:rsidRDefault="00E432C4">
      <w:pPr>
        <w:adjustRightInd w:val="0"/>
        <w:snapToGrid w:val="0"/>
        <w:spacing w:after="0" w:line="580" w:lineRule="exact"/>
        <w:ind w:firstLineChars="200" w:firstLine="640"/>
        <w:rPr>
          <w:rFonts w:ascii="仿宋" w:eastAsia="仿宋" w:cs="DengXian-Regular"/>
          <w:sz w:val="32"/>
          <w:szCs w:val="32"/>
        </w:rPr>
      </w:pPr>
      <w:r>
        <w:rPr>
          <w:rFonts w:ascii="仿宋" w:eastAsia="仿宋" w:cs="DengXian-Regular" w:hint="eastAsia"/>
          <w:sz w:val="32"/>
          <w:szCs w:val="32"/>
        </w:rPr>
        <w:t>本部门2018年度机关运行经费支出78</w:t>
      </w:r>
      <w:r>
        <w:rPr>
          <w:rFonts w:ascii="仿宋" w:eastAsia="仿宋" w:cs="宋体" w:hint="eastAsia"/>
          <w:sz w:val="32"/>
          <w:szCs w:val="32"/>
        </w:rPr>
        <w:t>.15</w:t>
      </w:r>
      <w:r>
        <w:rPr>
          <w:rFonts w:ascii="仿宋" w:eastAsia="仿宋" w:cs="DengXian-Regular" w:hint="eastAsia"/>
          <w:sz w:val="32"/>
          <w:szCs w:val="32"/>
        </w:rPr>
        <w:t>万元，比年初预算数减少33</w:t>
      </w:r>
      <w:r>
        <w:rPr>
          <w:rFonts w:ascii="仿宋" w:eastAsia="仿宋" w:cs="宋体" w:hint="eastAsia"/>
          <w:sz w:val="32"/>
          <w:szCs w:val="32"/>
        </w:rPr>
        <w:t>.18</w:t>
      </w:r>
      <w:r>
        <w:rPr>
          <w:rFonts w:ascii="仿宋" w:eastAsia="仿宋" w:cs="DengXian-Regular" w:hint="eastAsia"/>
          <w:sz w:val="32"/>
          <w:szCs w:val="32"/>
        </w:rPr>
        <w:t>万元，降低2</w:t>
      </w:r>
      <w:r>
        <w:rPr>
          <w:rFonts w:ascii="仿宋" w:eastAsia="仿宋" w:cs="宋体" w:hint="eastAsia"/>
          <w:sz w:val="32"/>
          <w:szCs w:val="32"/>
        </w:rPr>
        <w:t>9.8</w:t>
      </w:r>
      <w:r>
        <w:rPr>
          <w:rFonts w:ascii="仿宋" w:eastAsia="仿宋"/>
          <w:sz w:val="32"/>
          <w:szCs w:val="32"/>
        </w:rPr>
        <w:t>%</w:t>
      </w:r>
      <w:r>
        <w:rPr>
          <w:rFonts w:ascii="仿宋" w:eastAsia="仿宋" w:cs="DengXian-Regular" w:hint="eastAsia"/>
          <w:sz w:val="32"/>
          <w:szCs w:val="32"/>
        </w:rPr>
        <w:t>。主要原因是减少开支，提高资金使用效</w:t>
      </w:r>
      <w:r>
        <w:rPr>
          <w:rFonts w:ascii="仿宋" w:eastAsia="仿宋" w:cs="宋体" w:hint="eastAsia"/>
          <w:sz w:val="32"/>
          <w:szCs w:val="32"/>
        </w:rPr>
        <w:t>益</w:t>
      </w:r>
      <w:r>
        <w:rPr>
          <w:rFonts w:ascii="仿宋" w:eastAsia="仿宋" w:cs="DengXian-Regular" w:hint="eastAsia"/>
          <w:sz w:val="32"/>
          <w:szCs w:val="32"/>
        </w:rPr>
        <w:t>。</w:t>
      </w:r>
      <w:r>
        <w:rPr>
          <w:rFonts w:ascii="仿宋" w:eastAsia="仿宋"/>
          <w:sz w:val="32"/>
          <w:szCs w:val="32"/>
        </w:rPr>
        <w:t>较201</w:t>
      </w:r>
      <w:r>
        <w:rPr>
          <w:rFonts w:ascii="仿宋" w:eastAsia="仿宋" w:hint="eastAsia"/>
          <w:sz w:val="32"/>
          <w:szCs w:val="32"/>
        </w:rPr>
        <w:t>7</w:t>
      </w:r>
      <w:r>
        <w:rPr>
          <w:rFonts w:ascii="仿宋" w:eastAsia="仿宋"/>
          <w:sz w:val="32"/>
          <w:szCs w:val="32"/>
        </w:rPr>
        <w:t>年度决算减少</w:t>
      </w:r>
      <w:r>
        <w:rPr>
          <w:rFonts w:ascii="仿宋" w:eastAsia="仿宋" w:hint="eastAsia"/>
          <w:sz w:val="32"/>
          <w:szCs w:val="32"/>
        </w:rPr>
        <w:t>0.3</w:t>
      </w:r>
      <w:r>
        <w:rPr>
          <w:rFonts w:ascii="仿宋" w:eastAsia="仿宋"/>
          <w:sz w:val="32"/>
          <w:szCs w:val="32"/>
        </w:rPr>
        <w:t>万元，降低</w:t>
      </w:r>
      <w:r>
        <w:rPr>
          <w:rFonts w:ascii="仿宋" w:eastAsia="仿宋" w:hint="eastAsia"/>
          <w:sz w:val="32"/>
          <w:szCs w:val="32"/>
        </w:rPr>
        <w:t>0.4</w:t>
      </w:r>
      <w:r>
        <w:rPr>
          <w:rFonts w:ascii="仿宋" w:eastAsia="仿宋"/>
          <w:sz w:val="32"/>
          <w:szCs w:val="32"/>
        </w:rPr>
        <w:t>%，主要</w:t>
      </w:r>
      <w:r>
        <w:rPr>
          <w:rFonts w:ascii="仿宋" w:eastAsia="仿宋" w:cs="DengXian-Regular" w:hint="eastAsia"/>
          <w:sz w:val="32"/>
          <w:szCs w:val="32"/>
        </w:rPr>
        <w:t>原因</w:t>
      </w:r>
      <w:r>
        <w:rPr>
          <w:rFonts w:ascii="仿宋" w:eastAsia="仿宋"/>
          <w:sz w:val="32"/>
          <w:szCs w:val="32"/>
        </w:rPr>
        <w:t>是</w:t>
      </w:r>
      <w:r w:rsidR="00C313A6">
        <w:rPr>
          <w:rFonts w:ascii="仿宋" w:eastAsia="仿宋" w:cs="DengXian-Regular" w:hint="eastAsia"/>
          <w:sz w:val="32"/>
          <w:szCs w:val="32"/>
        </w:rPr>
        <w:t>减</w:t>
      </w:r>
      <w:r>
        <w:rPr>
          <w:rFonts w:ascii="仿宋" w:eastAsia="仿宋" w:cs="DengXian-Regular" w:hint="eastAsia"/>
          <w:sz w:val="32"/>
          <w:szCs w:val="32"/>
        </w:rPr>
        <w:t>少开支，提高资金使用效</w:t>
      </w:r>
      <w:r>
        <w:rPr>
          <w:rFonts w:ascii="仿宋" w:eastAsia="仿宋" w:cs="宋体" w:hint="eastAsia"/>
          <w:sz w:val="32"/>
          <w:szCs w:val="32"/>
        </w:rPr>
        <w:t>益</w:t>
      </w:r>
      <w:r>
        <w:rPr>
          <w:rFonts w:ascii="仿宋" w:eastAsia="仿宋"/>
          <w:sz w:val="32"/>
          <w:szCs w:val="32"/>
        </w:rPr>
        <w:t>。</w:t>
      </w:r>
    </w:p>
    <w:p w:rsidR="00192FD7" w:rsidRDefault="00E432C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192FD7" w:rsidRDefault="00E432C4">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本部门2018年度政府采购支出总额1</w:t>
      </w:r>
      <w:r>
        <w:rPr>
          <w:rFonts w:ascii="宋体" w:cs="宋体" w:hint="eastAsia"/>
          <w:sz w:val="32"/>
          <w:szCs w:val="32"/>
        </w:rPr>
        <w:t>9</w:t>
      </w:r>
      <w:r>
        <w:rPr>
          <w:rFonts w:ascii="仿宋_GB2312" w:eastAsia="仿宋_GB2312" w:cs="DengXian-Regular" w:hint="eastAsia"/>
          <w:sz w:val="32"/>
          <w:szCs w:val="32"/>
        </w:rPr>
        <w:t>万元，从采购类型来看，</w:t>
      </w:r>
      <w:r>
        <w:rPr>
          <w:rFonts w:ascii="仿宋_GB2312" w:eastAsia="仿宋_GB2312" w:cs="仿宋_GB2312"/>
          <w:color w:val="000000"/>
          <w:kern w:val="0"/>
          <w:sz w:val="32"/>
          <w:szCs w:val="32"/>
        </w:rPr>
        <w:t>政府采购货物支出</w:t>
      </w:r>
      <w:r>
        <w:rPr>
          <w:rFonts w:ascii="仿宋_GB2312" w:eastAsia="仿宋_GB2312" w:cs="仿宋_GB2312" w:hint="eastAsia"/>
          <w:color w:val="000000"/>
          <w:kern w:val="0"/>
          <w:sz w:val="32"/>
          <w:szCs w:val="32"/>
        </w:rPr>
        <w:t>1</w:t>
      </w:r>
      <w:r>
        <w:rPr>
          <w:rFonts w:ascii="宋体" w:cs="宋体" w:hint="eastAsia"/>
          <w:color w:val="000000"/>
          <w:kern w:val="0"/>
          <w:sz w:val="32"/>
          <w:szCs w:val="32"/>
        </w:rPr>
        <w:t>9</w:t>
      </w:r>
      <w:r>
        <w:rPr>
          <w:rFonts w:ascii="仿宋_GB2312" w:eastAsia="仿宋_GB2312" w:cs="仿宋_GB2312"/>
          <w:color w:val="000000"/>
          <w:kern w:val="0"/>
          <w:sz w:val="32"/>
          <w:szCs w:val="32"/>
        </w:rPr>
        <w:t>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万元、政府采购服务支出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1</w:t>
      </w:r>
      <w:r>
        <w:rPr>
          <w:rFonts w:ascii="宋体" w:cs="宋体" w:hint="eastAsia"/>
          <w:color w:val="000000"/>
          <w:kern w:val="0"/>
          <w:sz w:val="32"/>
          <w:szCs w:val="32"/>
        </w:rPr>
        <w:t>9</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100%，</w:t>
      </w:r>
      <w:r>
        <w:rPr>
          <w:rFonts w:ascii="仿宋_GB2312" w:eastAsia="仿宋_GB2312" w:cs="仿宋_GB2312"/>
          <w:color w:val="000000"/>
          <w:kern w:val="0"/>
          <w:sz w:val="32"/>
          <w:szCs w:val="32"/>
        </w:rPr>
        <w:t>其中授予小</w:t>
      </w:r>
      <w:proofErr w:type="gramStart"/>
      <w:r>
        <w:rPr>
          <w:rFonts w:ascii="仿宋_GB2312" w:eastAsia="仿宋_GB2312" w:cs="仿宋_GB2312"/>
          <w:color w:val="000000"/>
          <w:kern w:val="0"/>
          <w:sz w:val="32"/>
          <w:szCs w:val="32"/>
        </w:rPr>
        <w:t>微企业</w:t>
      </w:r>
      <w:proofErr w:type="gramEnd"/>
      <w:r>
        <w:rPr>
          <w:rFonts w:ascii="仿宋_GB2312" w:eastAsia="仿宋_GB2312" w:cs="仿宋_GB2312"/>
          <w:color w:val="000000"/>
          <w:kern w:val="0"/>
          <w:sz w:val="32"/>
          <w:szCs w:val="32"/>
        </w:rPr>
        <w:t>合同金额</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w:t>
      </w:r>
    </w:p>
    <w:p w:rsidR="00192FD7" w:rsidRDefault="00E432C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2018年12月31日，本部门共有车辆2辆，较上年无增减。其中，副部（省）级及以上领导用车0辆，主要领导干部用车0辆，机要通信用车2辆，应急保障用车0辆，执法执勤用车0辆，特种专业技术用车0辆，离退休干部用车0辆，其他用车0辆；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万元以上通用设备0台（套），较上年无</w:t>
      </w:r>
      <w:r>
        <w:rPr>
          <w:rFonts w:ascii="仿宋_GB2312" w:eastAsia="仿宋_GB2312" w:cs="DengXian-Regular" w:hint="eastAsia"/>
          <w:sz w:val="32"/>
          <w:szCs w:val="32"/>
        </w:rPr>
        <w:lastRenderedPageBreak/>
        <w:t>增减，单位价值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万元以上专用设备0台（套）较上年无增减。</w:t>
      </w:r>
    </w:p>
    <w:p w:rsidR="00192FD7" w:rsidRDefault="00E432C4">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年度国有资本经营预算收入、政府性基金预算财政拨款无收支及结转结余情况，故国有资本经营预算财政拨款支出决算表、政府性基金预算财政拨款收入支出决算表以空表列示。</w:t>
      </w:r>
    </w:p>
    <w:p w:rsidR="00192FD7" w:rsidRDefault="00E432C4">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2、由于决算公开表格中金额数值应当保留两位小数，公开数据为四舍五入计算结果，个别数据合计项与分项之和存在小数点后差额，特此说明。</w:t>
      </w:r>
    </w:p>
    <w:p w:rsidR="00192FD7" w:rsidRDefault="00192FD7">
      <w:pPr>
        <w:widowControl/>
        <w:spacing w:after="0" w:line="580" w:lineRule="exact"/>
        <w:ind w:firstLineChars="200" w:firstLine="883"/>
        <w:jc w:val="left"/>
        <w:rPr>
          <w:rFonts w:ascii="宋体" w:cs="MS-UIGothic,Bold"/>
          <w:b/>
          <w:bCs/>
          <w:kern w:val="0"/>
          <w:sz w:val="44"/>
          <w:szCs w:val="44"/>
        </w:rPr>
        <w:sectPr w:rsidR="00192FD7">
          <w:pgSz w:w="11906" w:h="16838"/>
          <w:pgMar w:top="2098" w:right="1474" w:bottom="1984" w:left="1588" w:header="851" w:footer="992" w:gutter="0"/>
          <w:cols w:space="720"/>
          <w:docGrid w:type="lines" w:linePitch="312"/>
        </w:sectPr>
      </w:pPr>
    </w:p>
    <w:p w:rsidR="00192FD7" w:rsidRDefault="00192FD7">
      <w:pPr>
        <w:widowControl/>
        <w:spacing w:line="1200" w:lineRule="exact"/>
        <w:jc w:val="center"/>
        <w:rPr>
          <w:rFonts w:ascii="黑体" w:eastAsia="黑体"/>
          <w:color w:val="000000"/>
          <w:sz w:val="96"/>
          <w:szCs w:val="96"/>
        </w:rPr>
      </w:pPr>
    </w:p>
    <w:p w:rsidR="00192FD7" w:rsidRDefault="00192FD7">
      <w:pPr>
        <w:widowControl/>
        <w:spacing w:line="1200" w:lineRule="exact"/>
        <w:jc w:val="center"/>
        <w:rPr>
          <w:rFonts w:ascii="黑体" w:eastAsia="黑体"/>
          <w:color w:val="000000"/>
          <w:sz w:val="96"/>
          <w:szCs w:val="96"/>
        </w:rPr>
      </w:pPr>
    </w:p>
    <w:p w:rsidR="00192FD7" w:rsidRDefault="00192FD7">
      <w:pPr>
        <w:widowControl/>
        <w:spacing w:line="1200" w:lineRule="exact"/>
        <w:jc w:val="center"/>
        <w:rPr>
          <w:rFonts w:ascii="黑体" w:eastAsia="黑体"/>
          <w:color w:val="000000"/>
          <w:sz w:val="96"/>
          <w:szCs w:val="96"/>
        </w:rPr>
      </w:pPr>
    </w:p>
    <w:p w:rsidR="00192FD7" w:rsidRDefault="00E432C4">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192FD7" w:rsidRDefault="00E432C4">
      <w:pPr>
        <w:widowControl/>
        <w:spacing w:line="1200" w:lineRule="exact"/>
        <w:jc w:val="center"/>
        <w:rPr>
          <w:color w:val="000000"/>
          <w:sz w:val="96"/>
          <w:szCs w:val="96"/>
        </w:rPr>
      </w:pPr>
      <w:r>
        <w:rPr>
          <w:rFonts w:ascii="黑体" w:eastAsia="黑体" w:hint="eastAsia"/>
          <w:color w:val="000000"/>
          <w:sz w:val="96"/>
          <w:szCs w:val="96"/>
        </w:rPr>
        <w:t>名词解释</w:t>
      </w:r>
    </w:p>
    <w:p w:rsidR="00192FD7" w:rsidRDefault="00192FD7">
      <w:pPr>
        <w:rPr>
          <w:rFonts w:ascii="宋体" w:cs="ArialUnicodeMS"/>
          <w:color w:val="000000"/>
          <w:kern w:val="0"/>
        </w:rPr>
        <w:sectPr w:rsidR="00192FD7">
          <w:pgSz w:w="11906" w:h="16838"/>
          <w:pgMar w:top="2098" w:right="1474" w:bottom="1984" w:left="1588" w:header="851" w:footer="992" w:gutter="0"/>
          <w:cols w:space="720"/>
          <w:docGrid w:type="lines" w:linePitch="312"/>
        </w:sectPr>
      </w:pP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单位公务出国（境）的国际旅费、国外城市间交通费、住宿费、伙食费、培训费、公杂费等支出；公务用车购置及运行</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购置税）及租用费、燃料费、维修费、过路过桥费、保险费、安全奖励费用等支出；公务接待</w:t>
      </w:r>
      <w:proofErr w:type="gramStart"/>
      <w:r>
        <w:rPr>
          <w:rFonts w:ascii="仿宋_GB2312" w:eastAsia="仿宋_GB2312" w:hint="eastAsia"/>
          <w:color w:val="000000"/>
          <w:kern w:val="0"/>
          <w:sz w:val="32"/>
          <w:szCs w:val="32"/>
        </w:rPr>
        <w:t>费反映</w:t>
      </w:r>
      <w:proofErr w:type="gramEnd"/>
      <w:r>
        <w:rPr>
          <w:rFonts w:ascii="仿宋_GB2312" w:eastAsia="仿宋_GB2312" w:hint="eastAsia"/>
          <w:color w:val="000000"/>
          <w:kern w:val="0"/>
          <w:sz w:val="32"/>
          <w:szCs w:val="32"/>
        </w:rPr>
        <w:t>单位按规定开支的各类公务接待（含外宾接待）支出。</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w:t>
      </w:r>
      <w:proofErr w:type="gramStart"/>
      <w:r>
        <w:rPr>
          <w:rFonts w:ascii="仿宋_GB2312" w:eastAsia="仿宋_GB2312" w:hint="eastAsia"/>
          <w:color w:val="000000"/>
          <w:kern w:val="0"/>
          <w:sz w:val="32"/>
          <w:szCs w:val="32"/>
        </w:rPr>
        <w:t>含车辆</w:t>
      </w:r>
      <w:proofErr w:type="gramEnd"/>
      <w:r>
        <w:rPr>
          <w:rFonts w:ascii="仿宋_GB2312" w:eastAsia="仿宋_GB2312" w:hint="eastAsia"/>
          <w:color w:val="000000"/>
          <w:kern w:val="0"/>
          <w:sz w:val="32"/>
          <w:szCs w:val="32"/>
        </w:rPr>
        <w:t>购置税、牌照费）。</w:t>
      </w:r>
    </w:p>
    <w:p w:rsidR="00192FD7" w:rsidRDefault="00E432C4">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w:t>
      </w:r>
      <w:r>
        <w:rPr>
          <w:rFonts w:ascii="仿宋_GB2312" w:eastAsia="仿宋_GB2312" w:hint="eastAsia"/>
          <w:color w:val="000000"/>
          <w:kern w:val="0"/>
          <w:sz w:val="32"/>
          <w:szCs w:val="32"/>
        </w:rPr>
        <w:lastRenderedPageBreak/>
        <w:t>括办公及印刷费、邮电费、差旅费、会议费、福利费、日常维修费、专用材料以及一般设备购置费、办公用房水电费、办公用房取暖费、办公用房物业管理费、公务用车运行维护费以及其他费用。</w:t>
      </w:r>
    </w:p>
    <w:p w:rsidR="00192FD7" w:rsidRDefault="00E432C4">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ind w:firstLineChars="200" w:firstLine="640"/>
        <w:rPr>
          <w:rFonts w:ascii="仿宋_GB2312" w:eastAsia="仿宋_GB2312" w:cs="ArialUnicodeMS"/>
          <w:kern w:val="0"/>
          <w:sz w:val="32"/>
          <w:szCs w:val="32"/>
        </w:rPr>
      </w:pPr>
    </w:p>
    <w:p w:rsidR="00192FD7" w:rsidRDefault="00192FD7">
      <w:pPr>
        <w:widowControl/>
        <w:spacing w:after="0" w:line="560" w:lineRule="exact"/>
        <w:rPr>
          <w:rFonts w:ascii="仿宋_GB2312" w:eastAsia="仿宋_GB2312" w:cs="ArialUnicodeMS"/>
          <w:kern w:val="0"/>
          <w:sz w:val="32"/>
          <w:szCs w:val="32"/>
        </w:rPr>
      </w:pPr>
    </w:p>
    <w:sectPr w:rsidR="00192FD7">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DB2" w:rsidRDefault="00393DB2" w:rsidP="00C313A6">
      <w:pPr>
        <w:spacing w:after="0" w:line="240" w:lineRule="auto"/>
      </w:pPr>
      <w:r>
        <w:separator/>
      </w:r>
    </w:p>
  </w:endnote>
  <w:endnote w:type="continuationSeparator" w:id="0">
    <w:p w:rsidR="00393DB2" w:rsidRDefault="00393DB2" w:rsidP="00C3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variable"/>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MS-UIGothic,Bold">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楷体_GB2312">
    <w:altName w:val="楷体"/>
    <w:panose1 w:val="00000000000000000000"/>
    <w:charset w:val="86"/>
    <w:family w:val="modern"/>
    <w:notTrueType/>
    <w:pitch w:val="variable"/>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DB2" w:rsidRDefault="00393DB2" w:rsidP="00C313A6">
      <w:pPr>
        <w:spacing w:after="0" w:line="240" w:lineRule="auto"/>
      </w:pPr>
      <w:r>
        <w:separator/>
      </w:r>
    </w:p>
  </w:footnote>
  <w:footnote w:type="continuationSeparator" w:id="0">
    <w:p w:rsidR="00393DB2" w:rsidRDefault="00393DB2" w:rsidP="00C31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compatSetting w:name="compatibilityMode" w:uri="http://schemas.microsoft.com/office/word" w:val="14"/>
  </w:compat>
  <w:rsids>
    <w:rsidRoot w:val="00192FD7"/>
    <w:rsid w:val="00192FD7"/>
    <w:rsid w:val="00393DB2"/>
    <w:rsid w:val="0044137B"/>
    <w:rsid w:val="00C313A6"/>
    <w:rsid w:val="00E432C4"/>
    <w:rsid w:val="5B94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cs="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qFormat/>
    <w:pPr>
      <w:ind w:leftChars="2500" w:left="25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pPr>
      <w:widowControl/>
      <w:spacing w:after="200" w:line="276" w:lineRule="auto"/>
      <w:jc w:val="left"/>
    </w:pPr>
    <w:rPr>
      <w:rFonts w:ascii="Calibri" w:hAnsi="Calibri" w:cs="Arial"/>
      <w:i/>
      <w:iCs/>
      <w:color w:val="F0A22E"/>
      <w:spacing w:val="15"/>
      <w:kern w:val="0"/>
      <w:sz w:val="24"/>
    </w:rPr>
  </w:style>
  <w:style w:type="paragraph" w:styleId="a9">
    <w:name w:val="Title"/>
    <w:basedOn w:val="a"/>
    <w:next w:val="a"/>
    <w:pPr>
      <w:widowControl/>
      <w:pBdr>
        <w:bottom w:val="single" w:sz="8" w:space="4" w:color="F0A22E"/>
      </w:pBdr>
      <w:spacing w:after="300"/>
      <w:contextualSpacing/>
      <w:jc w:val="left"/>
    </w:pPr>
    <w:rPr>
      <w:rFonts w:ascii="Calibri" w:hAnsi="Calibri" w:cs="Arial"/>
      <w:color w:val="3A2C24"/>
      <w:spacing w:val="5"/>
      <w:kern w:val="28"/>
      <w:sz w:val="52"/>
      <w:szCs w:val="52"/>
    </w:rPr>
  </w:style>
  <w:style w:type="paragraph" w:customStyle="1" w:styleId="10">
    <w:name w:val="无间隔1"/>
    <w:pPr>
      <w:spacing w:after="160" w:line="480" w:lineRule="auto"/>
    </w:pPr>
    <w:rPr>
      <w:rFonts w:ascii="Cambria" w:eastAsia="黑体" w:hAnsi="Cambria"/>
      <w:sz w:val="22"/>
      <w:szCs w:val="22"/>
    </w:rPr>
  </w:style>
  <w:style w:type="character" w:customStyle="1" w:styleId="Style1">
    <w:name w:val="Style1"/>
    <w:basedOn w:val="a0"/>
    <w:rPr>
      <w:rFonts w:ascii="Cambria" w:eastAsia="黑体" w:hAnsi="Cambria" w:cs="Times New Roman"/>
      <w:sz w:val="22"/>
      <w:szCs w:val="22"/>
      <w:lang w:eastAsia="zh-CN"/>
    </w:rPr>
  </w:style>
  <w:style w:type="character" w:customStyle="1" w:styleId="Style2">
    <w:name w:val="Style2"/>
    <w:basedOn w:val="a0"/>
    <w:rPr>
      <w:rFonts w:ascii="Cambria" w:eastAsia="黑体" w:hAnsi="Cambria" w:cs="Times New Roman"/>
      <w:sz w:val="22"/>
      <w:szCs w:val="22"/>
      <w:lang w:eastAsia="zh-CN"/>
    </w:rPr>
  </w:style>
  <w:style w:type="character" w:customStyle="1" w:styleId="Style3">
    <w:name w:val="Style3"/>
    <w:basedOn w:val="a0"/>
    <w:rPr>
      <w:rFonts w:ascii="Cambria" w:eastAsia="黑体" w:hAnsi="Cambria" w:cs="Times New Roman"/>
      <w:szCs w:val="22"/>
      <w:lang w:eastAsia="zh-CN"/>
    </w:rPr>
  </w:style>
  <w:style w:type="character" w:customStyle="1" w:styleId="Style4">
    <w:name w:val="Style4"/>
    <w:basedOn w:val="a0"/>
    <w:rPr>
      <w:rFonts w:ascii="Cambria" w:eastAsia="黑体" w:hAnsi="Cambria" w:cs="Times New Roman"/>
      <w:szCs w:val="22"/>
      <w:lang w:eastAsia="zh-CN"/>
    </w:rPr>
  </w:style>
  <w:style w:type="character" w:customStyle="1" w:styleId="Style5">
    <w:name w:val="Style5"/>
    <w:basedOn w:val="a0"/>
    <w:rPr>
      <w:rFonts w:ascii="Cambria" w:eastAsia="黑体" w:hAnsi="Cambria" w:cs="Times New Roman"/>
      <w:sz w:val="22"/>
      <w:szCs w:val="22"/>
      <w:lang w:eastAsia="zh-CN"/>
    </w:rPr>
  </w:style>
  <w:style w:type="paragraph" w:customStyle="1" w:styleId="11">
    <w:name w:val="列出段落1"/>
    <w:basedOn w:val="a"/>
    <w:pPr>
      <w:ind w:firstLineChars="200" w:firstLine="200"/>
    </w:pPr>
  </w:style>
  <w:style w:type="character" w:styleId="aa">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spacing w:after="160" w:line="480" w:lineRule="auto"/>
      <w:jc w:val="both"/>
    </w:pPr>
    <w:rPr>
      <w:kern w:val="2"/>
      <w:sz w:val="21"/>
      <w:szCs w:val="24"/>
    </w:rPr>
  </w:style>
  <w:style w:type="paragraph" w:styleId="1">
    <w:name w:val="heading 1"/>
    <w:basedOn w:val="a"/>
    <w:next w:val="a"/>
    <w:pPr>
      <w:keepNext/>
      <w:keepLines/>
      <w:spacing w:before="340" w:after="330" w:line="578" w:lineRule="auto"/>
      <w:outlineLvl w:val="0"/>
    </w:pPr>
    <w:rPr>
      <w:b/>
      <w:bCs/>
      <w:kern w:val="44"/>
      <w:sz w:val="44"/>
      <w:szCs w:val="44"/>
    </w:rPr>
  </w:style>
  <w:style w:type="paragraph" w:styleId="2">
    <w:name w:val="heading 2"/>
    <w:basedOn w:val="a"/>
    <w:next w:val="a"/>
    <w:pPr>
      <w:keepNext/>
      <w:keepLines/>
      <w:spacing w:before="260" w:after="260" w:line="415" w:lineRule="auto"/>
      <w:outlineLvl w:val="1"/>
    </w:pPr>
    <w:rPr>
      <w:rFonts w:ascii="Calibri" w:hAnsi="Calibri" w:cs="Arial"/>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paragraph" w:styleId="4">
    <w:name w:val="heading 4"/>
    <w:basedOn w:val="a"/>
    <w:next w:val="a"/>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Date"/>
    <w:basedOn w:val="a"/>
    <w:next w:val="a"/>
    <w:qFormat/>
    <w:pPr>
      <w:ind w:leftChars="2500" w:left="2500"/>
    </w:pPr>
  </w:style>
  <w:style w:type="paragraph" w:styleId="a5">
    <w:name w:val="Balloon Text"/>
    <w:basedOn w:val="a"/>
    <w:rPr>
      <w:sz w:val="18"/>
      <w:szCs w:val="18"/>
    </w:rPr>
  </w:style>
  <w:style w:type="paragraph" w:styleId="a6">
    <w:name w:val="footer"/>
    <w:basedOn w:val="a"/>
    <w:qFormat/>
    <w:pPr>
      <w:tabs>
        <w:tab w:val="center" w:pos="4153"/>
        <w:tab w:val="right" w:pos="8306"/>
      </w:tabs>
      <w:snapToGrid w:val="0"/>
      <w:jc w:val="left"/>
    </w:pPr>
    <w:rPr>
      <w:rFonts w:ascii="Cambria" w:eastAsia="黑体" w:hAnsi="Cambria"/>
      <w:sz w:val="18"/>
      <w:szCs w:val="18"/>
    </w:rPr>
  </w:style>
  <w:style w:type="paragraph" w:styleId="a7">
    <w:name w:val="header"/>
    <w:basedOn w:val="a"/>
    <w:pPr>
      <w:pBdr>
        <w:bottom w:val="single" w:sz="6" w:space="1" w:color="auto"/>
      </w:pBdr>
      <w:tabs>
        <w:tab w:val="center" w:pos="4153"/>
        <w:tab w:val="right" w:pos="8306"/>
      </w:tabs>
      <w:snapToGrid w:val="0"/>
      <w:jc w:val="center"/>
    </w:pPr>
    <w:rPr>
      <w:rFonts w:ascii="Cambria" w:eastAsia="黑体" w:hAnsi="Cambria"/>
      <w:sz w:val="18"/>
      <w:szCs w:val="18"/>
    </w:rPr>
  </w:style>
  <w:style w:type="paragraph" w:styleId="a8">
    <w:name w:val="Subtitle"/>
    <w:basedOn w:val="a"/>
    <w:next w:val="a"/>
    <w:pPr>
      <w:widowControl/>
      <w:spacing w:after="200" w:line="276" w:lineRule="auto"/>
      <w:jc w:val="left"/>
    </w:pPr>
    <w:rPr>
      <w:rFonts w:ascii="Calibri" w:hAnsi="Calibri" w:cs="Arial"/>
      <w:i/>
      <w:iCs/>
      <w:color w:val="F0A22E"/>
      <w:spacing w:val="15"/>
      <w:kern w:val="0"/>
      <w:sz w:val="24"/>
    </w:rPr>
  </w:style>
  <w:style w:type="paragraph" w:styleId="a9">
    <w:name w:val="Title"/>
    <w:basedOn w:val="a"/>
    <w:next w:val="a"/>
    <w:pPr>
      <w:widowControl/>
      <w:pBdr>
        <w:bottom w:val="single" w:sz="8" w:space="4" w:color="F0A22E"/>
      </w:pBdr>
      <w:spacing w:after="300"/>
      <w:contextualSpacing/>
      <w:jc w:val="left"/>
    </w:pPr>
    <w:rPr>
      <w:rFonts w:ascii="Calibri" w:hAnsi="Calibri" w:cs="Arial"/>
      <w:color w:val="3A2C24"/>
      <w:spacing w:val="5"/>
      <w:kern w:val="28"/>
      <w:sz w:val="52"/>
      <w:szCs w:val="52"/>
    </w:rPr>
  </w:style>
  <w:style w:type="paragraph" w:customStyle="1" w:styleId="10">
    <w:name w:val="无间隔1"/>
    <w:pPr>
      <w:spacing w:after="160" w:line="480" w:lineRule="auto"/>
    </w:pPr>
    <w:rPr>
      <w:rFonts w:ascii="Cambria" w:eastAsia="黑体" w:hAnsi="Cambria"/>
      <w:sz w:val="22"/>
      <w:szCs w:val="22"/>
    </w:rPr>
  </w:style>
  <w:style w:type="character" w:customStyle="1" w:styleId="Style1">
    <w:name w:val="Style1"/>
    <w:basedOn w:val="a0"/>
    <w:rPr>
      <w:rFonts w:ascii="Cambria" w:eastAsia="黑体" w:hAnsi="Cambria" w:cs="Times New Roman"/>
      <w:sz w:val="22"/>
      <w:szCs w:val="22"/>
      <w:lang w:eastAsia="zh-CN"/>
    </w:rPr>
  </w:style>
  <w:style w:type="character" w:customStyle="1" w:styleId="Style2">
    <w:name w:val="Style2"/>
    <w:basedOn w:val="a0"/>
    <w:rPr>
      <w:rFonts w:ascii="Cambria" w:eastAsia="黑体" w:hAnsi="Cambria" w:cs="Times New Roman"/>
      <w:sz w:val="22"/>
      <w:szCs w:val="22"/>
      <w:lang w:eastAsia="zh-CN"/>
    </w:rPr>
  </w:style>
  <w:style w:type="character" w:customStyle="1" w:styleId="Style3">
    <w:name w:val="Style3"/>
    <w:basedOn w:val="a0"/>
    <w:rPr>
      <w:rFonts w:ascii="Cambria" w:eastAsia="黑体" w:hAnsi="Cambria" w:cs="Times New Roman"/>
      <w:szCs w:val="22"/>
      <w:lang w:eastAsia="zh-CN"/>
    </w:rPr>
  </w:style>
  <w:style w:type="character" w:customStyle="1" w:styleId="Style4">
    <w:name w:val="Style4"/>
    <w:basedOn w:val="a0"/>
    <w:rPr>
      <w:rFonts w:ascii="Cambria" w:eastAsia="黑体" w:hAnsi="Cambria" w:cs="Times New Roman"/>
      <w:szCs w:val="22"/>
      <w:lang w:eastAsia="zh-CN"/>
    </w:rPr>
  </w:style>
  <w:style w:type="character" w:customStyle="1" w:styleId="Style5">
    <w:name w:val="Style5"/>
    <w:basedOn w:val="a0"/>
    <w:rPr>
      <w:rFonts w:ascii="Cambria" w:eastAsia="黑体" w:hAnsi="Cambria" w:cs="Times New Roman"/>
      <w:sz w:val="22"/>
      <w:szCs w:val="22"/>
      <w:lang w:eastAsia="zh-CN"/>
    </w:rPr>
  </w:style>
  <w:style w:type="paragraph" w:customStyle="1" w:styleId="11">
    <w:name w:val="列出段落1"/>
    <w:basedOn w:val="a"/>
    <w:pPr>
      <w:ind w:firstLineChars="200" w:firstLine="200"/>
    </w:pPr>
  </w:style>
  <w:style w:type="character" w:styleId="aa">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701</Words>
  <Characters>3997</Characters>
  <Application>Microsoft Office Word</Application>
  <DocSecurity>0</DocSecurity>
  <Lines>33</Lines>
  <Paragraphs>9</Paragraphs>
  <ScaleCrop>false</ScaleCrop>
  <Company>Microsoft</Company>
  <LinksUpToDate>false</LinksUpToDate>
  <CharactersWithSpaces>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lastModifiedBy>lenovo</cp:lastModifiedBy>
  <cp:revision>64</cp:revision>
  <cp:lastPrinted>2019-09-27T00:42:00Z</cp:lastPrinted>
  <dcterms:created xsi:type="dcterms:W3CDTF">2019-09-26T01:09:00Z</dcterms:created>
  <dcterms:modified xsi:type="dcterms:W3CDTF">2021-05-31T06:57:00Z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